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E055C6" w:rsidRDefault="004B3B07" w:rsidP="00E33133">
      <w:pPr>
        <w:jc w:val="center"/>
        <w:rPr>
          <w:b/>
          <w:spacing w:val="-2"/>
          <w:sz w:val="20"/>
          <w:szCs w:val="20"/>
        </w:rPr>
      </w:pPr>
      <w:r>
        <w:rPr>
          <w:b/>
          <w:spacing w:val="-2"/>
          <w:sz w:val="20"/>
          <w:szCs w:val="20"/>
        </w:rPr>
        <w:t>"NUCLEAR FISSION</w:t>
      </w:r>
      <w:r w:rsidR="00E33133" w:rsidRPr="00E055C6">
        <w:rPr>
          <w:b/>
          <w:spacing w:val="-2"/>
          <w:sz w:val="20"/>
          <w:szCs w:val="20"/>
        </w:rPr>
        <w:t>"</w:t>
      </w:r>
    </w:p>
    <w:p w:rsidR="00E33133" w:rsidRPr="00E055C6" w:rsidRDefault="00E33133" w:rsidP="00E33133">
      <w:pPr>
        <w:jc w:val="center"/>
        <w:rPr>
          <w:b/>
          <w:bCs/>
          <w:sz w:val="20"/>
          <w:szCs w:val="20"/>
        </w:rPr>
      </w:pPr>
      <w:r w:rsidRPr="00E055C6">
        <w:rPr>
          <w:b/>
          <w:bCs/>
          <w:sz w:val="20"/>
          <w:szCs w:val="20"/>
        </w:rPr>
        <w:t>Safety of Existing Nuclear Installations</w:t>
      </w:r>
    </w:p>
    <w:p w:rsidR="00E33133" w:rsidRPr="00E055C6" w:rsidRDefault="00E33133" w:rsidP="00E33133">
      <w:pPr>
        <w:jc w:val="center"/>
        <w:rPr>
          <w:b/>
          <w:spacing w:val="-2"/>
          <w:sz w:val="20"/>
          <w:szCs w:val="20"/>
        </w:rPr>
      </w:pPr>
    </w:p>
    <w:p w:rsidR="005164F9" w:rsidRPr="00E055C6" w:rsidRDefault="005164F9" w:rsidP="005164F9">
      <w:pPr>
        <w:spacing w:line="120" w:lineRule="atLeast"/>
        <w:jc w:val="center"/>
        <w:rPr>
          <w:b/>
          <w:sz w:val="20"/>
          <w:szCs w:val="20"/>
        </w:rPr>
      </w:pPr>
      <w:r w:rsidRPr="00E055C6">
        <w:rPr>
          <w:b/>
          <w:sz w:val="20"/>
          <w:szCs w:val="20"/>
        </w:rPr>
        <w:t xml:space="preserve">Contract </w:t>
      </w:r>
      <w:r w:rsidR="009A1C44" w:rsidRPr="00E055C6">
        <w:rPr>
          <w:b/>
          <w:sz w:val="20"/>
          <w:szCs w:val="20"/>
        </w:rPr>
        <w:t>605001</w:t>
      </w:r>
    </w:p>
    <w:p w:rsidR="005164F9" w:rsidRPr="00E055C6" w:rsidRDefault="005164F9" w:rsidP="005164F9">
      <w:pPr>
        <w:jc w:val="center"/>
        <w:rPr>
          <w:b/>
          <w:sz w:val="20"/>
        </w:rPr>
      </w:pPr>
    </w:p>
    <w:p w:rsidR="009A1C44" w:rsidRPr="00E055C6"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bookmarkStart w:id="0" w:name="OLE_LINK1"/>
      <w:bookmarkStart w:id="1" w:name="OLE_LINK2"/>
    </w:p>
    <w:p w:rsidR="009A1C44" w:rsidRPr="00E055C6"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p>
    <w:p w:rsidR="00671FE3" w:rsidRDefault="00671FE3" w:rsidP="00671FE3">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Pr>
          <w:rFonts w:ascii="CG Times" w:hAnsi="CG Times"/>
          <w:b/>
          <w:bCs/>
          <w:sz w:val="28"/>
          <w:szCs w:val="28"/>
        </w:rPr>
        <w:t xml:space="preserve">Review of existing practices </w:t>
      </w:r>
    </w:p>
    <w:p w:rsidR="0084787C" w:rsidRPr="00E055C6" w:rsidRDefault="00671FE3" w:rsidP="00671FE3">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Pr>
          <w:rFonts w:ascii="CG Times" w:hAnsi="CG Times"/>
          <w:b/>
          <w:bCs/>
          <w:sz w:val="28"/>
          <w:szCs w:val="28"/>
        </w:rPr>
        <w:t xml:space="preserve">to </w:t>
      </w:r>
      <w:r w:rsidR="005F3456">
        <w:rPr>
          <w:rFonts w:ascii="CG Times" w:hAnsi="CG Times"/>
          <w:b/>
          <w:bCs/>
          <w:sz w:val="28"/>
          <w:szCs w:val="28"/>
        </w:rPr>
        <w:t xml:space="preserve">model and </w:t>
      </w:r>
      <w:r>
        <w:rPr>
          <w:rFonts w:ascii="CG Times" w:hAnsi="CG Times"/>
          <w:b/>
          <w:bCs/>
          <w:sz w:val="28"/>
          <w:szCs w:val="28"/>
        </w:rPr>
        <w:t xml:space="preserve">implement </w:t>
      </w:r>
      <w:r w:rsidR="00C02D4A">
        <w:rPr>
          <w:rFonts w:ascii="CG Times" w:hAnsi="CG Times"/>
          <w:b/>
          <w:bCs/>
          <w:sz w:val="28"/>
          <w:szCs w:val="28"/>
        </w:rPr>
        <w:t>SEISMIC</w:t>
      </w:r>
      <w:r w:rsidR="00D60D0B">
        <w:rPr>
          <w:rFonts w:ascii="CG Times" w:hAnsi="CG Times"/>
          <w:b/>
          <w:bCs/>
          <w:sz w:val="28"/>
          <w:szCs w:val="28"/>
        </w:rPr>
        <w:t xml:space="preserve"> hazards in exten</w:t>
      </w:r>
      <w:r w:rsidR="00D60D0B">
        <w:rPr>
          <w:rFonts w:ascii="CG Times" w:hAnsi="CG Times"/>
          <w:b/>
          <w:bCs/>
          <w:sz w:val="28"/>
          <w:szCs w:val="28"/>
        </w:rPr>
        <w:t>d</w:t>
      </w:r>
      <w:r w:rsidR="00D60D0B">
        <w:rPr>
          <w:rFonts w:ascii="CG Times" w:hAnsi="CG Times"/>
          <w:b/>
          <w:bCs/>
          <w:sz w:val="28"/>
          <w:szCs w:val="28"/>
        </w:rPr>
        <w:t xml:space="preserve">ed </w:t>
      </w:r>
      <w:r w:rsidR="00163D01" w:rsidRPr="00E055C6">
        <w:rPr>
          <w:rFonts w:ascii="CG Times" w:hAnsi="CG Times"/>
          <w:b/>
          <w:bCs/>
          <w:sz w:val="28"/>
          <w:szCs w:val="28"/>
        </w:rPr>
        <w:t>PSA</w:t>
      </w:r>
    </w:p>
    <w:p w:rsidR="009A1C44" w:rsidRPr="00E055C6"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rPr>
      </w:pPr>
    </w:p>
    <w:p w:rsidR="009A1C44" w:rsidRPr="00E055C6"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rPr>
      </w:pPr>
    </w:p>
    <w:bookmarkEnd w:id="0"/>
    <w:bookmarkEnd w:id="1"/>
    <w:p w:rsidR="000475E6" w:rsidRPr="004B3B07" w:rsidRDefault="000475E6" w:rsidP="004B3B07">
      <w:pPr>
        <w:pStyle w:val="Default"/>
        <w:ind w:left="1069"/>
        <w:rPr>
          <w:rFonts w:ascii="Times New Roman" w:hAnsi="Times New Roman" w:cs="Times New Roman"/>
          <w:sz w:val="22"/>
          <w:szCs w:val="22"/>
        </w:rPr>
      </w:pPr>
    </w:p>
    <w:p w:rsidR="000475E6" w:rsidRPr="00CC3D15" w:rsidRDefault="000475E6" w:rsidP="000475E6">
      <w:pPr>
        <w:pStyle w:val="Default"/>
        <w:numPr>
          <w:ilvl w:val="0"/>
          <w:numId w:val="54"/>
        </w:numPr>
        <w:rPr>
          <w:rFonts w:ascii="Times New Roman" w:hAnsi="Times New Roman" w:cs="Times New Roman"/>
          <w:sz w:val="22"/>
          <w:szCs w:val="22"/>
        </w:rPr>
      </w:pPr>
      <w:r w:rsidRPr="00CC3D15">
        <w:rPr>
          <w:rFonts w:ascii="Times New Roman" w:hAnsi="Times New Roman" w:cs="Times New Roman"/>
          <w:i/>
          <w:iCs/>
          <w:sz w:val="22"/>
          <w:szCs w:val="22"/>
        </w:rPr>
        <w:t xml:space="preserve">This version of the report will be submitted to a peer review </w:t>
      </w:r>
    </w:p>
    <w:p w:rsidR="000475E6" w:rsidRPr="00CC3D15" w:rsidRDefault="000475E6" w:rsidP="000475E6">
      <w:pPr>
        <w:pStyle w:val="Default"/>
        <w:numPr>
          <w:ilvl w:val="0"/>
          <w:numId w:val="54"/>
        </w:numPr>
        <w:rPr>
          <w:rFonts w:ascii="Times New Roman" w:hAnsi="Times New Roman" w:cs="Times New Roman"/>
          <w:sz w:val="22"/>
          <w:szCs w:val="22"/>
        </w:rPr>
      </w:pPr>
      <w:r w:rsidRPr="00CC3D15">
        <w:rPr>
          <w:rFonts w:ascii="Times New Roman" w:hAnsi="Times New Roman" w:cs="Times New Roman"/>
          <w:i/>
          <w:iCs/>
          <w:sz w:val="22"/>
          <w:szCs w:val="22"/>
        </w:rPr>
        <w:t>The conclusions of the review will be discussed during the ASAMPSA_E workshop with PSA End-Users (12-14</w:t>
      </w:r>
      <w:r w:rsidRPr="00CC3D15">
        <w:rPr>
          <w:rFonts w:ascii="Times New Roman" w:hAnsi="Times New Roman" w:cs="Times New Roman"/>
          <w:i/>
          <w:iCs/>
          <w:sz w:val="22"/>
          <w:szCs w:val="22"/>
          <w:vertAlign w:val="superscript"/>
        </w:rPr>
        <w:t>th</w:t>
      </w:r>
      <w:r w:rsidRPr="00CC3D15">
        <w:rPr>
          <w:rFonts w:ascii="Times New Roman" w:hAnsi="Times New Roman" w:cs="Times New Roman"/>
          <w:i/>
          <w:iCs/>
          <w:sz w:val="22"/>
          <w:szCs w:val="22"/>
        </w:rPr>
        <w:t xml:space="preserve"> Sept. 2016) </w:t>
      </w:r>
    </w:p>
    <w:p w:rsidR="000475E6" w:rsidRPr="00CC3D15" w:rsidRDefault="000475E6" w:rsidP="000475E6">
      <w:pPr>
        <w:pStyle w:val="Default"/>
        <w:numPr>
          <w:ilvl w:val="0"/>
          <w:numId w:val="54"/>
        </w:numPr>
        <w:rPr>
          <w:rFonts w:ascii="Times New Roman" w:hAnsi="Times New Roman" w:cs="Times New Roman"/>
          <w:sz w:val="22"/>
          <w:szCs w:val="22"/>
        </w:rPr>
      </w:pPr>
      <w:r w:rsidRPr="00CC3D15">
        <w:rPr>
          <w:rFonts w:ascii="Times New Roman" w:hAnsi="Times New Roman" w:cs="Times New Roman"/>
          <w:i/>
          <w:iCs/>
          <w:sz w:val="22"/>
          <w:szCs w:val="22"/>
        </w:rPr>
        <w:t>The report will then be improved before the end of the project (31</w:t>
      </w:r>
      <w:r w:rsidRPr="00CC3D15">
        <w:rPr>
          <w:rFonts w:ascii="Times New Roman" w:hAnsi="Times New Roman" w:cs="Times New Roman"/>
          <w:i/>
          <w:iCs/>
          <w:sz w:val="22"/>
          <w:szCs w:val="22"/>
          <w:vertAlign w:val="superscript"/>
        </w:rPr>
        <w:t>st</w:t>
      </w:r>
      <w:r w:rsidRPr="00CC3D15">
        <w:rPr>
          <w:rFonts w:ascii="Times New Roman" w:hAnsi="Times New Roman" w:cs="Times New Roman"/>
          <w:i/>
          <w:iCs/>
          <w:sz w:val="22"/>
          <w:szCs w:val="22"/>
        </w:rPr>
        <w:t xml:space="preserve"> Dec. 2016) </w:t>
      </w:r>
    </w:p>
    <w:p w:rsidR="0084787C" w:rsidRPr="004B3B07" w:rsidRDefault="0084787C" w:rsidP="004B3B07">
      <w:pPr>
        <w:pStyle w:val="Default"/>
        <w:ind w:left="1069"/>
        <w:rPr>
          <w:rFonts w:ascii="Times New Roman" w:hAnsi="Times New Roman" w:cs="Times New Roman"/>
          <w:sz w:val="22"/>
          <w:szCs w:val="22"/>
        </w:rPr>
      </w:pPr>
    </w:p>
    <w:p w:rsidR="00C24D41" w:rsidRPr="00E055C6" w:rsidRDefault="00F51A0C" w:rsidP="00C24D41">
      <w:pPr>
        <w:pBdr>
          <w:top w:val="double" w:sz="4" w:space="1" w:color="auto"/>
          <w:left w:val="double" w:sz="4" w:space="0" w:color="auto"/>
          <w:bottom w:val="double" w:sz="4" w:space="1" w:color="auto"/>
          <w:right w:val="double" w:sz="4" w:space="0" w:color="auto"/>
        </w:pBdr>
        <w:jc w:val="center"/>
        <w:rPr>
          <w:b/>
          <w:bCs/>
        </w:rPr>
      </w:pPr>
      <w:r w:rsidRPr="00E055C6">
        <w:rPr>
          <w:b/>
          <w:bCs/>
        </w:rPr>
        <w:t>Reference ASAMPSA_E</w:t>
      </w:r>
    </w:p>
    <w:p w:rsidR="00C24D41" w:rsidRPr="00AF78DA" w:rsidRDefault="0050507E" w:rsidP="00C24D41">
      <w:pPr>
        <w:pBdr>
          <w:top w:val="double" w:sz="4" w:space="1" w:color="auto"/>
          <w:left w:val="double" w:sz="4" w:space="0" w:color="auto"/>
          <w:bottom w:val="double" w:sz="4" w:space="1" w:color="auto"/>
          <w:right w:val="double" w:sz="4" w:space="0" w:color="auto"/>
        </w:pBdr>
        <w:jc w:val="center"/>
        <w:rPr>
          <w:b/>
          <w:bCs/>
        </w:rPr>
      </w:pPr>
      <w:r w:rsidRPr="00E055C6">
        <w:rPr>
          <w:b/>
          <w:bCs/>
        </w:rPr>
        <w:t xml:space="preserve">Technical report </w:t>
      </w:r>
      <w:r w:rsidR="009A1C44" w:rsidRPr="00C464FF">
        <w:rPr>
          <w:b/>
          <w:bCs/>
        </w:rPr>
        <w:t xml:space="preserve">ASAMPSA_E / </w:t>
      </w:r>
      <w:r w:rsidR="009A1C44" w:rsidRPr="00EC412F">
        <w:rPr>
          <w:b/>
          <w:bCs/>
        </w:rPr>
        <w:t>WP</w:t>
      </w:r>
      <w:r w:rsidR="00163D01" w:rsidRPr="00EC412F">
        <w:rPr>
          <w:b/>
          <w:bCs/>
        </w:rPr>
        <w:t>2</w:t>
      </w:r>
      <w:r w:rsidR="005F3456" w:rsidRPr="00EC412F">
        <w:rPr>
          <w:b/>
          <w:bCs/>
        </w:rPr>
        <w:t>1</w:t>
      </w:r>
      <w:r w:rsidR="0084787C" w:rsidRPr="00EC412F">
        <w:rPr>
          <w:b/>
          <w:bCs/>
        </w:rPr>
        <w:t xml:space="preserve"> / </w:t>
      </w:r>
      <w:r w:rsidR="004B3B07">
        <w:rPr>
          <w:b/>
          <w:bCs/>
        </w:rPr>
        <w:t>D21.3-1</w:t>
      </w:r>
      <w:r w:rsidR="005F3456" w:rsidRPr="00EC412F">
        <w:rPr>
          <w:b/>
          <w:bCs/>
        </w:rPr>
        <w:t xml:space="preserve"> </w:t>
      </w:r>
      <w:r w:rsidR="009A1C44" w:rsidRPr="00EC412F">
        <w:rPr>
          <w:b/>
          <w:bCs/>
        </w:rPr>
        <w:t xml:space="preserve">/ </w:t>
      </w:r>
      <w:r w:rsidR="00671FE3" w:rsidRPr="00EC412F">
        <w:rPr>
          <w:b/>
          <w:bCs/>
        </w:rPr>
        <w:t>201</w:t>
      </w:r>
      <w:r w:rsidR="000F196E">
        <w:rPr>
          <w:b/>
          <w:bCs/>
        </w:rPr>
        <w:t>6</w:t>
      </w:r>
      <w:r w:rsidR="0084787C" w:rsidRPr="00EC412F">
        <w:rPr>
          <w:b/>
          <w:bCs/>
        </w:rPr>
        <w:t>-</w:t>
      </w:r>
      <w:r w:rsidR="004B3B07">
        <w:rPr>
          <w:b/>
          <w:bCs/>
        </w:rPr>
        <w:t>27</w:t>
      </w:r>
    </w:p>
    <w:p w:rsidR="009A1C44" w:rsidRPr="000F196E" w:rsidRDefault="00C24D41" w:rsidP="0084787C">
      <w:pPr>
        <w:pBdr>
          <w:top w:val="double" w:sz="4" w:space="1" w:color="auto"/>
          <w:left w:val="double" w:sz="4" w:space="0" w:color="auto"/>
          <w:bottom w:val="double" w:sz="4" w:space="1" w:color="auto"/>
          <w:right w:val="double" w:sz="4" w:space="0" w:color="auto"/>
        </w:pBdr>
        <w:jc w:val="center"/>
        <w:rPr>
          <w:b/>
          <w:bCs/>
        </w:rPr>
      </w:pPr>
      <w:r w:rsidRPr="00EC412F">
        <w:rPr>
          <w:b/>
          <w:color w:val="000000"/>
        </w:rPr>
        <w:t>Reference</w:t>
      </w:r>
      <w:r w:rsidR="0050507E" w:rsidRPr="00EC412F">
        <w:rPr>
          <w:b/>
          <w:color w:val="000000"/>
        </w:rPr>
        <w:t xml:space="preserve"> IRSN</w:t>
      </w:r>
      <w:r w:rsidR="0084787C" w:rsidRPr="00EC412F">
        <w:rPr>
          <w:b/>
          <w:bCs/>
        </w:rPr>
        <w:t xml:space="preserve"> </w:t>
      </w:r>
      <w:r w:rsidR="00F51A0C" w:rsidRPr="00EC412F">
        <w:rPr>
          <w:b/>
        </w:rPr>
        <w:t>PSN</w:t>
      </w:r>
      <w:r w:rsidR="001B563D" w:rsidRPr="00EC412F">
        <w:rPr>
          <w:b/>
        </w:rPr>
        <w:t>/</w:t>
      </w:r>
      <w:r w:rsidR="00F51A0C" w:rsidRPr="00EC412F">
        <w:rPr>
          <w:b/>
        </w:rPr>
        <w:t>RES/SAG/</w:t>
      </w:r>
      <w:r w:rsidR="004B3B07">
        <w:rPr>
          <w:b/>
        </w:rPr>
        <w:t>2016</w:t>
      </w:r>
      <w:r w:rsidR="001B563D" w:rsidRPr="00EC412F">
        <w:rPr>
          <w:b/>
        </w:rPr>
        <w:t>-</w:t>
      </w:r>
      <w:r w:rsidR="004B3B07">
        <w:rPr>
          <w:b/>
        </w:rPr>
        <w:t>00232</w:t>
      </w:r>
    </w:p>
    <w:p w:rsidR="009E5CD1" w:rsidRPr="000F196E" w:rsidRDefault="009E5CD1" w:rsidP="005164F9">
      <w:pPr>
        <w:rPr>
          <w:b/>
        </w:rPr>
      </w:pPr>
    </w:p>
    <w:p w:rsidR="00676E8A" w:rsidRPr="00A63CAC" w:rsidRDefault="00676E8A" w:rsidP="005164F9">
      <w:pPr>
        <w:tabs>
          <w:tab w:val="center" w:pos="4309"/>
        </w:tabs>
        <w:jc w:val="center"/>
        <w:rPr>
          <w:sz w:val="28"/>
          <w:lang w:val="de-AT"/>
        </w:rPr>
      </w:pPr>
    </w:p>
    <w:p w:rsidR="009E5CD1" w:rsidRPr="000560DC" w:rsidRDefault="000560DC" w:rsidP="005164F9">
      <w:pPr>
        <w:tabs>
          <w:tab w:val="center" w:pos="4309"/>
        </w:tabs>
        <w:jc w:val="center"/>
        <w:rPr>
          <w:sz w:val="28"/>
          <w:lang w:val="de-AT"/>
        </w:rPr>
      </w:pPr>
      <w:r w:rsidRPr="000560DC">
        <w:rPr>
          <w:sz w:val="28"/>
          <w:lang w:val="de-AT"/>
        </w:rPr>
        <w:t>K. Decker</w:t>
      </w:r>
      <w:r>
        <w:rPr>
          <w:sz w:val="28"/>
          <w:lang w:val="de-AT"/>
        </w:rPr>
        <w:t xml:space="preserve"> (</w:t>
      </w:r>
      <w:r w:rsidR="00E14482" w:rsidRPr="000560DC">
        <w:rPr>
          <w:sz w:val="28"/>
          <w:lang w:val="de-AT"/>
        </w:rPr>
        <w:t>UNIVIE</w:t>
      </w:r>
      <w:r>
        <w:rPr>
          <w:sz w:val="28"/>
          <w:lang w:val="de-AT"/>
        </w:rPr>
        <w:t>)</w:t>
      </w:r>
      <w:r w:rsidR="00E14482" w:rsidRPr="000560DC">
        <w:rPr>
          <w:sz w:val="28"/>
          <w:lang w:val="de-AT"/>
        </w:rPr>
        <w:t xml:space="preserve">, </w:t>
      </w:r>
      <w:r>
        <w:rPr>
          <w:sz w:val="28"/>
          <w:lang w:val="de-AT"/>
        </w:rPr>
        <w:t>K. Hirata (</w:t>
      </w:r>
      <w:r w:rsidR="00105DAD" w:rsidRPr="000560DC">
        <w:rPr>
          <w:sz w:val="28"/>
          <w:lang w:val="de-AT"/>
        </w:rPr>
        <w:t>JANSI</w:t>
      </w:r>
      <w:r>
        <w:rPr>
          <w:sz w:val="28"/>
          <w:lang w:val="de-AT"/>
        </w:rPr>
        <w:t>)</w:t>
      </w:r>
      <w:r w:rsidR="00676E8A" w:rsidRPr="000560DC">
        <w:rPr>
          <w:sz w:val="28"/>
          <w:lang w:val="de-AT"/>
        </w:rPr>
        <w:t xml:space="preserve">, </w:t>
      </w:r>
      <w:r>
        <w:rPr>
          <w:sz w:val="28"/>
          <w:lang w:val="de-AT"/>
        </w:rPr>
        <w:t>P. Groudev (I</w:t>
      </w:r>
      <w:r w:rsidR="00431169">
        <w:rPr>
          <w:sz w:val="28"/>
          <w:lang w:val="de-AT"/>
        </w:rPr>
        <w:t>N</w:t>
      </w:r>
      <w:r>
        <w:rPr>
          <w:sz w:val="28"/>
          <w:lang w:val="de-AT"/>
        </w:rPr>
        <w:t>RNE)</w:t>
      </w:r>
      <w:r w:rsidR="00105DAD" w:rsidRPr="000560DC">
        <w:rPr>
          <w:sz w:val="28"/>
          <w:lang w:val="de-AT"/>
        </w:rPr>
        <w:t xml:space="preserve"> </w:t>
      </w:r>
    </w:p>
    <w:p w:rsidR="005164F9" w:rsidRPr="00A63CAC" w:rsidRDefault="005164F9" w:rsidP="005164F9">
      <w:pPr>
        <w:rPr>
          <w:sz w:val="28"/>
          <w:lang w:val="de-AT"/>
        </w:rPr>
      </w:pPr>
    </w:p>
    <w:p w:rsidR="000560DC" w:rsidRPr="00A63CAC" w:rsidRDefault="000560DC" w:rsidP="005164F9">
      <w:pPr>
        <w:rPr>
          <w:sz w:val="28"/>
          <w:lang w:val="de-AT"/>
        </w:rPr>
      </w:pPr>
    </w:p>
    <w:p w:rsidR="000560DC" w:rsidRPr="00A63CAC" w:rsidRDefault="000560DC" w:rsidP="005164F9">
      <w:pPr>
        <w:rPr>
          <w:sz w:val="28"/>
          <w:lang w:val="de-AT"/>
        </w:rPr>
      </w:pPr>
    </w:p>
    <w:p w:rsidR="000560DC" w:rsidRPr="00A63CAC" w:rsidRDefault="000560DC" w:rsidP="005164F9">
      <w:pPr>
        <w:rPr>
          <w:sz w:val="28"/>
          <w:lang w:val="de-AT"/>
        </w:rPr>
      </w:pPr>
    </w:p>
    <w:p w:rsidR="000560DC" w:rsidRPr="00A63CAC" w:rsidRDefault="000560DC" w:rsidP="005164F9">
      <w:pPr>
        <w:rPr>
          <w:lang w:val="de-AT"/>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280"/>
        <w:gridCol w:w="3920"/>
      </w:tblGrid>
      <w:tr w:rsidR="005164F9" w:rsidRPr="00E055C6">
        <w:tblPrEx>
          <w:tblCellMar>
            <w:top w:w="0" w:type="dxa"/>
            <w:bottom w:w="0" w:type="dxa"/>
          </w:tblCellMar>
        </w:tblPrEx>
        <w:trPr>
          <w:cantSplit/>
        </w:trPr>
        <w:tc>
          <w:tcPr>
            <w:tcW w:w="3960" w:type="dxa"/>
            <w:gridSpan w:val="2"/>
          </w:tcPr>
          <w:p w:rsidR="005164F9" w:rsidRPr="00E055C6" w:rsidRDefault="00DF058D" w:rsidP="000F196E">
            <w:pPr>
              <w:rPr>
                <w:sz w:val="16"/>
                <w:szCs w:val="16"/>
              </w:rPr>
            </w:pPr>
            <w:r w:rsidRPr="00E055C6">
              <w:rPr>
                <w:sz w:val="16"/>
                <w:szCs w:val="16"/>
              </w:rPr>
              <w:t xml:space="preserve">Period covered: from  </w:t>
            </w:r>
            <w:r w:rsidR="00F51A0C" w:rsidRPr="00E055C6">
              <w:rPr>
                <w:sz w:val="16"/>
                <w:szCs w:val="16"/>
              </w:rPr>
              <w:t>01/0</w:t>
            </w:r>
            <w:r w:rsidR="006628F7">
              <w:rPr>
                <w:sz w:val="16"/>
                <w:szCs w:val="16"/>
              </w:rPr>
              <w:t>3</w:t>
            </w:r>
            <w:r w:rsidR="004B3B07">
              <w:rPr>
                <w:sz w:val="16"/>
                <w:szCs w:val="16"/>
              </w:rPr>
              <w:t>/201</w:t>
            </w:r>
            <w:r w:rsidR="006628F7">
              <w:rPr>
                <w:sz w:val="16"/>
                <w:szCs w:val="16"/>
              </w:rPr>
              <w:t>5</w:t>
            </w:r>
            <w:r w:rsidR="0050507E" w:rsidRPr="00E055C6">
              <w:rPr>
                <w:sz w:val="16"/>
                <w:szCs w:val="16"/>
              </w:rPr>
              <w:t xml:space="preserve"> </w:t>
            </w:r>
            <w:r w:rsidRPr="00E055C6">
              <w:rPr>
                <w:sz w:val="16"/>
                <w:szCs w:val="16"/>
              </w:rPr>
              <w:t xml:space="preserve"> to</w:t>
            </w:r>
            <w:r w:rsidR="0050507E" w:rsidRPr="00E055C6">
              <w:rPr>
                <w:sz w:val="16"/>
                <w:szCs w:val="16"/>
              </w:rPr>
              <w:t xml:space="preserve"> </w:t>
            </w:r>
            <w:r w:rsidR="00A8394B">
              <w:rPr>
                <w:sz w:val="16"/>
                <w:szCs w:val="16"/>
              </w:rPr>
              <w:t xml:space="preserve"> </w:t>
            </w:r>
            <w:r w:rsidR="004B3B07">
              <w:rPr>
                <w:sz w:val="16"/>
                <w:szCs w:val="16"/>
              </w:rPr>
              <w:t>31</w:t>
            </w:r>
            <w:r w:rsidR="0050507E" w:rsidRPr="00E055C6">
              <w:rPr>
                <w:sz w:val="16"/>
                <w:szCs w:val="16"/>
              </w:rPr>
              <w:t>/</w:t>
            </w:r>
            <w:r w:rsidR="004B3B07">
              <w:rPr>
                <w:sz w:val="16"/>
                <w:szCs w:val="16"/>
              </w:rPr>
              <w:t>12</w:t>
            </w:r>
            <w:r w:rsidR="0050507E" w:rsidRPr="00E055C6">
              <w:rPr>
                <w:sz w:val="16"/>
                <w:szCs w:val="16"/>
              </w:rPr>
              <w:t>/201</w:t>
            </w:r>
            <w:r w:rsidR="000F196E">
              <w:rPr>
                <w:sz w:val="16"/>
                <w:szCs w:val="16"/>
              </w:rPr>
              <w:t>6</w:t>
            </w:r>
          </w:p>
        </w:tc>
        <w:tc>
          <w:tcPr>
            <w:tcW w:w="6200" w:type="dxa"/>
            <w:gridSpan w:val="2"/>
          </w:tcPr>
          <w:p w:rsidR="005164F9" w:rsidRPr="00E055C6" w:rsidRDefault="005164F9" w:rsidP="00ED29FA">
            <w:pPr>
              <w:rPr>
                <w:sz w:val="16"/>
                <w:szCs w:val="16"/>
              </w:rPr>
            </w:pPr>
            <w:r w:rsidRPr="00E055C6">
              <w:rPr>
                <w:sz w:val="16"/>
                <w:szCs w:val="16"/>
              </w:rPr>
              <w:t xml:space="preserve">Actual submission date: </w:t>
            </w:r>
            <w:r w:rsidR="004B3B07">
              <w:rPr>
                <w:sz w:val="16"/>
                <w:szCs w:val="16"/>
              </w:rPr>
              <w:t>06/07/2016</w:t>
            </w:r>
          </w:p>
        </w:tc>
      </w:tr>
      <w:tr w:rsidR="005164F9" w:rsidRPr="00E055C6">
        <w:tblPrEx>
          <w:tblCellMar>
            <w:top w:w="0" w:type="dxa"/>
            <w:bottom w:w="0" w:type="dxa"/>
          </w:tblCellMar>
        </w:tblPrEx>
        <w:trPr>
          <w:cantSplit/>
        </w:trPr>
        <w:tc>
          <w:tcPr>
            <w:tcW w:w="3960" w:type="dxa"/>
            <w:gridSpan w:val="2"/>
          </w:tcPr>
          <w:p w:rsidR="005164F9" w:rsidRPr="00E055C6" w:rsidRDefault="005164F9" w:rsidP="00ED29FA">
            <w:pPr>
              <w:rPr>
                <w:sz w:val="16"/>
                <w:szCs w:val="16"/>
              </w:rPr>
            </w:pPr>
            <w:r w:rsidRPr="00E055C6">
              <w:rPr>
                <w:sz w:val="16"/>
                <w:szCs w:val="16"/>
              </w:rPr>
              <w:t>Star</w:t>
            </w:r>
            <w:r w:rsidR="00DF058D" w:rsidRPr="00E055C6">
              <w:rPr>
                <w:sz w:val="16"/>
                <w:szCs w:val="16"/>
              </w:rPr>
              <w:t>t date of ASAMPSA</w:t>
            </w:r>
            <w:r w:rsidR="00F51A0C" w:rsidRPr="00E055C6">
              <w:rPr>
                <w:sz w:val="16"/>
                <w:szCs w:val="16"/>
              </w:rPr>
              <w:t>_E</w:t>
            </w:r>
            <w:r w:rsidR="00DF058D" w:rsidRPr="00E055C6">
              <w:rPr>
                <w:sz w:val="16"/>
                <w:szCs w:val="16"/>
              </w:rPr>
              <w:t xml:space="preserve">:  </w:t>
            </w:r>
            <w:r w:rsidR="00F51A0C" w:rsidRPr="00E055C6">
              <w:rPr>
                <w:sz w:val="16"/>
                <w:szCs w:val="16"/>
              </w:rPr>
              <w:t>01/07</w:t>
            </w:r>
            <w:r w:rsidR="0050507E" w:rsidRPr="00E055C6">
              <w:rPr>
                <w:sz w:val="16"/>
                <w:szCs w:val="16"/>
              </w:rPr>
              <w:t>/20</w:t>
            </w:r>
            <w:r w:rsidR="00F51A0C" w:rsidRPr="00E055C6">
              <w:rPr>
                <w:sz w:val="16"/>
                <w:szCs w:val="16"/>
              </w:rPr>
              <w:t>13</w:t>
            </w:r>
          </w:p>
        </w:tc>
        <w:tc>
          <w:tcPr>
            <w:tcW w:w="6200" w:type="dxa"/>
            <w:gridSpan w:val="2"/>
          </w:tcPr>
          <w:p w:rsidR="005164F9" w:rsidRPr="00E055C6" w:rsidRDefault="005164F9" w:rsidP="00ED29FA">
            <w:pPr>
              <w:rPr>
                <w:sz w:val="16"/>
                <w:szCs w:val="16"/>
              </w:rPr>
            </w:pPr>
            <w:r w:rsidRPr="00E055C6">
              <w:rPr>
                <w:sz w:val="16"/>
                <w:szCs w:val="16"/>
              </w:rPr>
              <w:t xml:space="preserve">Duration: </w:t>
            </w:r>
            <w:r w:rsidR="004B3B07">
              <w:rPr>
                <w:sz w:val="16"/>
                <w:szCs w:val="16"/>
              </w:rPr>
              <w:t>42</w:t>
            </w:r>
            <w:r w:rsidR="00DF058D" w:rsidRPr="00E055C6">
              <w:rPr>
                <w:sz w:val="16"/>
                <w:szCs w:val="16"/>
              </w:rPr>
              <w:t xml:space="preserve"> months</w:t>
            </w:r>
          </w:p>
        </w:tc>
      </w:tr>
      <w:tr w:rsidR="00DF058D" w:rsidRPr="00E055C6" w:rsidTr="0072646D">
        <w:tblPrEx>
          <w:tblCellMar>
            <w:top w:w="0" w:type="dxa"/>
            <w:bottom w:w="0" w:type="dxa"/>
          </w:tblCellMar>
        </w:tblPrEx>
        <w:tc>
          <w:tcPr>
            <w:tcW w:w="1920" w:type="dxa"/>
          </w:tcPr>
          <w:p w:rsidR="00DF058D" w:rsidRPr="00E055C6" w:rsidRDefault="00DF058D" w:rsidP="004B3B07">
            <w:pPr>
              <w:rPr>
                <w:sz w:val="16"/>
                <w:szCs w:val="16"/>
              </w:rPr>
            </w:pPr>
            <w:r w:rsidRPr="00E055C6">
              <w:rPr>
                <w:sz w:val="16"/>
                <w:szCs w:val="16"/>
              </w:rPr>
              <w:t>WP No:</w:t>
            </w:r>
            <w:r w:rsidR="0050507E" w:rsidRPr="00E055C6">
              <w:rPr>
                <w:sz w:val="16"/>
                <w:szCs w:val="16"/>
              </w:rPr>
              <w:t xml:space="preserve"> </w:t>
            </w:r>
            <w:r w:rsidR="00425133">
              <w:rPr>
                <w:sz w:val="16"/>
                <w:szCs w:val="16"/>
              </w:rPr>
              <w:t>21</w:t>
            </w:r>
          </w:p>
        </w:tc>
        <w:tc>
          <w:tcPr>
            <w:tcW w:w="4320" w:type="dxa"/>
            <w:gridSpan w:val="2"/>
          </w:tcPr>
          <w:p w:rsidR="00DF058D" w:rsidRPr="00E055C6" w:rsidRDefault="00DF058D" w:rsidP="00425133">
            <w:pPr>
              <w:rPr>
                <w:sz w:val="16"/>
                <w:szCs w:val="16"/>
              </w:rPr>
            </w:pPr>
            <w:r w:rsidRPr="00E055C6">
              <w:rPr>
                <w:sz w:val="16"/>
                <w:szCs w:val="16"/>
              </w:rPr>
              <w:t>Lead topical coordinator :</w:t>
            </w:r>
            <w:r w:rsidR="0050507E" w:rsidRPr="00E055C6">
              <w:rPr>
                <w:sz w:val="16"/>
                <w:szCs w:val="16"/>
              </w:rPr>
              <w:t xml:space="preserve"> </w:t>
            </w:r>
            <w:r w:rsidR="00A8394B">
              <w:rPr>
                <w:sz w:val="16"/>
                <w:szCs w:val="16"/>
              </w:rPr>
              <w:t xml:space="preserve"> </w:t>
            </w:r>
            <w:r w:rsidR="004B3B07">
              <w:rPr>
                <w:sz w:val="16"/>
                <w:szCs w:val="16"/>
              </w:rPr>
              <w:t>K. Decker</w:t>
            </w:r>
          </w:p>
        </w:tc>
        <w:tc>
          <w:tcPr>
            <w:tcW w:w="3920" w:type="dxa"/>
          </w:tcPr>
          <w:p w:rsidR="00DF058D" w:rsidRPr="00E055C6" w:rsidRDefault="00DF058D" w:rsidP="00425133">
            <w:pPr>
              <w:jc w:val="left"/>
              <w:rPr>
                <w:sz w:val="16"/>
                <w:szCs w:val="16"/>
              </w:rPr>
            </w:pPr>
            <w:r w:rsidRPr="00E055C6">
              <w:rPr>
                <w:sz w:val="16"/>
                <w:szCs w:val="16"/>
              </w:rPr>
              <w:t>His organization name :</w:t>
            </w:r>
            <w:r w:rsidR="0050507E" w:rsidRPr="00E055C6">
              <w:rPr>
                <w:sz w:val="16"/>
                <w:szCs w:val="16"/>
              </w:rPr>
              <w:t xml:space="preserve"> </w:t>
            </w:r>
            <w:r w:rsidR="00A8394B">
              <w:rPr>
                <w:sz w:val="16"/>
                <w:szCs w:val="16"/>
              </w:rPr>
              <w:t xml:space="preserve"> </w:t>
            </w:r>
            <w:r w:rsidR="004B3B07">
              <w:rPr>
                <w:sz w:val="16"/>
                <w:szCs w:val="16"/>
              </w:rPr>
              <w:t>UNIVIE</w:t>
            </w:r>
          </w:p>
        </w:tc>
      </w:tr>
    </w:tbl>
    <w:p w:rsidR="005164F9" w:rsidRPr="00E055C6" w:rsidRDefault="005164F9" w:rsidP="005164F9"/>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E055C6" w:rsidTr="00354878">
        <w:tc>
          <w:tcPr>
            <w:tcW w:w="10240" w:type="dxa"/>
            <w:gridSpan w:val="3"/>
          </w:tcPr>
          <w:p w:rsidR="00DF058D" w:rsidRPr="00E055C6" w:rsidRDefault="00DF058D" w:rsidP="00354878">
            <w:pPr>
              <w:tabs>
                <w:tab w:val="center" w:pos="4536"/>
                <w:tab w:val="right" w:pos="9072"/>
              </w:tabs>
              <w:jc w:val="center"/>
              <w:rPr>
                <w:b/>
              </w:rPr>
            </w:pPr>
            <w:r w:rsidRPr="00E055C6">
              <w:rPr>
                <w:b/>
              </w:rPr>
              <w:t>Project co-funded by the European Commission Within the S</w:t>
            </w:r>
            <w:r w:rsidR="00813151" w:rsidRPr="00E055C6">
              <w:rPr>
                <w:b/>
              </w:rPr>
              <w:t>eventh</w:t>
            </w:r>
            <w:r w:rsidRPr="00E055C6">
              <w:rPr>
                <w:b/>
              </w:rPr>
              <w:t xml:space="preserve"> Framework Programme (20</w:t>
            </w:r>
            <w:r w:rsidR="00F51A0C" w:rsidRPr="00E055C6">
              <w:rPr>
                <w:b/>
              </w:rPr>
              <w:t>13-2016</w:t>
            </w:r>
            <w:r w:rsidRPr="00E055C6">
              <w:rPr>
                <w:b/>
              </w:rPr>
              <w:t>)</w:t>
            </w:r>
          </w:p>
        </w:tc>
      </w:tr>
      <w:tr w:rsidR="00DF058D" w:rsidRPr="00E055C6" w:rsidTr="00354878">
        <w:tc>
          <w:tcPr>
            <w:tcW w:w="10240" w:type="dxa"/>
            <w:gridSpan w:val="3"/>
          </w:tcPr>
          <w:p w:rsidR="00DF058D" w:rsidRPr="00E055C6" w:rsidRDefault="00DF058D" w:rsidP="00354878">
            <w:pPr>
              <w:tabs>
                <w:tab w:val="center" w:pos="4536"/>
                <w:tab w:val="right" w:pos="9072"/>
              </w:tabs>
              <w:jc w:val="center"/>
              <w:rPr>
                <w:b/>
              </w:rPr>
            </w:pPr>
            <w:r w:rsidRPr="00E055C6">
              <w:rPr>
                <w:b/>
              </w:rPr>
              <w:t>Dissemination Level</w:t>
            </w:r>
          </w:p>
        </w:tc>
      </w:tr>
      <w:tr w:rsidR="00DF058D" w:rsidRPr="00E055C6" w:rsidTr="00354878">
        <w:tc>
          <w:tcPr>
            <w:tcW w:w="1818" w:type="dxa"/>
          </w:tcPr>
          <w:p w:rsidR="00DF058D" w:rsidRPr="00E055C6" w:rsidRDefault="00DF058D" w:rsidP="00354878">
            <w:pPr>
              <w:tabs>
                <w:tab w:val="center" w:pos="4536"/>
                <w:tab w:val="right" w:pos="9072"/>
              </w:tabs>
            </w:pPr>
            <w:r w:rsidRPr="00E055C6">
              <w:t>PU</w:t>
            </w:r>
          </w:p>
        </w:tc>
        <w:tc>
          <w:tcPr>
            <w:tcW w:w="6374" w:type="dxa"/>
          </w:tcPr>
          <w:p w:rsidR="00DF058D" w:rsidRPr="00E055C6" w:rsidRDefault="00DF058D" w:rsidP="00354878">
            <w:pPr>
              <w:tabs>
                <w:tab w:val="center" w:pos="4536"/>
                <w:tab w:val="right" w:pos="9072"/>
              </w:tabs>
            </w:pPr>
            <w:r w:rsidRPr="00E055C6">
              <w:t>Public</w:t>
            </w:r>
          </w:p>
        </w:tc>
        <w:tc>
          <w:tcPr>
            <w:tcW w:w="2048" w:type="dxa"/>
          </w:tcPr>
          <w:p w:rsidR="00DF058D" w:rsidRPr="00E055C6" w:rsidRDefault="00DF058D" w:rsidP="00354878">
            <w:pPr>
              <w:tabs>
                <w:tab w:val="center" w:pos="4536"/>
                <w:tab w:val="right" w:pos="9072"/>
              </w:tabs>
            </w:pPr>
            <w:r w:rsidRPr="00E055C6">
              <w:t>No</w:t>
            </w:r>
          </w:p>
        </w:tc>
      </w:tr>
      <w:tr w:rsidR="00DF058D" w:rsidRPr="00E055C6" w:rsidTr="00354878">
        <w:tc>
          <w:tcPr>
            <w:tcW w:w="1818" w:type="dxa"/>
          </w:tcPr>
          <w:p w:rsidR="00DF058D" w:rsidRPr="00E055C6" w:rsidRDefault="00DF058D" w:rsidP="00354878">
            <w:pPr>
              <w:tabs>
                <w:tab w:val="center" w:pos="4536"/>
                <w:tab w:val="right" w:pos="9072"/>
              </w:tabs>
            </w:pPr>
            <w:r w:rsidRPr="00E055C6">
              <w:t>RE</w:t>
            </w:r>
          </w:p>
        </w:tc>
        <w:tc>
          <w:tcPr>
            <w:tcW w:w="6374" w:type="dxa"/>
          </w:tcPr>
          <w:p w:rsidR="00DF058D" w:rsidRPr="00E055C6" w:rsidRDefault="00DF058D" w:rsidP="00055334">
            <w:pPr>
              <w:tabs>
                <w:tab w:val="center" w:pos="4536"/>
                <w:tab w:val="right" w:pos="9072"/>
              </w:tabs>
              <w:jc w:val="left"/>
            </w:pPr>
            <w:r w:rsidRPr="00E055C6">
              <w:t>Restricted to a group specified</w:t>
            </w:r>
            <w:r w:rsidR="00F51A0C" w:rsidRPr="00E055C6">
              <w:t xml:space="preserve"> by the partners of the ASAMPSA_E</w:t>
            </w:r>
            <w:r w:rsidRPr="00E055C6">
              <w:t xml:space="preserve"> pr</w:t>
            </w:r>
            <w:r w:rsidRPr="00E055C6">
              <w:t>o</w:t>
            </w:r>
            <w:r w:rsidRPr="00E055C6">
              <w:t>ject</w:t>
            </w:r>
          </w:p>
        </w:tc>
        <w:tc>
          <w:tcPr>
            <w:tcW w:w="2048" w:type="dxa"/>
          </w:tcPr>
          <w:p w:rsidR="00DF058D" w:rsidRPr="00E055C6" w:rsidRDefault="003A7105" w:rsidP="00354878">
            <w:pPr>
              <w:tabs>
                <w:tab w:val="center" w:pos="4536"/>
                <w:tab w:val="right" w:pos="9072"/>
              </w:tabs>
            </w:pPr>
            <w:r w:rsidRPr="00E055C6">
              <w:t>Yes</w:t>
            </w:r>
          </w:p>
        </w:tc>
      </w:tr>
      <w:tr w:rsidR="00DF058D" w:rsidRPr="00E055C6" w:rsidTr="00354878">
        <w:tc>
          <w:tcPr>
            <w:tcW w:w="1818" w:type="dxa"/>
          </w:tcPr>
          <w:p w:rsidR="00DF058D" w:rsidRPr="00E055C6" w:rsidRDefault="00DF058D" w:rsidP="00354878">
            <w:pPr>
              <w:tabs>
                <w:tab w:val="center" w:pos="4536"/>
                <w:tab w:val="right" w:pos="9072"/>
              </w:tabs>
            </w:pPr>
            <w:r w:rsidRPr="00E055C6">
              <w:t>CO</w:t>
            </w:r>
          </w:p>
        </w:tc>
        <w:tc>
          <w:tcPr>
            <w:tcW w:w="6374" w:type="dxa"/>
          </w:tcPr>
          <w:p w:rsidR="00DF058D" w:rsidRPr="00E055C6" w:rsidRDefault="00DF058D" w:rsidP="00354878">
            <w:pPr>
              <w:tabs>
                <w:tab w:val="center" w:pos="4536"/>
                <w:tab w:val="right" w:pos="9072"/>
              </w:tabs>
            </w:pPr>
            <w:r w:rsidRPr="00E055C6">
              <w:t>Confidential, o</w:t>
            </w:r>
            <w:r w:rsidR="00F51A0C" w:rsidRPr="00E055C6">
              <w:t>nly for partners of the ASAMPSA_E</w:t>
            </w:r>
            <w:r w:rsidRPr="00E055C6">
              <w:t xml:space="preserve"> project</w:t>
            </w:r>
          </w:p>
        </w:tc>
        <w:tc>
          <w:tcPr>
            <w:tcW w:w="2048" w:type="dxa"/>
          </w:tcPr>
          <w:p w:rsidR="00DF058D" w:rsidRPr="00E055C6" w:rsidRDefault="004B3B07" w:rsidP="00354878">
            <w:pPr>
              <w:tabs>
                <w:tab w:val="center" w:pos="4536"/>
                <w:tab w:val="right" w:pos="9072"/>
              </w:tabs>
            </w:pPr>
            <w:r>
              <w:t>No</w:t>
            </w:r>
          </w:p>
        </w:tc>
      </w:tr>
    </w:tbl>
    <w:p w:rsidR="00E85F3F" w:rsidRPr="00E055C6" w:rsidRDefault="00E85F3F" w:rsidP="005164F9"/>
    <w:p w:rsidR="00C126D7" w:rsidRPr="00E055C6" w:rsidRDefault="00E85F3F" w:rsidP="005164F9">
      <w:r w:rsidRPr="00E055C6">
        <w:br w:type="page"/>
      </w:r>
    </w:p>
    <w:p w:rsidR="005164F9" w:rsidRPr="00E055C6" w:rsidRDefault="00C126D7" w:rsidP="002B17ED">
      <w:pPr>
        <w:jc w:val="center"/>
        <w:rPr>
          <w:b/>
          <w:bCs/>
          <w:sz w:val="28"/>
        </w:rPr>
      </w:pPr>
      <w:r w:rsidRPr="00E055C6">
        <w:rPr>
          <w:b/>
          <w:bCs/>
          <w:sz w:val="28"/>
        </w:rPr>
        <w:t>ASAMPSA</w:t>
      </w:r>
      <w:r w:rsidR="00F452F3" w:rsidRPr="00E055C6">
        <w:rPr>
          <w:b/>
          <w:bCs/>
          <w:sz w:val="28"/>
        </w:rPr>
        <w:t>_E</w:t>
      </w:r>
      <w:r w:rsidRPr="00E055C6">
        <w:rPr>
          <w:b/>
          <w:bCs/>
          <w:sz w:val="28"/>
        </w:rPr>
        <w:t xml:space="preserve"> Quality Assurance page</w:t>
      </w:r>
    </w:p>
    <w:p w:rsidR="00752C2D" w:rsidRPr="00E055C6" w:rsidRDefault="00752C2D" w:rsidP="00752C2D">
      <w:pPr>
        <w:jc w:val="center"/>
      </w:pPr>
    </w:p>
    <w:p w:rsidR="00752C2D" w:rsidRPr="00E055C6" w:rsidRDefault="00752C2D" w:rsidP="00752C2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6340"/>
      </w:tblGrid>
      <w:tr w:rsidR="00752C2D" w:rsidRPr="00E055C6" w:rsidTr="00354878">
        <w:tc>
          <w:tcPr>
            <w:tcW w:w="10127" w:type="dxa"/>
            <w:gridSpan w:val="2"/>
          </w:tcPr>
          <w:p w:rsidR="00752C2D" w:rsidRPr="00E055C6" w:rsidRDefault="00752C2D" w:rsidP="00354878">
            <w:pPr>
              <w:tabs>
                <w:tab w:val="center" w:pos="4536"/>
                <w:tab w:val="right" w:pos="9072"/>
              </w:tabs>
              <w:rPr>
                <w:b/>
              </w:rPr>
            </w:pPr>
            <w:r w:rsidRPr="00E055C6">
              <w:rPr>
                <w:b/>
              </w:rPr>
              <w:t>Partners responsible of the document :</w:t>
            </w:r>
            <w:r w:rsidR="0050507E" w:rsidRPr="00E055C6">
              <w:rPr>
                <w:b/>
              </w:rPr>
              <w:t xml:space="preserve"> </w:t>
            </w:r>
            <w:r w:rsidR="0050507E" w:rsidRPr="00E055C6">
              <w:rPr>
                <w:b/>
              </w:rPr>
              <w:tab/>
            </w:r>
            <w:r w:rsidR="008D4AFC">
              <w:rPr>
                <w:b/>
              </w:rPr>
              <w:t xml:space="preserve">UNIVIE - </w:t>
            </w:r>
            <w:r w:rsidR="0050507E" w:rsidRPr="00E055C6">
              <w:rPr>
                <w:b/>
              </w:rPr>
              <w:t>IRSN</w:t>
            </w:r>
          </w:p>
        </w:tc>
      </w:tr>
      <w:tr w:rsidR="00752C2D" w:rsidRPr="00E055C6" w:rsidTr="00354878">
        <w:tc>
          <w:tcPr>
            <w:tcW w:w="3384" w:type="dxa"/>
          </w:tcPr>
          <w:p w:rsidR="00752C2D" w:rsidRPr="00E055C6" w:rsidRDefault="00752C2D" w:rsidP="00354878">
            <w:pPr>
              <w:tabs>
                <w:tab w:val="center" w:pos="4536"/>
                <w:tab w:val="right" w:pos="9072"/>
              </w:tabs>
              <w:rPr>
                <w:b/>
              </w:rPr>
            </w:pPr>
            <w:r w:rsidRPr="00E055C6">
              <w:rPr>
                <w:b/>
              </w:rPr>
              <w:t>Nature of document</w:t>
            </w:r>
          </w:p>
        </w:tc>
        <w:tc>
          <w:tcPr>
            <w:tcW w:w="6743" w:type="dxa"/>
          </w:tcPr>
          <w:p w:rsidR="00752C2D" w:rsidRPr="00E055C6" w:rsidRDefault="009A1C44" w:rsidP="00354878">
            <w:pPr>
              <w:tabs>
                <w:tab w:val="center" w:pos="4536"/>
                <w:tab w:val="right" w:pos="9072"/>
              </w:tabs>
            </w:pPr>
            <w:r w:rsidRPr="00E055C6">
              <w:t xml:space="preserve">Technical report </w:t>
            </w:r>
          </w:p>
        </w:tc>
      </w:tr>
      <w:tr w:rsidR="00752C2D" w:rsidRPr="008D4AFC" w:rsidTr="00354878">
        <w:tc>
          <w:tcPr>
            <w:tcW w:w="3384" w:type="dxa"/>
          </w:tcPr>
          <w:p w:rsidR="00752C2D" w:rsidRPr="00E055C6" w:rsidRDefault="00752C2D" w:rsidP="00354878">
            <w:pPr>
              <w:tabs>
                <w:tab w:val="center" w:pos="4536"/>
                <w:tab w:val="right" w:pos="9072"/>
              </w:tabs>
              <w:rPr>
                <w:b/>
              </w:rPr>
            </w:pPr>
            <w:r w:rsidRPr="00E055C6">
              <w:rPr>
                <w:b/>
              </w:rPr>
              <w:t>Reference(s)</w:t>
            </w:r>
          </w:p>
        </w:tc>
        <w:tc>
          <w:tcPr>
            <w:tcW w:w="6743" w:type="dxa"/>
          </w:tcPr>
          <w:p w:rsidR="0050507E" w:rsidRPr="00E055C6" w:rsidRDefault="0050507E" w:rsidP="00354878">
            <w:pPr>
              <w:tabs>
                <w:tab w:val="center" w:pos="4536"/>
                <w:tab w:val="right" w:pos="9072"/>
              </w:tabs>
              <w:rPr>
                <w:bCs/>
              </w:rPr>
            </w:pPr>
            <w:r w:rsidRPr="00E055C6">
              <w:rPr>
                <w:bCs/>
              </w:rPr>
              <w:t>Technical repo</w:t>
            </w:r>
            <w:r w:rsidR="001F76B8" w:rsidRPr="00E055C6">
              <w:rPr>
                <w:bCs/>
              </w:rPr>
              <w:t xml:space="preserve">rt </w:t>
            </w:r>
            <w:r w:rsidR="00323C1B" w:rsidRPr="00E055C6">
              <w:rPr>
                <w:bCs/>
              </w:rPr>
              <w:t xml:space="preserve">ASAMPSA_E/ </w:t>
            </w:r>
            <w:r w:rsidR="00323C1B" w:rsidRPr="008D4AFC">
              <w:rPr>
                <w:bCs/>
              </w:rPr>
              <w:t>WP</w:t>
            </w:r>
            <w:r w:rsidR="00105DAD" w:rsidRPr="008D4AFC">
              <w:rPr>
                <w:bCs/>
              </w:rPr>
              <w:t>21</w:t>
            </w:r>
            <w:r w:rsidR="00323C1B" w:rsidRPr="008D4AFC">
              <w:rPr>
                <w:bCs/>
              </w:rPr>
              <w:t xml:space="preserve"> / D</w:t>
            </w:r>
            <w:r w:rsidR="006D7586" w:rsidRPr="008D4AFC">
              <w:rPr>
                <w:bCs/>
              </w:rPr>
              <w:t>2</w:t>
            </w:r>
            <w:r w:rsidR="00105DAD" w:rsidRPr="008D4AFC">
              <w:rPr>
                <w:bCs/>
              </w:rPr>
              <w:t>1</w:t>
            </w:r>
            <w:r w:rsidR="00671FE3" w:rsidRPr="008D4AFC">
              <w:rPr>
                <w:bCs/>
              </w:rPr>
              <w:t>-3</w:t>
            </w:r>
            <w:r w:rsidR="00812737" w:rsidRPr="008D4AFC">
              <w:rPr>
                <w:bCs/>
              </w:rPr>
              <w:t>-1</w:t>
            </w:r>
            <w:r w:rsidR="00671FE3" w:rsidRPr="008D4AFC">
              <w:rPr>
                <w:bCs/>
              </w:rPr>
              <w:t xml:space="preserve"> </w:t>
            </w:r>
            <w:r w:rsidR="00323C1B" w:rsidRPr="008D4AFC">
              <w:rPr>
                <w:bCs/>
              </w:rPr>
              <w:t>/ 201</w:t>
            </w:r>
            <w:r w:rsidR="000560DC" w:rsidRPr="008D4AFC">
              <w:rPr>
                <w:bCs/>
              </w:rPr>
              <w:t>6</w:t>
            </w:r>
            <w:r w:rsidR="00323C1B" w:rsidRPr="008D4AFC">
              <w:rPr>
                <w:bCs/>
              </w:rPr>
              <w:t>-</w:t>
            </w:r>
            <w:r w:rsidR="00812737">
              <w:rPr>
                <w:bCs/>
              </w:rPr>
              <w:t>27</w:t>
            </w:r>
          </w:p>
          <w:p w:rsidR="00752C2D" w:rsidRPr="008D4AFC" w:rsidRDefault="00323C1B" w:rsidP="000560DC">
            <w:pPr>
              <w:tabs>
                <w:tab w:val="center" w:pos="4536"/>
                <w:tab w:val="right" w:pos="9072"/>
              </w:tabs>
              <w:rPr>
                <w:lang w:val="fr-FR"/>
              </w:rPr>
            </w:pPr>
            <w:r w:rsidRPr="008D4AFC">
              <w:rPr>
                <w:lang w:val="fr-FR"/>
              </w:rPr>
              <w:t>Rapport IRSN-PSN-RES/ SAG/</w:t>
            </w:r>
            <w:r w:rsidR="000560DC" w:rsidRPr="008D4AFC">
              <w:rPr>
                <w:lang w:val="fr-FR"/>
              </w:rPr>
              <w:t>2016</w:t>
            </w:r>
            <w:r w:rsidR="00812737" w:rsidRPr="008D4AFC">
              <w:rPr>
                <w:lang w:val="fr-FR"/>
              </w:rPr>
              <w:t>-00232</w:t>
            </w:r>
            <w:r w:rsidR="009A1C44" w:rsidRPr="008D4AFC">
              <w:rPr>
                <w:lang w:val="fr-FR"/>
              </w:rPr>
              <w:t xml:space="preserve"> </w:t>
            </w:r>
          </w:p>
        </w:tc>
      </w:tr>
      <w:tr w:rsidR="00752C2D" w:rsidRPr="00E055C6" w:rsidTr="00354878">
        <w:tc>
          <w:tcPr>
            <w:tcW w:w="3384" w:type="dxa"/>
          </w:tcPr>
          <w:p w:rsidR="00752C2D" w:rsidRPr="00E055C6" w:rsidRDefault="00752C2D" w:rsidP="00354878">
            <w:pPr>
              <w:tabs>
                <w:tab w:val="center" w:pos="4536"/>
                <w:tab w:val="right" w:pos="9072"/>
              </w:tabs>
              <w:rPr>
                <w:b/>
              </w:rPr>
            </w:pPr>
            <w:r w:rsidRPr="00E055C6">
              <w:rPr>
                <w:b/>
              </w:rPr>
              <w:t>Title</w:t>
            </w:r>
          </w:p>
        </w:tc>
        <w:tc>
          <w:tcPr>
            <w:tcW w:w="6743" w:type="dxa"/>
          </w:tcPr>
          <w:p w:rsidR="00752C2D" w:rsidRPr="00E055C6" w:rsidRDefault="000560DC" w:rsidP="002E2F8C">
            <w:pPr>
              <w:tabs>
                <w:tab w:val="center" w:pos="4536"/>
                <w:tab w:val="right" w:pos="9072"/>
              </w:tabs>
              <w:rPr>
                <w:bCs/>
              </w:rPr>
            </w:pPr>
            <w:r w:rsidRPr="000560DC">
              <w:rPr>
                <w:bCs/>
                <w:iCs/>
                <w:szCs w:val="18"/>
              </w:rPr>
              <w:t>Review of existing practices to model and implement SEISMIC hazards in extended PSA</w:t>
            </w:r>
          </w:p>
        </w:tc>
      </w:tr>
      <w:tr w:rsidR="00752C2D" w:rsidRPr="002E2F8C" w:rsidTr="00354878">
        <w:tc>
          <w:tcPr>
            <w:tcW w:w="3384" w:type="dxa"/>
          </w:tcPr>
          <w:p w:rsidR="00752C2D" w:rsidRPr="00E055C6" w:rsidRDefault="00752C2D" w:rsidP="00354878">
            <w:pPr>
              <w:tabs>
                <w:tab w:val="center" w:pos="4536"/>
                <w:tab w:val="right" w:pos="9072"/>
              </w:tabs>
              <w:rPr>
                <w:b/>
              </w:rPr>
            </w:pPr>
            <w:r w:rsidRPr="00E055C6">
              <w:rPr>
                <w:b/>
              </w:rPr>
              <w:t>Author</w:t>
            </w:r>
            <w:r w:rsidR="009A1C44" w:rsidRPr="00E055C6">
              <w:rPr>
                <w:b/>
              </w:rPr>
              <w:t>(s)</w:t>
            </w:r>
          </w:p>
        </w:tc>
        <w:tc>
          <w:tcPr>
            <w:tcW w:w="6743" w:type="dxa"/>
          </w:tcPr>
          <w:p w:rsidR="00752C2D" w:rsidRPr="002E2F8C" w:rsidRDefault="002E2F8C" w:rsidP="008A3991">
            <w:pPr>
              <w:tabs>
                <w:tab w:val="center" w:pos="4536"/>
                <w:tab w:val="right" w:pos="9072"/>
              </w:tabs>
              <w:rPr>
                <w:lang w:val="de-AT"/>
              </w:rPr>
            </w:pPr>
            <w:r w:rsidRPr="002E2F8C">
              <w:rPr>
                <w:lang w:val="de-AT"/>
              </w:rPr>
              <w:t>K. Decker (UNIVIE), K. Hirata (JANSI), P. Groudev (IRNE)</w:t>
            </w:r>
          </w:p>
        </w:tc>
      </w:tr>
      <w:tr w:rsidR="00752C2D" w:rsidRPr="00E055C6" w:rsidTr="00354878">
        <w:tc>
          <w:tcPr>
            <w:tcW w:w="3384" w:type="dxa"/>
          </w:tcPr>
          <w:p w:rsidR="00752C2D" w:rsidRPr="00E055C6" w:rsidRDefault="00752C2D" w:rsidP="00354878">
            <w:pPr>
              <w:tabs>
                <w:tab w:val="center" w:pos="4536"/>
                <w:tab w:val="right" w:pos="9072"/>
              </w:tabs>
              <w:rPr>
                <w:b/>
              </w:rPr>
            </w:pPr>
            <w:r w:rsidRPr="00E055C6">
              <w:rPr>
                <w:b/>
              </w:rPr>
              <w:t>Delivery date</w:t>
            </w:r>
          </w:p>
        </w:tc>
        <w:tc>
          <w:tcPr>
            <w:tcW w:w="6743" w:type="dxa"/>
          </w:tcPr>
          <w:p w:rsidR="00752C2D" w:rsidRPr="00E055C6" w:rsidRDefault="000F196E" w:rsidP="00414252">
            <w:pPr>
              <w:tabs>
                <w:tab w:val="center" w:pos="4536"/>
                <w:tab w:val="right" w:pos="9072"/>
              </w:tabs>
            </w:pPr>
            <w:r>
              <w:t>20 May 2016</w:t>
            </w:r>
          </w:p>
        </w:tc>
      </w:tr>
      <w:tr w:rsidR="00752C2D" w:rsidRPr="00E055C6" w:rsidTr="00354878">
        <w:tc>
          <w:tcPr>
            <w:tcW w:w="3384" w:type="dxa"/>
          </w:tcPr>
          <w:p w:rsidR="00752C2D" w:rsidRPr="00E055C6" w:rsidRDefault="00752C2D" w:rsidP="00354878">
            <w:pPr>
              <w:tabs>
                <w:tab w:val="center" w:pos="4536"/>
                <w:tab w:val="right" w:pos="9072"/>
              </w:tabs>
              <w:rPr>
                <w:b/>
              </w:rPr>
            </w:pPr>
            <w:r w:rsidRPr="00E055C6">
              <w:rPr>
                <w:b/>
              </w:rPr>
              <w:t>Topical area</w:t>
            </w:r>
          </w:p>
        </w:tc>
        <w:tc>
          <w:tcPr>
            <w:tcW w:w="6743" w:type="dxa"/>
          </w:tcPr>
          <w:p w:rsidR="00752C2D" w:rsidRPr="00E055C6" w:rsidRDefault="000560DC" w:rsidP="000560DC">
            <w:pPr>
              <w:tabs>
                <w:tab w:val="center" w:pos="4536"/>
                <w:tab w:val="right" w:pos="9072"/>
              </w:tabs>
            </w:pPr>
            <w:r>
              <w:t xml:space="preserve">Natural hazards, seismic hazard assessment </w:t>
            </w:r>
          </w:p>
        </w:tc>
      </w:tr>
      <w:tr w:rsidR="002B17ED" w:rsidRPr="00E055C6" w:rsidTr="00354878">
        <w:tc>
          <w:tcPr>
            <w:tcW w:w="3384" w:type="dxa"/>
            <w:vMerge w:val="restart"/>
          </w:tcPr>
          <w:p w:rsidR="002B17ED" w:rsidRPr="00E055C6" w:rsidRDefault="002B17ED" w:rsidP="00354878">
            <w:pPr>
              <w:tabs>
                <w:tab w:val="center" w:pos="4536"/>
                <w:tab w:val="right" w:pos="9072"/>
              </w:tabs>
              <w:jc w:val="left"/>
              <w:rPr>
                <w:b/>
              </w:rPr>
            </w:pPr>
            <w:r w:rsidRPr="00E055C6">
              <w:rPr>
                <w:b/>
              </w:rPr>
              <w:t>For Journal &amp; Conf. papers</w:t>
            </w:r>
          </w:p>
        </w:tc>
        <w:tc>
          <w:tcPr>
            <w:tcW w:w="6743" w:type="dxa"/>
          </w:tcPr>
          <w:p w:rsidR="002B17ED" w:rsidRPr="00E055C6" w:rsidRDefault="00323C1B" w:rsidP="00354878">
            <w:pPr>
              <w:tabs>
                <w:tab w:val="center" w:pos="4536"/>
                <w:tab w:val="right" w:pos="9072"/>
              </w:tabs>
            </w:pPr>
            <w:r w:rsidRPr="00E055C6">
              <w:t>No</w:t>
            </w:r>
          </w:p>
        </w:tc>
      </w:tr>
      <w:tr w:rsidR="002B17ED" w:rsidRPr="00E055C6" w:rsidTr="00354878">
        <w:tc>
          <w:tcPr>
            <w:tcW w:w="3384" w:type="dxa"/>
            <w:vMerge/>
          </w:tcPr>
          <w:p w:rsidR="002B17ED" w:rsidRPr="00E055C6" w:rsidRDefault="002B17ED" w:rsidP="00354878">
            <w:pPr>
              <w:tabs>
                <w:tab w:val="center" w:pos="4536"/>
                <w:tab w:val="right" w:pos="9072"/>
              </w:tabs>
            </w:pPr>
          </w:p>
        </w:tc>
        <w:tc>
          <w:tcPr>
            <w:tcW w:w="6743" w:type="dxa"/>
          </w:tcPr>
          <w:p w:rsidR="002B17ED" w:rsidRPr="00E055C6" w:rsidRDefault="002B17ED" w:rsidP="00354878">
            <w:pPr>
              <w:tabs>
                <w:tab w:val="center" w:pos="4536"/>
                <w:tab w:val="right" w:pos="9072"/>
              </w:tabs>
            </w:pPr>
          </w:p>
        </w:tc>
      </w:tr>
      <w:tr w:rsidR="00752C2D" w:rsidRPr="00E055C6" w:rsidTr="00354878">
        <w:tc>
          <w:tcPr>
            <w:tcW w:w="10127" w:type="dxa"/>
            <w:gridSpan w:val="2"/>
          </w:tcPr>
          <w:p w:rsidR="00752C2D" w:rsidRDefault="00752C2D" w:rsidP="00354878">
            <w:pPr>
              <w:tabs>
                <w:tab w:val="center" w:pos="4536"/>
                <w:tab w:val="right" w:pos="9072"/>
              </w:tabs>
            </w:pPr>
            <w:r w:rsidRPr="00E055C6">
              <w:rPr>
                <w:b/>
                <w:u w:val="single"/>
              </w:rPr>
              <w:t>Summary</w:t>
            </w:r>
            <w:r w:rsidR="002B17ED" w:rsidRPr="00E055C6">
              <w:rPr>
                <w:b/>
                <w:u w:val="single"/>
              </w:rPr>
              <w:t> </w:t>
            </w:r>
            <w:r w:rsidR="002B17ED" w:rsidRPr="00E055C6">
              <w:t>:</w:t>
            </w:r>
          </w:p>
          <w:p w:rsidR="00671FE3" w:rsidRDefault="00671FE3" w:rsidP="00354878">
            <w:pPr>
              <w:tabs>
                <w:tab w:val="center" w:pos="4536"/>
                <w:tab w:val="right" w:pos="9072"/>
              </w:tabs>
            </w:pPr>
            <w:r>
              <w:t>Th</w:t>
            </w:r>
            <w:r w:rsidR="00105DAD">
              <w:t xml:space="preserve">e current </w:t>
            </w:r>
            <w:r>
              <w:t xml:space="preserve">report provides </w:t>
            </w:r>
            <w:r w:rsidR="00105DAD">
              <w:t xml:space="preserve">guidance for </w:t>
            </w:r>
            <w:r w:rsidR="00735E6F">
              <w:t xml:space="preserve">the assessment of </w:t>
            </w:r>
            <w:r w:rsidR="00E741B5">
              <w:t>seismotectonic</w:t>
            </w:r>
            <w:r w:rsidR="00105DAD">
              <w:t xml:space="preserve"> hazards </w:t>
            </w:r>
            <w:r>
              <w:t>in level 1</w:t>
            </w:r>
            <w:r w:rsidR="005F3456">
              <w:t>&amp;2</w:t>
            </w:r>
            <w:r>
              <w:t xml:space="preserve"> PSA. The objective is to </w:t>
            </w:r>
            <w:r w:rsidR="00105DAD">
              <w:t xml:space="preserve">review existing guidance, identify </w:t>
            </w:r>
            <w:r w:rsidR="00B316CF">
              <w:t xml:space="preserve">methodological </w:t>
            </w:r>
            <w:r w:rsidR="00105DAD">
              <w:t>challenges, a</w:t>
            </w:r>
            <w:r>
              <w:t xml:space="preserve">nd to propose </w:t>
            </w:r>
            <w:r w:rsidR="00A63CAC">
              <w:t>novel</w:t>
            </w:r>
            <w:r w:rsidR="00105DAD">
              <w:t xml:space="preserve"> </w:t>
            </w:r>
            <w:r>
              <w:t xml:space="preserve">guidance </w:t>
            </w:r>
            <w:r w:rsidR="00105DAD">
              <w:t>on key issues</w:t>
            </w:r>
            <w:r>
              <w:t xml:space="preserve">. </w:t>
            </w:r>
            <w:r w:rsidR="00E741B5">
              <w:t>Guidance</w:t>
            </w:r>
            <w:r>
              <w:t xml:space="preserve"> </w:t>
            </w:r>
            <w:r w:rsidR="002E2F8C">
              <w:t xml:space="preserve">for </w:t>
            </w:r>
            <w:r w:rsidR="00B316CF">
              <w:t xml:space="preserve">the assessment of </w:t>
            </w:r>
            <w:r w:rsidR="00735E6F">
              <w:t>vibratory ground motion and fault capability comprises</w:t>
            </w:r>
            <w:r>
              <w:t xml:space="preserve"> the following</w:t>
            </w:r>
            <w:r w:rsidR="00B316CF">
              <w:t xml:space="preserve"> </w:t>
            </w:r>
            <w:r>
              <w:t>:</w:t>
            </w:r>
          </w:p>
          <w:p w:rsidR="00671FE3" w:rsidRDefault="00773D74" w:rsidP="00860D1D">
            <w:pPr>
              <w:numPr>
                <w:ilvl w:val="0"/>
                <w:numId w:val="52"/>
              </w:numPr>
              <w:tabs>
                <w:tab w:val="center" w:pos="340"/>
                <w:tab w:val="center" w:pos="567"/>
                <w:tab w:val="center" w:pos="4536"/>
                <w:tab w:val="right" w:pos="9072"/>
              </w:tabs>
              <w:ind w:left="397" w:hanging="340"/>
            </w:pPr>
            <w:r>
              <w:t>l</w:t>
            </w:r>
            <w:r w:rsidR="00A63CAC">
              <w:t>istings of d</w:t>
            </w:r>
            <w:r w:rsidR="00E741B5">
              <w:t xml:space="preserve">ata required for the hazard assessment </w:t>
            </w:r>
            <w:r w:rsidR="00A63CAC">
              <w:t>and</w:t>
            </w:r>
            <w:r w:rsidR="00E741B5">
              <w:t xml:space="preserve"> methods to estimate data quality and completeness</w:t>
            </w:r>
            <w:r w:rsidR="00735E6F">
              <w:t>;</w:t>
            </w:r>
          </w:p>
          <w:p w:rsidR="00E741B5" w:rsidRDefault="00773D74" w:rsidP="00860D1D">
            <w:pPr>
              <w:numPr>
                <w:ilvl w:val="0"/>
                <w:numId w:val="52"/>
              </w:numPr>
              <w:tabs>
                <w:tab w:val="center" w:pos="340"/>
                <w:tab w:val="center" w:pos="567"/>
                <w:tab w:val="center" w:pos="4536"/>
                <w:tab w:val="right" w:pos="9072"/>
              </w:tabs>
              <w:ind w:left="397" w:hanging="340"/>
            </w:pPr>
            <w:r>
              <w:t>i</w:t>
            </w:r>
            <w:r w:rsidR="00E741B5">
              <w:t>n-depth discussion of key input parameters required for hazard models</w:t>
            </w:r>
            <w:r w:rsidR="00735E6F">
              <w:t>;</w:t>
            </w:r>
          </w:p>
          <w:p w:rsidR="00E741B5" w:rsidRDefault="00773D74" w:rsidP="00860D1D">
            <w:pPr>
              <w:numPr>
                <w:ilvl w:val="0"/>
                <w:numId w:val="52"/>
              </w:numPr>
              <w:tabs>
                <w:tab w:val="center" w:pos="340"/>
                <w:tab w:val="center" w:pos="567"/>
                <w:tab w:val="center" w:pos="4536"/>
                <w:tab w:val="right" w:pos="9072"/>
              </w:tabs>
              <w:ind w:left="397" w:hanging="340"/>
            </w:pPr>
            <w:r>
              <w:t>d</w:t>
            </w:r>
            <w:r w:rsidR="00E741B5">
              <w:t xml:space="preserve">iscussions on commonly applied </w:t>
            </w:r>
            <w:r w:rsidR="00735E6F">
              <w:t>hazard assessment methodologies;</w:t>
            </w:r>
          </w:p>
          <w:p w:rsidR="00E741B5" w:rsidRDefault="00773D74" w:rsidP="00860D1D">
            <w:pPr>
              <w:numPr>
                <w:ilvl w:val="0"/>
                <w:numId w:val="52"/>
              </w:numPr>
              <w:tabs>
                <w:tab w:val="center" w:pos="340"/>
                <w:tab w:val="center" w:pos="567"/>
                <w:tab w:val="center" w:pos="4536"/>
                <w:tab w:val="right" w:pos="9072"/>
              </w:tabs>
              <w:ind w:left="397" w:hanging="340"/>
            </w:pPr>
            <w:r>
              <w:t>r</w:t>
            </w:r>
            <w:r w:rsidR="00E741B5">
              <w:t>eferences to recent advances of science and technology</w:t>
            </w:r>
            <w:r w:rsidR="00735E6F">
              <w:t>.</w:t>
            </w:r>
          </w:p>
          <w:p w:rsidR="00E741B5" w:rsidRDefault="00E741B5" w:rsidP="00735E6F">
            <w:pPr>
              <w:tabs>
                <w:tab w:val="center" w:pos="567"/>
                <w:tab w:val="center" w:pos="4536"/>
                <w:tab w:val="right" w:pos="9072"/>
              </w:tabs>
              <w:ind w:left="567" w:hanging="567"/>
            </w:pPr>
          </w:p>
          <w:p w:rsidR="00E741B5" w:rsidRDefault="00E741B5" w:rsidP="00E741B5">
            <w:pPr>
              <w:tabs>
                <w:tab w:val="center" w:pos="4536"/>
                <w:tab w:val="right" w:pos="9072"/>
              </w:tabs>
            </w:pPr>
            <w:r>
              <w:t xml:space="preserve">Guidance on the assessment of correlated </w:t>
            </w:r>
            <w:r w:rsidR="00735E6F">
              <w:t>or coincident</w:t>
            </w:r>
            <w:r>
              <w:t xml:space="preserve"> hazards</w:t>
            </w:r>
            <w:r w:rsidR="00735E6F">
              <w:t xml:space="preserve"> comprises of chapters on </w:t>
            </w:r>
            <w:r>
              <w:t>:</w:t>
            </w:r>
          </w:p>
          <w:p w:rsidR="00507961" w:rsidRDefault="00773D74" w:rsidP="00860D1D">
            <w:pPr>
              <w:numPr>
                <w:ilvl w:val="0"/>
                <w:numId w:val="52"/>
              </w:numPr>
              <w:tabs>
                <w:tab w:val="center" w:pos="340"/>
                <w:tab w:val="center" w:pos="567"/>
                <w:tab w:val="center" w:pos="4536"/>
                <w:tab w:val="right" w:pos="9072"/>
              </w:tabs>
              <w:ind w:left="397" w:hanging="340"/>
            </w:pPr>
            <w:r>
              <w:t>s</w:t>
            </w:r>
            <w:r w:rsidR="00507961">
              <w:t>creening of correlated hazards</w:t>
            </w:r>
            <w:r w:rsidR="00735E6F">
              <w:t>;</w:t>
            </w:r>
          </w:p>
          <w:p w:rsidR="00507961" w:rsidRDefault="00773D74" w:rsidP="00860D1D">
            <w:pPr>
              <w:numPr>
                <w:ilvl w:val="0"/>
                <w:numId w:val="52"/>
              </w:numPr>
              <w:tabs>
                <w:tab w:val="center" w:pos="340"/>
                <w:tab w:val="center" w:pos="567"/>
                <w:tab w:val="center" w:pos="4536"/>
                <w:tab w:val="right" w:pos="9072"/>
              </w:tabs>
              <w:ind w:left="397" w:hanging="340"/>
            </w:pPr>
            <w:r>
              <w:t>a</w:t>
            </w:r>
            <w:r w:rsidR="002E2F8C">
              <w:t>ssessment</w:t>
            </w:r>
            <w:r w:rsidR="00E741B5">
              <w:t xml:space="preserve"> of correlated</w:t>
            </w:r>
            <w:r w:rsidR="002E2F8C">
              <w:t xml:space="preserve"> hazards </w:t>
            </w:r>
            <w:r w:rsidR="00B316CF">
              <w:t>(natural and</w:t>
            </w:r>
            <w:r w:rsidR="002E2F8C">
              <w:t xml:space="preserve"> </w:t>
            </w:r>
            <w:r w:rsidR="00735E6F">
              <w:t>man-made</w:t>
            </w:r>
            <w:r w:rsidR="00B316CF">
              <w:t>);</w:t>
            </w:r>
          </w:p>
          <w:p w:rsidR="00507961" w:rsidRDefault="00773D74" w:rsidP="00860D1D">
            <w:pPr>
              <w:numPr>
                <w:ilvl w:val="0"/>
                <w:numId w:val="52"/>
              </w:numPr>
              <w:tabs>
                <w:tab w:val="center" w:pos="340"/>
                <w:tab w:val="center" w:pos="567"/>
                <w:tab w:val="center" w:pos="4536"/>
                <w:tab w:val="right" w:pos="9072"/>
              </w:tabs>
              <w:ind w:left="397" w:hanging="340"/>
            </w:pPr>
            <w:r>
              <w:t>a</w:t>
            </w:r>
            <w:r w:rsidR="00507961">
              <w:t>ssessments of coincident</w:t>
            </w:r>
            <w:r w:rsidR="00735E6F">
              <w:t xml:space="preserve"> hazards.</w:t>
            </w:r>
          </w:p>
          <w:p w:rsidR="00507961" w:rsidRPr="00E055C6" w:rsidRDefault="00507961" w:rsidP="00507961">
            <w:pPr>
              <w:tabs>
                <w:tab w:val="center" w:pos="4536"/>
                <w:tab w:val="right" w:pos="9072"/>
              </w:tabs>
              <w:ind w:left="720"/>
            </w:pPr>
          </w:p>
        </w:tc>
      </w:tr>
    </w:tbl>
    <w:p w:rsidR="00C126D7" w:rsidRPr="00E055C6" w:rsidRDefault="00C126D7" w:rsidP="005164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2B17ED" w:rsidRPr="00E055C6" w:rsidTr="00354878">
        <w:tc>
          <w:tcPr>
            <w:tcW w:w="10051" w:type="dxa"/>
            <w:gridSpan w:val="4"/>
          </w:tcPr>
          <w:p w:rsidR="002B17ED" w:rsidRPr="00E055C6" w:rsidRDefault="002B17ED" w:rsidP="00354878">
            <w:pPr>
              <w:tabs>
                <w:tab w:val="center" w:pos="4536"/>
                <w:tab w:val="right" w:pos="9072"/>
              </w:tabs>
            </w:pPr>
            <w:r w:rsidRPr="00E055C6">
              <w:t>Visa grid</w:t>
            </w:r>
          </w:p>
        </w:tc>
      </w:tr>
      <w:tr w:rsidR="00752C2D" w:rsidRPr="00E055C6" w:rsidTr="00354878">
        <w:tc>
          <w:tcPr>
            <w:tcW w:w="2512" w:type="dxa"/>
          </w:tcPr>
          <w:p w:rsidR="00752C2D" w:rsidRPr="00E055C6" w:rsidRDefault="00752C2D" w:rsidP="00354878">
            <w:pPr>
              <w:tabs>
                <w:tab w:val="center" w:pos="4536"/>
                <w:tab w:val="right" w:pos="9072"/>
              </w:tabs>
            </w:pPr>
          </w:p>
        </w:tc>
        <w:tc>
          <w:tcPr>
            <w:tcW w:w="2513" w:type="dxa"/>
          </w:tcPr>
          <w:p w:rsidR="00752C2D" w:rsidRPr="00E055C6" w:rsidRDefault="00752C2D" w:rsidP="00354878">
            <w:pPr>
              <w:tabs>
                <w:tab w:val="center" w:pos="4536"/>
                <w:tab w:val="right" w:pos="9072"/>
              </w:tabs>
              <w:rPr>
                <w:b/>
              </w:rPr>
            </w:pPr>
            <w:r w:rsidRPr="00E055C6">
              <w:rPr>
                <w:b/>
              </w:rPr>
              <w:t>Main author(s)</w:t>
            </w:r>
            <w:r w:rsidR="002B17ED" w:rsidRPr="00E055C6">
              <w:rPr>
                <w:b/>
              </w:rPr>
              <w:t> :</w:t>
            </w:r>
          </w:p>
        </w:tc>
        <w:tc>
          <w:tcPr>
            <w:tcW w:w="2513" w:type="dxa"/>
          </w:tcPr>
          <w:p w:rsidR="00752C2D" w:rsidRPr="00E055C6" w:rsidRDefault="00752C2D" w:rsidP="00354878">
            <w:pPr>
              <w:tabs>
                <w:tab w:val="center" w:pos="4536"/>
                <w:tab w:val="right" w:pos="9072"/>
              </w:tabs>
              <w:rPr>
                <w:b/>
              </w:rPr>
            </w:pPr>
            <w:r w:rsidRPr="00E055C6">
              <w:rPr>
                <w:b/>
              </w:rPr>
              <w:t>Verification</w:t>
            </w:r>
          </w:p>
        </w:tc>
        <w:tc>
          <w:tcPr>
            <w:tcW w:w="2513" w:type="dxa"/>
          </w:tcPr>
          <w:p w:rsidR="00752C2D" w:rsidRPr="00E055C6" w:rsidRDefault="00752C2D" w:rsidP="00354878">
            <w:pPr>
              <w:tabs>
                <w:tab w:val="center" w:pos="4536"/>
                <w:tab w:val="right" w:pos="9072"/>
              </w:tabs>
              <w:rPr>
                <w:b/>
              </w:rPr>
            </w:pPr>
            <w:r w:rsidRPr="00E055C6">
              <w:rPr>
                <w:b/>
              </w:rPr>
              <w:t>Approval</w:t>
            </w:r>
            <w:r w:rsidR="00E66FD9" w:rsidRPr="00E055C6">
              <w:rPr>
                <w:b/>
              </w:rPr>
              <w:t xml:space="preserve"> (Coordinator)</w:t>
            </w:r>
          </w:p>
        </w:tc>
      </w:tr>
      <w:tr w:rsidR="00752C2D" w:rsidRPr="00E055C6" w:rsidTr="00354878">
        <w:tc>
          <w:tcPr>
            <w:tcW w:w="2512" w:type="dxa"/>
          </w:tcPr>
          <w:p w:rsidR="00752C2D" w:rsidRPr="00E055C6" w:rsidRDefault="00752C2D" w:rsidP="00354878">
            <w:pPr>
              <w:tabs>
                <w:tab w:val="center" w:pos="4536"/>
                <w:tab w:val="right" w:pos="9072"/>
              </w:tabs>
            </w:pPr>
            <w:r w:rsidRPr="00E055C6">
              <w:t>Name</w:t>
            </w:r>
            <w:r w:rsidR="002B17ED" w:rsidRPr="00E055C6">
              <w:t xml:space="preserve"> (s)</w:t>
            </w:r>
          </w:p>
        </w:tc>
        <w:tc>
          <w:tcPr>
            <w:tcW w:w="2513" w:type="dxa"/>
          </w:tcPr>
          <w:p w:rsidR="00752C2D" w:rsidRPr="00E055C6" w:rsidRDefault="000560DC" w:rsidP="004B6DE6">
            <w:pPr>
              <w:tabs>
                <w:tab w:val="center" w:pos="4536"/>
                <w:tab w:val="right" w:pos="9072"/>
              </w:tabs>
              <w:jc w:val="center"/>
            </w:pPr>
            <w:r>
              <w:t>K. Decker</w:t>
            </w:r>
          </w:p>
        </w:tc>
        <w:tc>
          <w:tcPr>
            <w:tcW w:w="2513" w:type="dxa"/>
          </w:tcPr>
          <w:p w:rsidR="00752C2D" w:rsidRPr="00E055C6" w:rsidRDefault="00752C2D" w:rsidP="004B6DE6">
            <w:pPr>
              <w:tabs>
                <w:tab w:val="center" w:pos="4536"/>
                <w:tab w:val="right" w:pos="9072"/>
              </w:tabs>
              <w:jc w:val="center"/>
            </w:pPr>
          </w:p>
        </w:tc>
        <w:tc>
          <w:tcPr>
            <w:tcW w:w="2513" w:type="dxa"/>
          </w:tcPr>
          <w:p w:rsidR="00752C2D" w:rsidRPr="00E055C6" w:rsidRDefault="00E66FD9" w:rsidP="004B6DE6">
            <w:pPr>
              <w:tabs>
                <w:tab w:val="center" w:pos="4536"/>
                <w:tab w:val="right" w:pos="9072"/>
              </w:tabs>
              <w:jc w:val="center"/>
            </w:pPr>
            <w:r w:rsidRPr="00E055C6">
              <w:t>E. Raimond</w:t>
            </w:r>
          </w:p>
        </w:tc>
      </w:tr>
      <w:tr w:rsidR="00752C2D" w:rsidRPr="00E055C6" w:rsidTr="00354878">
        <w:tc>
          <w:tcPr>
            <w:tcW w:w="2512" w:type="dxa"/>
          </w:tcPr>
          <w:p w:rsidR="00752C2D" w:rsidRPr="00E055C6" w:rsidRDefault="00752C2D" w:rsidP="00354878">
            <w:pPr>
              <w:tabs>
                <w:tab w:val="center" w:pos="4536"/>
                <w:tab w:val="right" w:pos="9072"/>
              </w:tabs>
            </w:pPr>
            <w:r w:rsidRPr="00E055C6">
              <w:t>Date</w:t>
            </w:r>
          </w:p>
        </w:tc>
        <w:tc>
          <w:tcPr>
            <w:tcW w:w="2513" w:type="dxa"/>
          </w:tcPr>
          <w:p w:rsidR="00752C2D" w:rsidRPr="00E055C6" w:rsidRDefault="00497233" w:rsidP="004B6DE6">
            <w:pPr>
              <w:tabs>
                <w:tab w:val="center" w:pos="4536"/>
                <w:tab w:val="right" w:pos="9072"/>
              </w:tabs>
              <w:jc w:val="center"/>
            </w:pPr>
            <w:r>
              <w:t>2016-05-20</w:t>
            </w:r>
          </w:p>
        </w:tc>
        <w:tc>
          <w:tcPr>
            <w:tcW w:w="2513" w:type="dxa"/>
          </w:tcPr>
          <w:p w:rsidR="00752C2D" w:rsidRPr="00E055C6" w:rsidRDefault="00752C2D" w:rsidP="004B6DE6">
            <w:pPr>
              <w:tabs>
                <w:tab w:val="center" w:pos="4536"/>
                <w:tab w:val="right" w:pos="9072"/>
              </w:tabs>
              <w:jc w:val="center"/>
            </w:pPr>
          </w:p>
        </w:tc>
        <w:tc>
          <w:tcPr>
            <w:tcW w:w="2513" w:type="dxa"/>
          </w:tcPr>
          <w:p w:rsidR="00752C2D" w:rsidRPr="00E055C6" w:rsidRDefault="00E4103C" w:rsidP="004B6DE6">
            <w:pPr>
              <w:tabs>
                <w:tab w:val="center" w:pos="4536"/>
                <w:tab w:val="right" w:pos="9072"/>
              </w:tabs>
              <w:jc w:val="center"/>
            </w:pPr>
            <w:r>
              <w:t>11-07-2016</w:t>
            </w:r>
          </w:p>
        </w:tc>
      </w:tr>
      <w:tr w:rsidR="00752C2D" w:rsidRPr="00E055C6" w:rsidTr="00354878">
        <w:trPr>
          <w:trHeight w:val="700"/>
        </w:trPr>
        <w:tc>
          <w:tcPr>
            <w:tcW w:w="2512" w:type="dxa"/>
          </w:tcPr>
          <w:p w:rsidR="00752C2D" w:rsidRPr="00E055C6" w:rsidRDefault="00752C2D" w:rsidP="00354878">
            <w:pPr>
              <w:tabs>
                <w:tab w:val="center" w:pos="4536"/>
                <w:tab w:val="right" w:pos="9072"/>
              </w:tabs>
            </w:pPr>
            <w:r w:rsidRPr="00E055C6">
              <w:t>Signature</w:t>
            </w:r>
          </w:p>
        </w:tc>
        <w:tc>
          <w:tcPr>
            <w:tcW w:w="2513" w:type="dxa"/>
          </w:tcPr>
          <w:p w:rsidR="00752C2D" w:rsidRPr="00E055C6" w:rsidRDefault="00752C2D" w:rsidP="004B6DE6">
            <w:pPr>
              <w:tabs>
                <w:tab w:val="center" w:pos="4536"/>
                <w:tab w:val="right" w:pos="9072"/>
              </w:tabs>
              <w:jc w:val="center"/>
            </w:pPr>
          </w:p>
        </w:tc>
        <w:tc>
          <w:tcPr>
            <w:tcW w:w="2513" w:type="dxa"/>
          </w:tcPr>
          <w:p w:rsidR="00752C2D" w:rsidRPr="00E055C6" w:rsidRDefault="00752C2D" w:rsidP="00354878">
            <w:pPr>
              <w:tabs>
                <w:tab w:val="center" w:pos="4536"/>
                <w:tab w:val="right" w:pos="9072"/>
              </w:tabs>
            </w:pPr>
          </w:p>
        </w:tc>
        <w:tc>
          <w:tcPr>
            <w:tcW w:w="2513" w:type="dxa"/>
          </w:tcPr>
          <w:p w:rsidR="00752C2D" w:rsidRPr="00E055C6" w:rsidRDefault="00752C2D" w:rsidP="00354878">
            <w:pPr>
              <w:tabs>
                <w:tab w:val="center" w:pos="4536"/>
                <w:tab w:val="right" w:pos="9072"/>
              </w:tabs>
            </w:pPr>
            <w:bookmarkStart w:id="2" w:name="_GoBack"/>
            <w:bookmarkEnd w:id="2"/>
          </w:p>
        </w:tc>
      </w:tr>
    </w:tbl>
    <w:p w:rsidR="00E33133" w:rsidRPr="00E055C6" w:rsidRDefault="00E33133" w:rsidP="00F6424B">
      <w:pPr>
        <w:ind w:left="-450"/>
        <w:rPr>
          <w:b/>
          <w:smallCaps/>
          <w:sz w:val="22"/>
        </w:rPr>
        <w:sectPr w:rsidR="00E33133" w:rsidRPr="00E055C6" w:rsidSect="000C7670">
          <w:headerReference w:type="default" r:id="rId8"/>
          <w:footerReference w:type="default" r:id="rId9"/>
          <w:footerReference w:type="first" r:id="rId10"/>
          <w:pgSz w:w="11907" w:h="16840" w:code="9"/>
          <w:pgMar w:top="1304" w:right="1134" w:bottom="907" w:left="567" w:header="567" w:footer="0" w:gutter="851"/>
          <w:cols w:space="380"/>
          <w:noEndnote/>
        </w:sectPr>
      </w:pPr>
    </w:p>
    <w:p w:rsidR="00F6424B" w:rsidRPr="00E055C6" w:rsidRDefault="00F6424B" w:rsidP="00F6424B">
      <w:pPr>
        <w:ind w:left="-450"/>
        <w:rPr>
          <w:b/>
          <w:smallCaps/>
          <w:sz w:val="22"/>
        </w:rPr>
      </w:pPr>
    </w:p>
    <w:p w:rsidR="00D808BC" w:rsidRPr="00E055C6" w:rsidRDefault="00D808BC" w:rsidP="00F6424B">
      <w:pPr>
        <w:ind w:left="-450"/>
        <w:rPr>
          <w:b/>
          <w:smallCaps/>
          <w:sz w:val="22"/>
        </w:rPr>
      </w:pPr>
    </w:p>
    <w:p w:rsidR="001E3D4C" w:rsidRPr="00E055C6" w:rsidRDefault="002B17ED" w:rsidP="009A6CB3">
      <w:pPr>
        <w:pBdr>
          <w:top w:val="double" w:sz="6" w:space="3" w:color="auto"/>
        </w:pBdr>
        <w:ind w:right="491"/>
        <w:outlineLvl w:val="0"/>
        <w:rPr>
          <w:b/>
          <w:smallCaps/>
          <w:sz w:val="22"/>
        </w:rPr>
      </w:pPr>
      <w:bookmarkStart w:id="3" w:name="_Toc370476713"/>
      <w:bookmarkStart w:id="4" w:name="_Toc451445182"/>
      <w:bookmarkStart w:id="5" w:name="_Toc456011858"/>
      <w:r w:rsidRPr="00E055C6">
        <w:rPr>
          <w:b/>
          <w:smallCaps/>
          <w:sz w:val="22"/>
        </w:rPr>
        <w:t>M</w:t>
      </w:r>
      <w:r w:rsidR="00727DC3">
        <w:rPr>
          <w:b/>
          <w:smallCaps/>
          <w:sz w:val="22"/>
        </w:rPr>
        <w:t>odifications of the document</w:t>
      </w:r>
      <w:bookmarkEnd w:id="3"/>
      <w:bookmarkEnd w:id="4"/>
      <w:bookmarkEnd w:id="5"/>
    </w:p>
    <w:p w:rsidR="001E3D4C" w:rsidRPr="00E055C6" w:rsidRDefault="001E3D4C"/>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E055C6">
        <w:tblPrEx>
          <w:tblCellMar>
            <w:top w:w="0" w:type="dxa"/>
            <w:bottom w:w="0" w:type="dxa"/>
          </w:tblCellMar>
        </w:tblPrEx>
        <w:tc>
          <w:tcPr>
            <w:tcW w:w="1134" w:type="dxa"/>
            <w:tcBorders>
              <w:bottom w:val="single" w:sz="12" w:space="0" w:color="auto"/>
            </w:tcBorders>
          </w:tcPr>
          <w:p w:rsidR="001E3D4C" w:rsidRPr="00E055C6" w:rsidRDefault="001E3D4C">
            <w:pPr>
              <w:spacing w:before="240"/>
              <w:jc w:val="center"/>
            </w:pPr>
            <w:r w:rsidRPr="00E055C6">
              <w:t>Version</w:t>
            </w:r>
          </w:p>
        </w:tc>
        <w:tc>
          <w:tcPr>
            <w:tcW w:w="1418" w:type="dxa"/>
            <w:tcBorders>
              <w:bottom w:val="single" w:sz="12" w:space="0" w:color="auto"/>
            </w:tcBorders>
          </w:tcPr>
          <w:p w:rsidR="001E3D4C" w:rsidRPr="00E055C6" w:rsidRDefault="001E3D4C">
            <w:pPr>
              <w:spacing w:before="240"/>
              <w:jc w:val="center"/>
            </w:pPr>
            <w:r w:rsidRPr="00E055C6">
              <w:t>Date</w:t>
            </w:r>
          </w:p>
        </w:tc>
        <w:tc>
          <w:tcPr>
            <w:tcW w:w="2419" w:type="dxa"/>
            <w:tcBorders>
              <w:bottom w:val="single" w:sz="12" w:space="0" w:color="auto"/>
            </w:tcBorders>
          </w:tcPr>
          <w:p w:rsidR="001E3D4C" w:rsidRPr="00E055C6" w:rsidRDefault="001E3D4C">
            <w:pPr>
              <w:spacing w:before="240"/>
              <w:jc w:val="center"/>
            </w:pPr>
            <w:r w:rsidRPr="00E055C6">
              <w:t>Au</w:t>
            </w:r>
            <w:r w:rsidR="002B17ED" w:rsidRPr="00E055C6">
              <w:t>thors</w:t>
            </w:r>
          </w:p>
        </w:tc>
        <w:tc>
          <w:tcPr>
            <w:tcW w:w="1551" w:type="dxa"/>
            <w:tcBorders>
              <w:bottom w:val="single" w:sz="12" w:space="0" w:color="auto"/>
            </w:tcBorders>
          </w:tcPr>
          <w:p w:rsidR="001E3D4C" w:rsidRPr="00E055C6" w:rsidRDefault="002B17ED">
            <w:pPr>
              <w:jc w:val="center"/>
            </w:pPr>
            <w:r w:rsidRPr="00E055C6">
              <w:t>Pages or par</w:t>
            </w:r>
            <w:r w:rsidRPr="00E055C6">
              <w:t>a</w:t>
            </w:r>
            <w:r w:rsidRPr="00E055C6">
              <w:t>graphs modified</w:t>
            </w:r>
          </w:p>
        </w:tc>
        <w:tc>
          <w:tcPr>
            <w:tcW w:w="2578" w:type="dxa"/>
            <w:tcBorders>
              <w:bottom w:val="single" w:sz="12" w:space="0" w:color="auto"/>
            </w:tcBorders>
          </w:tcPr>
          <w:p w:rsidR="001E3D4C" w:rsidRPr="00E055C6" w:rsidRDefault="002B17ED">
            <w:pPr>
              <w:spacing w:before="120"/>
              <w:jc w:val="center"/>
            </w:pPr>
            <w:r w:rsidRPr="00E055C6">
              <w:t>Description or comments</w:t>
            </w:r>
          </w:p>
        </w:tc>
      </w:tr>
      <w:tr w:rsidR="001E3D4C" w:rsidRPr="00E055C6">
        <w:tblPrEx>
          <w:tblCellMar>
            <w:top w:w="0" w:type="dxa"/>
            <w:bottom w:w="0" w:type="dxa"/>
          </w:tblCellMar>
        </w:tblPrEx>
        <w:tc>
          <w:tcPr>
            <w:tcW w:w="1134" w:type="dxa"/>
            <w:tcBorders>
              <w:top w:val="nil"/>
            </w:tcBorders>
          </w:tcPr>
          <w:p w:rsidR="001E3D4C" w:rsidRPr="00E055C6" w:rsidRDefault="00425133">
            <w:pPr>
              <w:ind w:left="57" w:right="57"/>
            </w:pPr>
            <w:r>
              <w:t>V1</w:t>
            </w:r>
          </w:p>
        </w:tc>
        <w:tc>
          <w:tcPr>
            <w:tcW w:w="1418" w:type="dxa"/>
            <w:tcBorders>
              <w:top w:val="nil"/>
            </w:tcBorders>
          </w:tcPr>
          <w:p w:rsidR="001E3D4C" w:rsidRPr="00E055C6" w:rsidRDefault="00425133" w:rsidP="00F82A4D">
            <w:pPr>
              <w:ind w:left="57" w:right="57"/>
              <w:jc w:val="center"/>
            </w:pPr>
            <w:r>
              <w:t>0</w:t>
            </w:r>
            <w:r w:rsidR="00F82A4D">
              <w:t>6</w:t>
            </w:r>
            <w:r w:rsidR="000F196E">
              <w:t>-07-</w:t>
            </w:r>
            <w:r>
              <w:t>2015</w:t>
            </w:r>
          </w:p>
        </w:tc>
        <w:tc>
          <w:tcPr>
            <w:tcW w:w="2419" w:type="dxa"/>
            <w:tcBorders>
              <w:top w:val="nil"/>
            </w:tcBorders>
          </w:tcPr>
          <w:p w:rsidR="001E3D4C" w:rsidRPr="00425133" w:rsidRDefault="00F82A4D" w:rsidP="00F82A4D">
            <w:pPr>
              <w:ind w:left="57" w:right="57"/>
              <w:jc w:val="left"/>
              <w:rPr>
                <w:szCs w:val="18"/>
              </w:rPr>
            </w:pPr>
            <w:r>
              <w:rPr>
                <w:szCs w:val="18"/>
              </w:rPr>
              <w:t>K. Decker</w:t>
            </w:r>
            <w:r w:rsidR="00425133" w:rsidRPr="00425133">
              <w:rPr>
                <w:szCs w:val="18"/>
              </w:rPr>
              <w:t xml:space="preserve"> (</w:t>
            </w:r>
            <w:r>
              <w:rPr>
                <w:szCs w:val="18"/>
              </w:rPr>
              <w:t>Univie</w:t>
            </w:r>
            <w:r w:rsidR="00425133" w:rsidRPr="00425133">
              <w:rPr>
                <w:szCs w:val="18"/>
              </w:rPr>
              <w:t>)</w:t>
            </w:r>
          </w:p>
        </w:tc>
        <w:tc>
          <w:tcPr>
            <w:tcW w:w="1551" w:type="dxa"/>
            <w:tcBorders>
              <w:top w:val="nil"/>
            </w:tcBorders>
          </w:tcPr>
          <w:p w:rsidR="001E3D4C" w:rsidRPr="00E055C6" w:rsidRDefault="00425133">
            <w:pPr>
              <w:ind w:left="57" w:right="57"/>
            </w:pPr>
            <w:r>
              <w:t>All</w:t>
            </w:r>
          </w:p>
        </w:tc>
        <w:tc>
          <w:tcPr>
            <w:tcW w:w="2578" w:type="dxa"/>
            <w:tcBorders>
              <w:top w:val="nil"/>
            </w:tcBorders>
          </w:tcPr>
          <w:p w:rsidR="001E3D4C" w:rsidRPr="00E055C6" w:rsidRDefault="00F82A4D" w:rsidP="00F82A4D">
            <w:pPr>
              <w:ind w:left="57" w:right="57"/>
            </w:pPr>
            <w:r>
              <w:t>Based on the</w:t>
            </w:r>
            <w:r w:rsidR="00425133">
              <w:t xml:space="preserve"> UNIVIE preli</w:t>
            </w:r>
            <w:r w:rsidR="00425133">
              <w:t>m</w:t>
            </w:r>
            <w:r w:rsidR="00425133">
              <w:t>inary proposal</w:t>
            </w:r>
            <w:r>
              <w:t xml:space="preserve"> and </w:t>
            </w:r>
            <w:r w:rsidR="00425133">
              <w:t xml:space="preserve">the </w:t>
            </w:r>
            <w:r w:rsidR="00773D74">
              <w:t xml:space="preserve">ASAMPSA_E </w:t>
            </w:r>
            <w:r>
              <w:t xml:space="preserve">topical </w:t>
            </w:r>
            <w:r w:rsidR="00425133">
              <w:t xml:space="preserve">phone </w:t>
            </w:r>
            <w:r>
              <w:t>co</w:t>
            </w:r>
            <w:r>
              <w:t>n</w:t>
            </w:r>
            <w:r>
              <w:t>ference 2015-04-27</w:t>
            </w:r>
            <w:r w:rsidR="00A8394B">
              <w:t>.</w:t>
            </w:r>
          </w:p>
        </w:tc>
      </w:tr>
      <w:tr w:rsidR="00E03116" w:rsidRPr="00E055C6">
        <w:tblPrEx>
          <w:tblCellMar>
            <w:top w:w="0" w:type="dxa"/>
            <w:bottom w:w="0" w:type="dxa"/>
          </w:tblCellMar>
        </w:tblPrEx>
        <w:tc>
          <w:tcPr>
            <w:tcW w:w="1134" w:type="dxa"/>
          </w:tcPr>
          <w:p w:rsidR="00E03116" w:rsidRPr="00E055C6" w:rsidRDefault="00E03116" w:rsidP="00E03116">
            <w:pPr>
              <w:ind w:left="57" w:right="57"/>
            </w:pPr>
            <w:r>
              <w:t>V2</w:t>
            </w:r>
          </w:p>
        </w:tc>
        <w:tc>
          <w:tcPr>
            <w:tcW w:w="1418" w:type="dxa"/>
          </w:tcPr>
          <w:p w:rsidR="00E03116" w:rsidRPr="00E055C6" w:rsidRDefault="000F196E" w:rsidP="000F196E">
            <w:pPr>
              <w:ind w:left="57" w:right="57"/>
              <w:jc w:val="center"/>
            </w:pPr>
            <w:r>
              <w:t>20</w:t>
            </w:r>
            <w:r w:rsidR="00E03116">
              <w:t>-05</w:t>
            </w:r>
            <w:r>
              <w:t>-</w:t>
            </w:r>
            <w:r w:rsidR="00E03116">
              <w:t>2016</w:t>
            </w:r>
          </w:p>
        </w:tc>
        <w:tc>
          <w:tcPr>
            <w:tcW w:w="2419" w:type="dxa"/>
          </w:tcPr>
          <w:p w:rsidR="00E03116" w:rsidRPr="00727DC3" w:rsidRDefault="00E03116" w:rsidP="00E03116">
            <w:pPr>
              <w:ind w:left="57" w:right="57"/>
              <w:jc w:val="left"/>
              <w:rPr>
                <w:szCs w:val="18"/>
                <w:lang w:val="de-AT"/>
              </w:rPr>
            </w:pPr>
            <w:r w:rsidRPr="00727DC3">
              <w:rPr>
                <w:szCs w:val="18"/>
                <w:lang w:val="de-AT"/>
              </w:rPr>
              <w:t>K. Decker (Univie)</w:t>
            </w:r>
          </w:p>
          <w:p w:rsidR="00E03116" w:rsidRPr="00727DC3" w:rsidRDefault="00E03116" w:rsidP="00E03116">
            <w:pPr>
              <w:ind w:left="57" w:right="57"/>
              <w:jc w:val="left"/>
              <w:rPr>
                <w:szCs w:val="18"/>
                <w:lang w:val="de-AT"/>
              </w:rPr>
            </w:pPr>
            <w:r w:rsidRPr="00727DC3">
              <w:rPr>
                <w:szCs w:val="18"/>
                <w:lang w:val="de-AT"/>
              </w:rPr>
              <w:t>Kazuta Hirarta</w:t>
            </w:r>
            <w:r w:rsidR="00773D74">
              <w:rPr>
                <w:szCs w:val="18"/>
                <w:lang w:val="de-AT"/>
              </w:rPr>
              <w:t xml:space="preserve"> (Jansi)</w:t>
            </w:r>
          </w:p>
        </w:tc>
        <w:tc>
          <w:tcPr>
            <w:tcW w:w="1551" w:type="dxa"/>
          </w:tcPr>
          <w:p w:rsidR="00E03116" w:rsidRDefault="00E03116" w:rsidP="00E03116">
            <w:pPr>
              <w:ind w:left="57" w:right="57"/>
              <w:jc w:val="left"/>
            </w:pPr>
            <w:r>
              <w:t>All</w:t>
            </w:r>
          </w:p>
          <w:p w:rsidR="00E03116" w:rsidRPr="00E055C6" w:rsidRDefault="00E03116" w:rsidP="00E03116">
            <w:pPr>
              <w:ind w:left="57" w:right="57"/>
              <w:jc w:val="left"/>
            </w:pPr>
          </w:p>
        </w:tc>
        <w:tc>
          <w:tcPr>
            <w:tcW w:w="2578" w:type="dxa"/>
          </w:tcPr>
          <w:p w:rsidR="00E03116" w:rsidRPr="00E055C6" w:rsidRDefault="00E03116" w:rsidP="00E03116">
            <w:pPr>
              <w:ind w:left="57" w:right="57"/>
            </w:pPr>
            <w:r>
              <w:t xml:space="preserve">Based on response of the Paris </w:t>
            </w:r>
            <w:r w:rsidR="00773D74">
              <w:t xml:space="preserve">ASAMPSA_E </w:t>
            </w:r>
            <w:r>
              <w:t>Mee</w:t>
            </w:r>
            <w:r w:rsidR="00A8394B">
              <w:t>ting 11-2015 and partner</w:t>
            </w:r>
            <w:r w:rsidR="00773D74">
              <w:t>s’</w:t>
            </w:r>
            <w:r w:rsidR="00A8394B">
              <w:t xml:space="preserve"> input.</w:t>
            </w:r>
          </w:p>
        </w:tc>
      </w:tr>
      <w:tr w:rsidR="00773D74" w:rsidRPr="00E055C6">
        <w:tblPrEx>
          <w:tblCellMar>
            <w:top w:w="0" w:type="dxa"/>
            <w:bottom w:w="0" w:type="dxa"/>
          </w:tblCellMar>
        </w:tblPrEx>
        <w:tc>
          <w:tcPr>
            <w:tcW w:w="1134" w:type="dxa"/>
          </w:tcPr>
          <w:p w:rsidR="00773D74" w:rsidRDefault="00773D74" w:rsidP="00E03116">
            <w:pPr>
              <w:ind w:left="57" w:right="57"/>
            </w:pPr>
            <w:r>
              <w:t>V3</w:t>
            </w:r>
          </w:p>
        </w:tc>
        <w:tc>
          <w:tcPr>
            <w:tcW w:w="1418" w:type="dxa"/>
          </w:tcPr>
          <w:p w:rsidR="00773D74" w:rsidRDefault="00472EE3" w:rsidP="000F196E">
            <w:pPr>
              <w:ind w:left="57" w:right="57"/>
              <w:jc w:val="center"/>
            </w:pPr>
            <w:r>
              <w:t>11</w:t>
            </w:r>
            <w:r w:rsidR="00773D74">
              <w:t>-07-2016</w:t>
            </w:r>
          </w:p>
        </w:tc>
        <w:tc>
          <w:tcPr>
            <w:tcW w:w="2419" w:type="dxa"/>
          </w:tcPr>
          <w:p w:rsidR="00773D74" w:rsidRPr="00727DC3" w:rsidRDefault="00773D74" w:rsidP="00E03116">
            <w:pPr>
              <w:ind w:left="57" w:right="57"/>
              <w:jc w:val="left"/>
              <w:rPr>
                <w:szCs w:val="18"/>
                <w:lang w:val="de-AT"/>
              </w:rPr>
            </w:pPr>
            <w:r>
              <w:rPr>
                <w:szCs w:val="18"/>
                <w:lang w:val="de-AT"/>
              </w:rPr>
              <w:t>E. Raimond (IRSN)</w:t>
            </w:r>
          </w:p>
        </w:tc>
        <w:tc>
          <w:tcPr>
            <w:tcW w:w="1551" w:type="dxa"/>
          </w:tcPr>
          <w:p w:rsidR="00773D74" w:rsidRDefault="00773D74" w:rsidP="00E03116">
            <w:pPr>
              <w:ind w:left="57" w:right="57"/>
              <w:jc w:val="left"/>
            </w:pPr>
          </w:p>
        </w:tc>
        <w:tc>
          <w:tcPr>
            <w:tcW w:w="2578" w:type="dxa"/>
          </w:tcPr>
          <w:p w:rsidR="00773D74" w:rsidRDefault="00773D74" w:rsidP="00BD6598">
            <w:pPr>
              <w:ind w:left="57" w:right="57"/>
            </w:pPr>
            <w:r>
              <w:t xml:space="preserve">Editorial </w:t>
            </w:r>
            <w:r w:rsidR="0003077B">
              <w:t>corrections</w:t>
            </w:r>
            <w:r>
              <w:t xml:space="preserve"> after “a</w:t>
            </w:r>
            <w:r>
              <w:t>p</w:t>
            </w:r>
            <w:r>
              <w:t xml:space="preserve">proval review”. </w:t>
            </w:r>
          </w:p>
        </w:tc>
      </w:tr>
    </w:tbl>
    <w:p w:rsidR="001E3D4C" w:rsidRPr="00E055C6" w:rsidRDefault="001E3D4C"/>
    <w:p w:rsidR="001E3D4C" w:rsidRPr="00E055C6" w:rsidRDefault="001E3D4C" w:rsidP="009A6CB3"/>
    <w:p w:rsidR="00031E12" w:rsidRDefault="00727DC3" w:rsidP="00FC6E0B">
      <w:pPr>
        <w:pBdr>
          <w:top w:val="double" w:sz="6" w:space="2" w:color="auto"/>
        </w:pBdr>
        <w:ind w:right="491"/>
        <w:outlineLvl w:val="0"/>
        <w:rPr>
          <w:b/>
          <w:smallCaps/>
          <w:sz w:val="22"/>
        </w:rPr>
      </w:pPr>
      <w:bookmarkStart w:id="6" w:name="_Toc370476714"/>
      <w:bookmarkStart w:id="7" w:name="_Toc451445183"/>
      <w:bookmarkStart w:id="8" w:name="_Toc456011859"/>
      <w:r>
        <w:rPr>
          <w:b/>
          <w:smallCaps/>
          <w:sz w:val="22"/>
        </w:rPr>
        <w:t>List of diffusion</w:t>
      </w:r>
      <w:bookmarkEnd w:id="7"/>
      <w:bookmarkEnd w:id="8"/>
    </w:p>
    <w:bookmarkEnd w:id="6"/>
    <w:p w:rsidR="008D4AFC" w:rsidRPr="00851269" w:rsidRDefault="008D4AFC" w:rsidP="008D4AFC">
      <w:pPr>
        <w:rPr>
          <w:smallCaps/>
          <w:lang w:val="en-US"/>
        </w:rPr>
      </w:pPr>
    </w:p>
    <w:p w:rsidR="008D4AFC" w:rsidRDefault="008D4AFC" w:rsidP="008D4AFC">
      <w:pPr>
        <w:rPr>
          <w:b/>
        </w:rPr>
      </w:pPr>
      <w:r w:rsidRPr="005A0C69">
        <w:rPr>
          <w:b/>
        </w:rPr>
        <w:t>European Commission (Scientific Officer)</w:t>
      </w:r>
    </w:p>
    <w:p w:rsidR="008D4AFC" w:rsidRPr="005A0C69" w:rsidRDefault="008D4AFC" w:rsidP="008D4AFC">
      <w:pPr>
        <w:rPr>
          <w:b/>
        </w:rPr>
      </w:pPr>
    </w:p>
    <w:tbl>
      <w:tblPr>
        <w:tblW w:w="0" w:type="auto"/>
        <w:tblInd w:w="55" w:type="dxa"/>
        <w:tblCellMar>
          <w:left w:w="70" w:type="dxa"/>
          <w:right w:w="70" w:type="dxa"/>
        </w:tblCellMar>
        <w:tblLook w:val="04A0" w:firstRow="1" w:lastRow="0" w:firstColumn="1" w:lastColumn="0" w:noHBand="0" w:noVBand="1"/>
      </w:tblPr>
      <w:tblGrid>
        <w:gridCol w:w="1106"/>
        <w:gridCol w:w="1040"/>
        <w:gridCol w:w="1214"/>
      </w:tblGrid>
      <w:tr w:rsidR="008D4AFC" w:rsidRPr="005A0C69" w:rsidTr="008D4AF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AFC" w:rsidRPr="005A0C69" w:rsidRDefault="008D4AFC" w:rsidP="008D4AFC">
            <w:pPr>
              <w:spacing w:line="240" w:lineRule="auto"/>
              <w:jc w:val="center"/>
              <w:rPr>
                <w:rFonts w:cs="Arial"/>
                <w:b/>
                <w:bCs/>
                <w:szCs w:val="18"/>
              </w:rPr>
            </w:pPr>
            <w:r w:rsidRPr="005A0C69">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AFC" w:rsidRPr="005A0C69" w:rsidRDefault="008D4AFC" w:rsidP="008D4AFC">
            <w:pPr>
              <w:spacing w:line="240" w:lineRule="auto"/>
              <w:jc w:val="center"/>
              <w:rPr>
                <w:rFonts w:cs="Arial"/>
                <w:b/>
                <w:bCs/>
                <w:szCs w:val="18"/>
              </w:rPr>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D4AFC" w:rsidRPr="005A0C69" w:rsidRDefault="008D4AFC" w:rsidP="008D4AFC">
            <w:pPr>
              <w:spacing w:line="240" w:lineRule="auto"/>
              <w:jc w:val="center"/>
              <w:rPr>
                <w:rFonts w:cs="Arial"/>
                <w:b/>
                <w:bCs/>
                <w:szCs w:val="18"/>
              </w:rPr>
            </w:pPr>
            <w:r w:rsidRPr="005A0C69">
              <w:rPr>
                <w:rFonts w:cs="Arial"/>
                <w:b/>
                <w:bCs/>
                <w:szCs w:val="18"/>
              </w:rPr>
              <w:t>Organization</w:t>
            </w:r>
          </w:p>
        </w:tc>
      </w:tr>
      <w:tr w:rsidR="008D4AFC" w:rsidRPr="005A0C69" w:rsidTr="008D4AF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AFC" w:rsidRPr="005A0C69" w:rsidRDefault="008D4AFC" w:rsidP="008D4AFC">
            <w:pPr>
              <w:spacing w:line="240" w:lineRule="auto"/>
              <w:jc w:val="left"/>
              <w:rPr>
                <w:rFonts w:cs="Arial"/>
                <w:bCs/>
                <w:szCs w:val="18"/>
              </w:rPr>
            </w:pPr>
            <w:r w:rsidRPr="005A0C69">
              <w:rPr>
                <w:rFonts w:cs="Arial"/>
                <w:bCs/>
                <w:szCs w:val="18"/>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AFC" w:rsidRPr="005A0C69" w:rsidRDefault="008D4AFC" w:rsidP="008D4AFC">
            <w:pPr>
              <w:spacing w:line="240" w:lineRule="auto"/>
              <w:jc w:val="left"/>
              <w:rPr>
                <w:rFonts w:cs="Arial"/>
                <w:bCs/>
                <w:szCs w:val="18"/>
              </w:rPr>
            </w:pPr>
            <w:r w:rsidRPr="005A0C69">
              <w:rPr>
                <w:rFonts w:cs="Arial"/>
                <w:bCs/>
                <w:szCs w:val="18"/>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D4AFC" w:rsidRPr="005A0C69" w:rsidRDefault="008D4AFC" w:rsidP="008D4AFC">
            <w:pPr>
              <w:spacing w:line="240" w:lineRule="auto"/>
              <w:jc w:val="left"/>
              <w:rPr>
                <w:rFonts w:cs="Arial"/>
                <w:bCs/>
                <w:szCs w:val="18"/>
              </w:rPr>
            </w:pPr>
            <w:r w:rsidRPr="005A0C69">
              <w:rPr>
                <w:rFonts w:cs="Arial"/>
                <w:bCs/>
                <w:szCs w:val="18"/>
              </w:rPr>
              <w:t>EC</w:t>
            </w:r>
          </w:p>
        </w:tc>
      </w:tr>
    </w:tbl>
    <w:p w:rsidR="008D4AFC" w:rsidRPr="005A0C69" w:rsidRDefault="008D4AFC" w:rsidP="008D4AFC">
      <w:pPr>
        <w:rPr>
          <w:smallCaps/>
        </w:rPr>
      </w:pPr>
    </w:p>
    <w:p w:rsidR="008D4AFC" w:rsidRPr="005A0C69" w:rsidRDefault="008D4AFC" w:rsidP="008D4AFC">
      <w:pPr>
        <w:rPr>
          <w:b/>
        </w:rPr>
      </w:pPr>
      <w:r w:rsidRPr="005A0C69">
        <w:rPr>
          <w:b/>
        </w:rPr>
        <w:t>ASAMPSA_E Project management group (PMG)</w:t>
      </w:r>
    </w:p>
    <w:p w:rsidR="008D4AFC" w:rsidRPr="005A0C69" w:rsidRDefault="008D4AFC" w:rsidP="008D4AFC">
      <w:pPr>
        <w:rPr>
          <w:smallCaps/>
        </w:rPr>
      </w:pPr>
    </w:p>
    <w:tbl>
      <w:tblPr>
        <w:tblW w:w="0" w:type="auto"/>
        <w:tblInd w:w="70" w:type="dxa"/>
        <w:tblCellMar>
          <w:left w:w="70" w:type="dxa"/>
          <w:right w:w="70" w:type="dxa"/>
        </w:tblCellMar>
        <w:tblLook w:val="04A0" w:firstRow="1" w:lastRow="0" w:firstColumn="1" w:lastColumn="0" w:noHBand="0" w:noVBand="1"/>
      </w:tblPr>
      <w:tblGrid>
        <w:gridCol w:w="1052"/>
        <w:gridCol w:w="1040"/>
        <w:gridCol w:w="1214"/>
        <w:gridCol w:w="2950"/>
      </w:tblGrid>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
                <w:bCs/>
                <w:szCs w:val="18"/>
              </w:rPr>
            </w:pPr>
            <w:r w:rsidRPr="00136FAE">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
                <w:bCs/>
                <w:szCs w:val="18"/>
              </w:rPr>
            </w:pPr>
            <w:r w:rsidRPr="00136FAE">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
                <w:bCs/>
                <w:szCs w:val="18"/>
              </w:rPr>
            </w:pPr>
            <w:r w:rsidRPr="00136FAE">
              <w:rPr>
                <w:rFonts w:cs="Arial"/>
                <w:b/>
                <w:bCs/>
                <w:szCs w:val="18"/>
              </w:rPr>
              <w:t>Organization</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center"/>
              <w:rPr>
                <w:rFonts w:cs="Arial"/>
                <w:b/>
                <w:bCs/>
                <w:szCs w:val="18"/>
              </w:rPr>
            </w:pPr>
          </w:p>
        </w:tc>
      </w:tr>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Cs/>
                <w:szCs w:val="18"/>
              </w:rPr>
            </w:pPr>
            <w:r w:rsidRPr="00136FAE">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left"/>
              <w:rPr>
                <w:rFonts w:cs="Arial"/>
                <w:bCs/>
                <w:szCs w:val="18"/>
              </w:rPr>
            </w:pPr>
            <w:r w:rsidRPr="00136FAE">
              <w:rPr>
                <w:rFonts w:cs="Arial"/>
                <w:bCs/>
                <w:szCs w:val="18"/>
              </w:rPr>
              <w:t>Project coordinator</w:t>
            </w:r>
          </w:p>
        </w:tc>
      </w:tr>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Cs/>
                <w:szCs w:val="18"/>
              </w:rPr>
            </w:pPr>
            <w:r w:rsidRPr="00136FAE">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left"/>
              <w:rPr>
                <w:rFonts w:cs="Arial"/>
                <w:bCs/>
                <w:szCs w:val="18"/>
              </w:rPr>
            </w:pPr>
            <w:r w:rsidRPr="00136FAE">
              <w:rPr>
                <w:rFonts w:cs="Arial"/>
                <w:bCs/>
                <w:szCs w:val="18"/>
              </w:rPr>
              <w:t>WP10 coordinator</w:t>
            </w:r>
          </w:p>
        </w:tc>
      </w:tr>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Cs/>
                <w:szCs w:val="18"/>
              </w:rPr>
            </w:pPr>
            <w:r w:rsidRPr="00136FAE">
              <w:rPr>
                <w:rFonts w:cs="Arial"/>
                <w:bCs/>
                <w:szCs w:val="18"/>
              </w:rPr>
              <w:t>UNIVIE</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left"/>
              <w:rPr>
                <w:rFonts w:cs="Arial"/>
                <w:bCs/>
                <w:szCs w:val="18"/>
              </w:rPr>
            </w:pPr>
            <w:r w:rsidRPr="00136FAE">
              <w:rPr>
                <w:rFonts w:cs="Arial"/>
                <w:bCs/>
                <w:szCs w:val="18"/>
              </w:rPr>
              <w:t>WP21 coordinator</w:t>
            </w:r>
          </w:p>
        </w:tc>
      </w:tr>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Cs/>
                <w:szCs w:val="18"/>
              </w:rPr>
            </w:pPr>
            <w:r w:rsidRPr="00136FAE">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left"/>
              <w:rPr>
                <w:rFonts w:cs="Arial"/>
                <w:bCs/>
                <w:szCs w:val="18"/>
              </w:rPr>
            </w:pPr>
            <w:r w:rsidRPr="00136FAE">
              <w:rPr>
                <w:rFonts w:cs="Arial"/>
                <w:bCs/>
                <w:szCs w:val="18"/>
              </w:rPr>
              <w:t>WP22 coordinator until 2015-10-31</w:t>
            </w:r>
          </w:p>
        </w:tc>
      </w:tr>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Cs/>
                <w:szCs w:val="18"/>
              </w:rPr>
            </w:pPr>
            <w:r w:rsidRPr="00136FAE">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left"/>
              <w:rPr>
                <w:rFonts w:cs="Arial"/>
                <w:bCs/>
                <w:szCs w:val="18"/>
              </w:rPr>
            </w:pPr>
            <w:r w:rsidRPr="00136FAE">
              <w:rPr>
                <w:rFonts w:cs="Arial"/>
                <w:bCs/>
                <w:szCs w:val="18"/>
              </w:rPr>
              <w:t>WP22 coordinator from 2015-11-01</w:t>
            </w:r>
          </w:p>
        </w:tc>
      </w:tr>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Cs/>
                <w:szCs w:val="18"/>
              </w:rPr>
            </w:pPr>
            <w:r w:rsidRPr="00136FAE">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left"/>
              <w:rPr>
                <w:rFonts w:cs="Arial"/>
                <w:bCs/>
                <w:szCs w:val="18"/>
              </w:rPr>
            </w:pPr>
            <w:r w:rsidRPr="00136FAE">
              <w:rPr>
                <w:rFonts w:cs="Arial"/>
                <w:bCs/>
                <w:szCs w:val="18"/>
              </w:rPr>
              <w:t>WP30 coordinator until 2016-03-31</w:t>
            </w:r>
          </w:p>
        </w:tc>
      </w:tr>
      <w:tr w:rsidR="008D4AFC" w:rsidRPr="00136FAE" w:rsidTr="008D4AFC">
        <w:trPr>
          <w:trHeight w:val="57"/>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Löffler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rFonts w:cs="Arial"/>
                <w:bCs/>
                <w:szCs w:val="18"/>
              </w:rPr>
            </w:pPr>
            <w:r w:rsidRPr="00136FAE">
              <w:rPr>
                <w:rFonts w:cs="Arial"/>
                <w:bCs/>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4AFC" w:rsidRPr="00136FAE" w:rsidRDefault="008D4AFC" w:rsidP="008D4AFC">
            <w:pPr>
              <w:spacing w:line="240" w:lineRule="auto"/>
              <w:jc w:val="center"/>
              <w:rPr>
                <w:rFonts w:cs="Arial"/>
                <w:bCs/>
                <w:szCs w:val="18"/>
              </w:rPr>
            </w:pPr>
            <w:r w:rsidRPr="00136FAE">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8D4AFC" w:rsidRPr="00136FAE" w:rsidRDefault="008D4AFC" w:rsidP="008D4AFC">
            <w:pPr>
              <w:spacing w:line="240" w:lineRule="auto"/>
              <w:jc w:val="left"/>
              <w:rPr>
                <w:rFonts w:cs="Arial"/>
                <w:bCs/>
                <w:szCs w:val="18"/>
              </w:rPr>
            </w:pPr>
            <w:r w:rsidRPr="00136FAE">
              <w:rPr>
                <w:rFonts w:cs="Arial"/>
                <w:bCs/>
                <w:szCs w:val="18"/>
              </w:rPr>
              <w:t>WP40 coordinator</w:t>
            </w:r>
          </w:p>
          <w:p w:rsidR="008D4AFC" w:rsidRPr="00136FAE" w:rsidRDefault="008D4AFC" w:rsidP="008D4AFC">
            <w:pPr>
              <w:spacing w:line="240" w:lineRule="auto"/>
              <w:jc w:val="left"/>
              <w:rPr>
                <w:rFonts w:cs="Arial"/>
                <w:bCs/>
                <w:szCs w:val="18"/>
              </w:rPr>
            </w:pPr>
            <w:r w:rsidRPr="00136FAE">
              <w:rPr>
                <w:rFonts w:cs="Arial"/>
                <w:bCs/>
                <w:szCs w:val="18"/>
              </w:rPr>
              <w:t>WP30 coordinator from 2016-04-01</w:t>
            </w:r>
          </w:p>
        </w:tc>
      </w:tr>
    </w:tbl>
    <w:p w:rsidR="008D4AFC" w:rsidRPr="005A0C69" w:rsidRDefault="008D4AFC" w:rsidP="008D4AFC">
      <w:pPr>
        <w:rPr>
          <w:smallCaps/>
        </w:rPr>
      </w:pPr>
    </w:p>
    <w:p w:rsidR="008D4AFC" w:rsidRPr="005A0C69" w:rsidRDefault="008D4AFC" w:rsidP="008D4AFC">
      <w:pPr>
        <w:rPr>
          <w:b/>
        </w:rPr>
      </w:pPr>
      <w:r w:rsidRPr="005A0C69">
        <w:rPr>
          <w:b/>
        </w:rPr>
        <w:t>REPRESENTATIVES OF ASAMPSA_E PARTNERS</w:t>
      </w:r>
    </w:p>
    <w:p w:rsidR="008D4AFC" w:rsidRPr="005A0C69" w:rsidRDefault="008D4AFC" w:rsidP="008D4AFC">
      <w:pPr>
        <w:jc w:val="center"/>
        <w:rPr>
          <w:rFonts w:cs="Arial"/>
          <w:b/>
          <w:bCs/>
          <w:szCs w:val="18"/>
        </w:rPr>
      </w:pPr>
    </w:p>
    <w:p w:rsidR="008D4AFC" w:rsidRPr="005A0C69" w:rsidRDefault="008D4AFC" w:rsidP="008D4AFC">
      <w:pPr>
        <w:jc w:val="center"/>
        <w:rPr>
          <w:rFonts w:cs="Arial"/>
          <w:b/>
          <w:bCs/>
          <w:szCs w:val="18"/>
        </w:rPr>
        <w:sectPr w:rsidR="008D4AFC" w:rsidRPr="005A0C69">
          <w:headerReference w:type="default" r:id="rId11"/>
          <w:footerReference w:type="default" r:id="rId12"/>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250"/>
        <w:gridCol w:w="1665"/>
        <w:gridCol w:w="1214"/>
      </w:tblGrid>
      <w:tr w:rsidR="008D4AFC" w:rsidRPr="00136FAE" w:rsidTr="008D4AF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AFC" w:rsidRPr="00136FAE" w:rsidRDefault="008D4AFC" w:rsidP="008D4AFC">
            <w:pPr>
              <w:spacing w:line="240" w:lineRule="auto"/>
              <w:jc w:val="center"/>
              <w:rPr>
                <w:rFonts w:cs="Arial"/>
                <w:b/>
                <w:bCs/>
                <w:szCs w:val="18"/>
              </w:rPr>
            </w:pPr>
            <w:r w:rsidRPr="00136FAE">
              <w:rPr>
                <w:rFonts w:cs="Arial"/>
                <w:b/>
                <w:bCs/>
                <w:szCs w:val="18"/>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AFC" w:rsidRPr="00136FAE" w:rsidRDefault="008D4AFC" w:rsidP="008D4AFC">
            <w:pPr>
              <w:spacing w:line="240" w:lineRule="auto"/>
              <w:jc w:val="center"/>
              <w:rPr>
                <w:rFonts w:cs="Arial"/>
                <w:b/>
                <w:bCs/>
                <w:szCs w:val="18"/>
              </w:rPr>
            </w:pPr>
            <w:r w:rsidRPr="00136FAE">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AFC" w:rsidRPr="00136FAE" w:rsidRDefault="008D4AFC" w:rsidP="008D4AFC">
            <w:pPr>
              <w:spacing w:line="240" w:lineRule="auto"/>
              <w:jc w:val="center"/>
              <w:rPr>
                <w:rFonts w:cs="Arial"/>
                <w:b/>
                <w:bCs/>
                <w:szCs w:val="18"/>
              </w:rPr>
            </w:pPr>
            <w:r w:rsidRPr="00136FAE">
              <w:rPr>
                <w:rFonts w:cs="Arial"/>
                <w:b/>
                <w:bCs/>
                <w:szCs w:val="18"/>
              </w:rPr>
              <w:t>Organization</w:t>
            </w:r>
          </w:p>
        </w:tc>
      </w:tr>
      <w:tr w:rsidR="008D4AFC" w:rsidRPr="00136FAE" w:rsidTr="008D4AFC">
        <w:trPr>
          <w:trHeight w:val="20"/>
        </w:trPr>
        <w:tc>
          <w:tcPr>
            <w:tcW w:w="0" w:type="auto"/>
            <w:tcBorders>
              <w:top w:val="nil"/>
              <w:left w:val="single" w:sz="4" w:space="0" w:color="auto"/>
              <w:bottom w:val="nil"/>
              <w:right w:val="nil"/>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AMEC NNC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AMEC NNC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AREVA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AREVA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AREVA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AREVA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lastRenderedPageBreak/>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AREVA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AREXIS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AREXIS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AREXIS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Bel 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Bel 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lastRenderedPageBreak/>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Bel 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Bel V</w:t>
            </w:r>
          </w:p>
        </w:tc>
      </w:tr>
      <w:tr w:rsidR="008D4AFC" w:rsidRPr="00136FAE" w:rsidTr="008D4AFC">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Cazzoli</w:t>
            </w:r>
          </w:p>
        </w:tc>
        <w:tc>
          <w:tcPr>
            <w:tcW w:w="0" w:type="auto"/>
            <w:tcBorders>
              <w:top w:val="nil"/>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Errico</w:t>
            </w:r>
          </w:p>
        </w:tc>
        <w:tc>
          <w:tcPr>
            <w:tcW w:w="0" w:type="auto"/>
            <w:tcBorders>
              <w:top w:val="nil"/>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CCA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CCA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EDF</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ENEA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FKA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FKA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FKA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FKA</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GRS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GRS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GRS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GRS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GRS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IEC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IEC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IEC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ICN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ICN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INRNE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INRNE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Andreeva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4AFC" w:rsidRPr="00136FAE" w:rsidRDefault="008D4AFC" w:rsidP="008D4AFC">
            <w:pPr>
              <w:spacing w:line="240" w:lineRule="auto"/>
              <w:jc w:val="center"/>
              <w:rPr>
                <w:szCs w:val="18"/>
              </w:rPr>
            </w:pPr>
            <w:r w:rsidRPr="00136FAE">
              <w:rPr>
                <w:szCs w:val="18"/>
              </w:rPr>
              <w:t>INRNE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Petrova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4AFC" w:rsidRPr="00136FAE" w:rsidRDefault="008D4AFC" w:rsidP="008D4AFC">
            <w:pPr>
              <w:spacing w:line="240" w:lineRule="auto"/>
              <w:jc w:val="center"/>
              <w:rPr>
                <w:szCs w:val="18"/>
              </w:rPr>
            </w:pPr>
            <w:r w:rsidRPr="00136FAE">
              <w:rPr>
                <w:szCs w:val="18"/>
              </w:rPr>
              <w:t>INRNE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lastRenderedPageBreak/>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IRSN</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JSI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 xml:space="preserve">Prošek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Andrej</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4AFC" w:rsidRPr="00136FAE" w:rsidRDefault="008D4AFC" w:rsidP="008D4AFC">
            <w:pPr>
              <w:spacing w:line="240" w:lineRule="auto"/>
              <w:jc w:val="center"/>
              <w:rPr>
                <w:szCs w:val="18"/>
              </w:rPr>
            </w:pPr>
            <w:r w:rsidRPr="00136FAE">
              <w:rPr>
                <w:szCs w:val="18"/>
              </w:rPr>
              <w:t>JSI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LEI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Vaidas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LEI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LEI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LRC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LRC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LRC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LRC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NCBJ</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NCBJ</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NCBJ</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NIER</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NIER</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NRG</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Sinda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NRG</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NUBIKI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NUBIKI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NUBIKI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RSE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center"/>
              <w:rPr>
                <w:szCs w:val="18"/>
              </w:rPr>
            </w:pPr>
            <w:r w:rsidRPr="00136FAE">
              <w:rPr>
                <w:szCs w:val="18"/>
              </w:rPr>
              <w:t>RSE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SSTC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SSTC</w:t>
            </w:r>
          </w:p>
        </w:tc>
      </w:tr>
      <w:tr w:rsidR="008D4AFC" w:rsidRPr="00136FAE" w:rsidTr="008D4AFC">
        <w:trPr>
          <w:trHeight w:val="20"/>
        </w:trPr>
        <w:tc>
          <w:tcPr>
            <w:tcW w:w="0" w:type="auto"/>
            <w:tcBorders>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Claus</w:t>
            </w:r>
          </w:p>
        </w:tc>
        <w:tc>
          <w:tcPr>
            <w:tcW w:w="0" w:type="auto"/>
            <w:tcBorders>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Etienne</w:t>
            </w:r>
          </w:p>
        </w:tc>
        <w:tc>
          <w:tcPr>
            <w:tcW w:w="0" w:type="auto"/>
            <w:tcBorders>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TRACTEBEL</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TRACTEBEL</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TRACTEBEL</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TRACTEBEL</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TRACTEBEL</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TRACTEBEL</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Yu</w:t>
            </w:r>
            <w:r w:rsidRPr="00136FAE">
              <w:rPr>
                <w:szCs w:val="18"/>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szCs w:val="18"/>
              </w:rPr>
            </w:pPr>
            <w:r w:rsidRPr="00136FAE">
              <w:rPr>
                <w:szCs w:val="18"/>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center"/>
              <w:rPr>
                <w:szCs w:val="18"/>
              </w:rPr>
            </w:pPr>
            <w:r w:rsidRPr="00136FAE">
              <w:rPr>
                <w:szCs w:val="18"/>
              </w:rPr>
              <w:t>TRACTEBEL</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TUS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Ivan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TUS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TUS</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UJV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center"/>
              <w:rPr>
                <w:rFonts w:cs="Arial"/>
                <w:bCs/>
                <w:szCs w:val="18"/>
              </w:rPr>
            </w:pPr>
            <w:r w:rsidRPr="00136FAE">
              <w:rPr>
                <w:szCs w:val="18"/>
              </w:rPr>
              <w:t>UJV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UJV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UJV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D4AFC" w:rsidRPr="00136FAE" w:rsidRDefault="008D4AFC" w:rsidP="008D4AFC">
            <w:pPr>
              <w:spacing w:line="240" w:lineRule="auto"/>
              <w:jc w:val="left"/>
              <w:rPr>
                <w:rFonts w:cs="Arial"/>
                <w:bCs/>
                <w:szCs w:val="18"/>
              </w:rPr>
            </w:pPr>
            <w:r w:rsidRPr="00136FAE">
              <w:rPr>
                <w:szCs w:val="18"/>
              </w:rPr>
              <w:t>Jan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D4AFC" w:rsidRPr="00136FAE" w:rsidRDefault="008D4AFC" w:rsidP="008D4AFC">
            <w:pPr>
              <w:spacing w:line="240" w:lineRule="auto"/>
              <w:jc w:val="center"/>
              <w:rPr>
                <w:rFonts w:cs="Arial"/>
                <w:bCs/>
                <w:szCs w:val="18"/>
              </w:rPr>
            </w:pPr>
            <w:r w:rsidRPr="00136FAE">
              <w:rPr>
                <w:szCs w:val="18"/>
              </w:rPr>
              <w:t>UJV</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4AFC" w:rsidRPr="00136FAE" w:rsidRDefault="008D4AFC" w:rsidP="008D4AFC">
            <w:pPr>
              <w:spacing w:line="240" w:lineRule="auto"/>
              <w:jc w:val="center"/>
              <w:rPr>
                <w:rFonts w:cs="Arial"/>
                <w:bCs/>
                <w:szCs w:val="18"/>
              </w:rPr>
            </w:pPr>
            <w:r w:rsidRPr="00136FAE">
              <w:rPr>
                <w:szCs w:val="18"/>
              </w:rPr>
              <w:t>UNIVIE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4AFC" w:rsidRPr="00136FAE" w:rsidRDefault="008D4AFC" w:rsidP="008D4AFC">
            <w:pPr>
              <w:spacing w:line="240" w:lineRule="auto"/>
              <w:jc w:val="center"/>
              <w:rPr>
                <w:rFonts w:cs="Arial"/>
                <w:bCs/>
                <w:szCs w:val="18"/>
              </w:rPr>
            </w:pPr>
            <w:r w:rsidRPr="00136FAE">
              <w:rPr>
                <w:szCs w:val="18"/>
              </w:rPr>
              <w:t>VUJE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4AFC" w:rsidRPr="00136FAE" w:rsidRDefault="008D4AFC" w:rsidP="008D4AFC">
            <w:pPr>
              <w:spacing w:line="240" w:lineRule="auto"/>
              <w:jc w:val="center"/>
              <w:rPr>
                <w:rFonts w:cs="Arial"/>
                <w:bCs/>
                <w:szCs w:val="18"/>
              </w:rPr>
            </w:pPr>
            <w:r w:rsidRPr="00136FAE">
              <w:rPr>
                <w:szCs w:val="18"/>
              </w:rPr>
              <w:t>VUJE</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D4AFC" w:rsidRPr="00136FAE" w:rsidRDefault="008D4AFC" w:rsidP="008D4AFC">
            <w:pPr>
              <w:spacing w:line="240" w:lineRule="auto"/>
              <w:jc w:val="left"/>
              <w:rPr>
                <w:rFonts w:cs="Arial"/>
                <w:bCs/>
                <w:szCs w:val="18"/>
              </w:rPr>
            </w:pPr>
            <w:r w:rsidRPr="00136FAE">
              <w:rPr>
                <w:szCs w:val="18"/>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4AFC" w:rsidRPr="00136FAE" w:rsidRDefault="008D4AFC" w:rsidP="008D4AFC">
            <w:pPr>
              <w:spacing w:line="240" w:lineRule="auto"/>
              <w:jc w:val="center"/>
              <w:rPr>
                <w:rFonts w:cs="Arial"/>
                <w:bCs/>
                <w:szCs w:val="18"/>
              </w:rPr>
            </w:pPr>
            <w:r w:rsidRPr="00136FAE">
              <w:rPr>
                <w:szCs w:val="18"/>
              </w:rPr>
              <w:t>VUJE</w:t>
            </w:r>
          </w:p>
        </w:tc>
      </w:tr>
    </w:tbl>
    <w:p w:rsidR="008D4AFC" w:rsidRPr="00136FAE" w:rsidRDefault="008D4AFC" w:rsidP="008D4AFC">
      <w:pPr>
        <w:rPr>
          <w:smallCaps/>
          <w:szCs w:val="18"/>
        </w:rPr>
      </w:pPr>
    </w:p>
    <w:p w:rsidR="008D4AFC" w:rsidRPr="00136FAE" w:rsidRDefault="008D4AFC" w:rsidP="008D4AFC">
      <w:pPr>
        <w:rPr>
          <w:smallCaps/>
          <w:szCs w:val="18"/>
        </w:rPr>
      </w:pPr>
      <w:r w:rsidRPr="00136FAE">
        <w:rPr>
          <w:b/>
          <w:szCs w:val="18"/>
        </w:rPr>
        <w:t>REPRESENTATIVE OF ASSOCIATED PARTNERS (E</w:t>
      </w:r>
      <w:r w:rsidRPr="00136FAE">
        <w:rPr>
          <w:b/>
          <w:szCs w:val="18"/>
        </w:rPr>
        <w:t>x</w:t>
      </w:r>
      <w:r w:rsidRPr="00136FAE">
        <w:rPr>
          <w:b/>
          <w:szCs w:val="18"/>
        </w:rPr>
        <w:t>ternal Experts Advisory Board (EEAB))</w:t>
      </w:r>
    </w:p>
    <w:p w:rsidR="008D4AFC" w:rsidRPr="00136FAE" w:rsidRDefault="008D4AFC" w:rsidP="008D4AFC">
      <w:pPr>
        <w:jc w:val="left"/>
        <w:rPr>
          <w:rFonts w:cs="Arial"/>
          <w:b/>
          <w:bCs/>
          <w:szCs w:val="18"/>
        </w:rPr>
      </w:pPr>
    </w:p>
    <w:tbl>
      <w:tblPr>
        <w:tblW w:w="0" w:type="auto"/>
        <w:tblCellMar>
          <w:left w:w="70" w:type="dxa"/>
          <w:right w:w="70" w:type="dxa"/>
        </w:tblCellMar>
        <w:tblLook w:val="04A0" w:firstRow="1" w:lastRow="0" w:firstColumn="1" w:lastColumn="0" w:noHBand="0" w:noVBand="1"/>
      </w:tblPr>
      <w:tblGrid>
        <w:gridCol w:w="989"/>
        <w:gridCol w:w="1058"/>
        <w:gridCol w:w="910"/>
      </w:tblGrid>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szCs w:val="18"/>
              </w:rPr>
            </w:pPr>
            <w:r w:rsidRPr="00136FAE">
              <w:rPr>
                <w:rFonts w:cs="Arial"/>
                <w:b/>
                <w:bCs/>
                <w:szCs w:val="18"/>
              </w:rPr>
              <w:t>Company</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szCs w:val="18"/>
              </w:rPr>
            </w:pPr>
            <w:r w:rsidRPr="00136FAE">
              <w:rPr>
                <w:rFonts w:cs="Arial"/>
                <w:bCs/>
                <w:szCs w:val="18"/>
              </w:rPr>
              <w:t>JANSI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szCs w:val="18"/>
              </w:rPr>
            </w:pPr>
            <w:r w:rsidRPr="00136FAE">
              <w:rPr>
                <w:rFonts w:cs="Arial"/>
                <w:bCs/>
                <w:szCs w:val="18"/>
              </w:rPr>
              <w:t>JANSI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szCs w:val="18"/>
              </w:rPr>
            </w:pPr>
            <w:r w:rsidRPr="00136FAE">
              <w:rPr>
                <w:rFonts w:cs="Arial"/>
                <w:bCs/>
                <w:szCs w:val="18"/>
              </w:rPr>
              <w:t>JANSI</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szCs w:val="18"/>
              </w:rPr>
            </w:pPr>
            <w:r w:rsidRPr="00136FAE">
              <w:rPr>
                <w:rFonts w:cs="Arial"/>
                <w:bCs/>
                <w:szCs w:val="18"/>
              </w:rPr>
              <w:t>TEPCO</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szCs w:val="18"/>
              </w:rPr>
            </w:pPr>
            <w:r w:rsidRPr="00136FAE">
              <w:rPr>
                <w:rFonts w:cs="Arial"/>
                <w:bCs/>
                <w:szCs w:val="18"/>
              </w:rPr>
              <w:t>US-NRC</w:t>
            </w:r>
          </w:p>
        </w:tc>
      </w:tr>
      <w:tr w:rsidR="008D4AFC" w:rsidRPr="00136FAE" w:rsidTr="008D4A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left"/>
              <w:rPr>
                <w:szCs w:val="18"/>
              </w:rPr>
            </w:pPr>
            <w:r w:rsidRPr="00136FAE">
              <w:rPr>
                <w:rFonts w:cs="Arial"/>
                <w:bCs/>
                <w:szCs w:val="18"/>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4AFC" w:rsidRPr="00136FAE" w:rsidRDefault="008D4AFC" w:rsidP="008D4AFC">
            <w:pPr>
              <w:spacing w:line="240" w:lineRule="auto"/>
              <w:jc w:val="center"/>
              <w:rPr>
                <w:szCs w:val="18"/>
              </w:rPr>
            </w:pPr>
            <w:r w:rsidRPr="00136FAE">
              <w:rPr>
                <w:rFonts w:cs="Arial"/>
                <w:bCs/>
                <w:szCs w:val="18"/>
              </w:rPr>
              <w:t>US-NRC</w:t>
            </w:r>
          </w:p>
        </w:tc>
      </w:tr>
      <w:tr w:rsidR="008D4AFC" w:rsidRPr="00136FAE" w:rsidTr="008D4AFC">
        <w:trPr>
          <w:trHeight w:val="20"/>
        </w:trPr>
        <w:tc>
          <w:tcPr>
            <w:tcW w:w="0" w:type="auto"/>
            <w:tcBorders>
              <w:top w:val="single" w:sz="4" w:space="0" w:color="auto"/>
            </w:tcBorders>
            <w:shd w:val="clear" w:color="auto" w:fill="auto"/>
            <w:noWrap/>
          </w:tcPr>
          <w:p w:rsidR="008D4AFC" w:rsidRPr="00136FAE" w:rsidRDefault="008D4AFC" w:rsidP="008D4AFC">
            <w:pPr>
              <w:spacing w:line="240" w:lineRule="auto"/>
              <w:jc w:val="left"/>
              <w:rPr>
                <w:szCs w:val="18"/>
              </w:rPr>
            </w:pPr>
          </w:p>
        </w:tc>
        <w:tc>
          <w:tcPr>
            <w:tcW w:w="0" w:type="auto"/>
            <w:tcBorders>
              <w:top w:val="single" w:sz="4" w:space="0" w:color="auto"/>
            </w:tcBorders>
            <w:shd w:val="clear" w:color="auto" w:fill="auto"/>
            <w:noWrap/>
          </w:tcPr>
          <w:p w:rsidR="008D4AFC" w:rsidRPr="00136FAE" w:rsidRDefault="008D4AFC" w:rsidP="008D4AFC">
            <w:pPr>
              <w:spacing w:line="240" w:lineRule="auto"/>
              <w:jc w:val="left"/>
              <w:rPr>
                <w:szCs w:val="18"/>
              </w:rPr>
            </w:pPr>
          </w:p>
        </w:tc>
        <w:tc>
          <w:tcPr>
            <w:tcW w:w="0" w:type="auto"/>
            <w:tcBorders>
              <w:top w:val="single" w:sz="4" w:space="0" w:color="auto"/>
            </w:tcBorders>
            <w:shd w:val="clear" w:color="auto" w:fill="auto"/>
            <w:noWrap/>
          </w:tcPr>
          <w:p w:rsidR="008D4AFC" w:rsidRPr="00136FAE" w:rsidRDefault="008D4AFC" w:rsidP="008D4AFC">
            <w:pPr>
              <w:spacing w:line="240" w:lineRule="auto"/>
              <w:jc w:val="center"/>
              <w:rPr>
                <w:szCs w:val="18"/>
              </w:rPr>
            </w:pPr>
          </w:p>
        </w:tc>
      </w:tr>
    </w:tbl>
    <w:p w:rsidR="008D4AFC" w:rsidRPr="00136FAE" w:rsidRDefault="008D4AFC" w:rsidP="008D4AFC">
      <w:pPr>
        <w:rPr>
          <w:b/>
          <w:szCs w:val="18"/>
        </w:rPr>
        <w:sectPr w:rsidR="008D4AFC" w:rsidRPr="00136FAE" w:rsidSect="008D4AFC">
          <w:headerReference w:type="default" r:id="rId13"/>
          <w:type w:val="continuous"/>
          <w:pgSz w:w="11907" w:h="16840" w:code="9"/>
          <w:pgMar w:top="397" w:right="1134" w:bottom="403" w:left="1418" w:header="567" w:footer="0" w:gutter="0"/>
          <w:cols w:num="2" w:space="708"/>
          <w:noEndnote/>
          <w:docGrid w:linePitch="326"/>
        </w:sectPr>
      </w:pPr>
    </w:p>
    <w:p w:rsidR="009A1C44" w:rsidRPr="00E055C6" w:rsidRDefault="00727DC3" w:rsidP="00CC04DD">
      <w:pPr>
        <w:pStyle w:val="Titre1"/>
        <w:numPr>
          <w:ilvl w:val="0"/>
          <w:numId w:val="0"/>
        </w:numPr>
      </w:pPr>
      <w:bookmarkStart w:id="9" w:name="_Toc370476715"/>
      <w:bookmarkStart w:id="10" w:name="_Toc456011860"/>
      <w:r>
        <w:lastRenderedPageBreak/>
        <w:t>Executive summary</w:t>
      </w:r>
      <w:bookmarkEnd w:id="9"/>
      <w:bookmarkEnd w:id="10"/>
    </w:p>
    <w:p w:rsidR="004D72F9" w:rsidRDefault="004D72F9" w:rsidP="004D72F9">
      <w:pPr>
        <w:tabs>
          <w:tab w:val="center" w:pos="4536"/>
          <w:tab w:val="right" w:pos="9072"/>
        </w:tabs>
      </w:pPr>
      <w:bookmarkStart w:id="11" w:name="_Toc370476716"/>
      <w:bookmarkStart w:id="12" w:name="_Toc370476717"/>
    </w:p>
    <w:p w:rsidR="004D72F9" w:rsidRDefault="004D72F9" w:rsidP="004D72F9">
      <w:pPr>
        <w:tabs>
          <w:tab w:val="center" w:pos="4536"/>
          <w:tab w:val="right" w:pos="9072"/>
        </w:tabs>
      </w:pPr>
      <w:r>
        <w:t xml:space="preserve">The report provides guidance on how to derive quantitative </w:t>
      </w:r>
      <w:r w:rsidR="00A63CAC">
        <w:t xml:space="preserve">values </w:t>
      </w:r>
      <w:r>
        <w:t xml:space="preserve">for seismotectonic hazards (vibratory ground motion and fault capability) for the implementation and use in level 1&amp;2 PSA. The objective is to review existing guidance, identify good practices and challenges in hazard assessment, and provide links to relevant regulatory, technical, and scientific literature. </w:t>
      </w:r>
      <w:r w:rsidRPr="00C611D6">
        <w:t xml:space="preserve">References to recent advances of science and technology </w:t>
      </w:r>
      <w:r>
        <w:t xml:space="preserve">are included </w:t>
      </w:r>
      <w:r w:rsidRPr="00C611D6">
        <w:t>in all chapters</w:t>
      </w:r>
      <w:r>
        <w:t xml:space="preserve">. </w:t>
      </w:r>
      <w:r w:rsidR="00A63CAC">
        <w:t>In addition, n</w:t>
      </w:r>
      <w:r>
        <w:t>ovel guidance is proposed for (1) the treatment of some key issues which have large i</w:t>
      </w:r>
      <w:r>
        <w:t>m</w:t>
      </w:r>
      <w:r>
        <w:t>pacts on the hazard results, and (2) the identification and assessment of hazard combinations (cor</w:t>
      </w:r>
      <w:r w:rsidR="00A8394B">
        <w:t>related and coincident hazards)</w:t>
      </w:r>
      <w:r w:rsidR="00773D74">
        <w:t>.</w:t>
      </w:r>
    </w:p>
    <w:p w:rsidR="004D72F9" w:rsidRDefault="004D72F9" w:rsidP="004D72F9">
      <w:pPr>
        <w:tabs>
          <w:tab w:val="center" w:pos="4536"/>
          <w:tab w:val="right" w:pos="9072"/>
        </w:tabs>
      </w:pPr>
    </w:p>
    <w:p w:rsidR="004D72F9" w:rsidRDefault="004D72F9" w:rsidP="004D72F9">
      <w:pPr>
        <w:tabs>
          <w:tab w:val="center" w:pos="4536"/>
          <w:tab w:val="right" w:pos="9072"/>
        </w:tabs>
      </w:pPr>
      <w:r>
        <w:t>(1) Guidance on seismic hazard assessment focuses on</w:t>
      </w:r>
      <w:r w:rsidR="00A63CAC">
        <w:t xml:space="preserve"> </w:t>
      </w:r>
      <w:r>
        <w:t>:</w:t>
      </w:r>
    </w:p>
    <w:p w:rsidR="004D72F9" w:rsidRDefault="004D72F9" w:rsidP="004D72F9">
      <w:pPr>
        <w:tabs>
          <w:tab w:val="center" w:pos="4536"/>
          <w:tab w:val="right" w:pos="9072"/>
        </w:tabs>
      </w:pPr>
    </w:p>
    <w:p w:rsidR="004D72F9" w:rsidRPr="004D72F9" w:rsidRDefault="00773D74" w:rsidP="00860D1D">
      <w:pPr>
        <w:numPr>
          <w:ilvl w:val="0"/>
          <w:numId w:val="47"/>
        </w:numPr>
        <w:rPr>
          <w:rStyle w:val="NormalCar"/>
          <w:lang w:val="en-US"/>
        </w:rPr>
      </w:pPr>
      <w:r>
        <w:rPr>
          <w:rStyle w:val="NormalCar"/>
          <w:lang w:val="en-US"/>
        </w:rPr>
        <w:t>a</w:t>
      </w:r>
      <w:r w:rsidR="004D72F9" w:rsidRPr="004D72F9">
        <w:rPr>
          <w:rStyle w:val="NormalCar"/>
          <w:lang w:val="en-US"/>
        </w:rPr>
        <w:t xml:space="preserve"> detailed description of the data required as inputs for seismic hazard assessment including site-specific information from geosciences and methods for estimating data quality and completeness</w:t>
      </w:r>
      <w:r>
        <w:rPr>
          <w:rStyle w:val="NormalCar"/>
          <w:lang w:val="en-US"/>
        </w:rPr>
        <w:t xml:space="preserve"> ; </w:t>
      </w:r>
      <w:r w:rsidR="004D72F9" w:rsidRPr="004D72F9">
        <w:rPr>
          <w:rStyle w:val="NormalCar"/>
          <w:lang w:val="en-US"/>
        </w:rPr>
        <w:t xml:space="preserve"> </w:t>
      </w:r>
      <w:r>
        <w:rPr>
          <w:rStyle w:val="NormalCar"/>
          <w:lang w:val="en-US"/>
        </w:rPr>
        <w:t>the report</w:t>
      </w:r>
      <w:r w:rsidRPr="004D72F9">
        <w:rPr>
          <w:rStyle w:val="NormalCar"/>
          <w:lang w:val="en-US"/>
        </w:rPr>
        <w:t xml:space="preserve"> </w:t>
      </w:r>
      <w:r w:rsidR="004D72F9" w:rsidRPr="004D72F9">
        <w:rPr>
          <w:rStyle w:val="NormalCar"/>
          <w:lang w:val="en-US"/>
        </w:rPr>
        <w:t>particularly identif</w:t>
      </w:r>
      <w:r>
        <w:rPr>
          <w:rStyle w:val="NormalCar"/>
          <w:lang w:val="en-US"/>
        </w:rPr>
        <w:t>ies</w:t>
      </w:r>
      <w:r w:rsidR="004D72F9" w:rsidRPr="004D72F9">
        <w:rPr>
          <w:rStyle w:val="NormalCar"/>
          <w:lang w:val="en-US"/>
        </w:rPr>
        <w:t xml:space="preserve"> the need to critically review earthquake data and to develop reliable data to cha</w:t>
      </w:r>
      <w:r w:rsidR="004D72F9" w:rsidRPr="004D72F9">
        <w:rPr>
          <w:rStyle w:val="NormalCar"/>
          <w:lang w:val="en-US"/>
        </w:rPr>
        <w:t>r</w:t>
      </w:r>
      <w:r w:rsidR="004D72F9" w:rsidRPr="004D72F9">
        <w:rPr>
          <w:rStyle w:val="NormalCar"/>
          <w:lang w:val="en-US"/>
        </w:rPr>
        <w:t>acterize faults in the surrounding of NPPs</w:t>
      </w:r>
      <w:r>
        <w:rPr>
          <w:rStyle w:val="NormalCar"/>
          <w:lang w:val="en-US"/>
        </w:rPr>
        <w:t>;</w:t>
      </w:r>
      <w:r w:rsidR="004D72F9" w:rsidRPr="004D72F9">
        <w:rPr>
          <w:rStyle w:val="NormalCar"/>
          <w:lang w:val="en-US"/>
        </w:rPr>
        <w:t xml:space="preserve"> </w:t>
      </w:r>
      <w:r>
        <w:rPr>
          <w:rStyle w:val="NormalCar"/>
          <w:lang w:val="en-US"/>
        </w:rPr>
        <w:t>t</w:t>
      </w:r>
      <w:r w:rsidR="004D72F9" w:rsidRPr="004D72F9">
        <w:rPr>
          <w:rStyle w:val="NormalCar"/>
          <w:lang w:val="en-US"/>
        </w:rPr>
        <w:t>hese needs derive from fact that most parts of Europe are i</w:t>
      </w:r>
      <w:r w:rsidR="004D72F9" w:rsidRPr="004D72F9">
        <w:rPr>
          <w:rStyle w:val="NormalCar"/>
          <w:lang w:val="en-US"/>
        </w:rPr>
        <w:t>n</w:t>
      </w:r>
      <w:r w:rsidR="004D72F9" w:rsidRPr="004D72F9">
        <w:rPr>
          <w:rStyle w:val="NormalCar"/>
          <w:lang w:val="en-US"/>
        </w:rPr>
        <w:t>tra-plate areas with slow to very slow faults, which typically produce earthquakes at recurrence i</w:t>
      </w:r>
      <w:r w:rsidR="004D72F9" w:rsidRPr="004D72F9">
        <w:rPr>
          <w:rStyle w:val="NormalCar"/>
          <w:lang w:val="en-US"/>
        </w:rPr>
        <w:t>n</w:t>
      </w:r>
      <w:r w:rsidR="004D72F9" w:rsidRPr="004D72F9">
        <w:rPr>
          <w:rStyle w:val="NormalCar"/>
          <w:lang w:val="en-US"/>
        </w:rPr>
        <w:t>tervals of tho</w:t>
      </w:r>
      <w:r w:rsidR="004D72F9" w:rsidRPr="004D72F9">
        <w:rPr>
          <w:rStyle w:val="NormalCar"/>
          <w:lang w:val="en-US"/>
        </w:rPr>
        <w:t>u</w:t>
      </w:r>
      <w:r w:rsidR="004D72F9" w:rsidRPr="004D72F9">
        <w:rPr>
          <w:rStyle w:val="NormalCar"/>
          <w:lang w:val="en-US"/>
        </w:rPr>
        <w:t>sands to ten thousands of years while earthquake catalogues only span few hundred years</w:t>
      </w:r>
      <w:r>
        <w:rPr>
          <w:rStyle w:val="NormalCar"/>
          <w:lang w:val="en-US"/>
        </w:rPr>
        <w:t>;</w:t>
      </w:r>
      <w:r w:rsidR="004D72F9" w:rsidRPr="004D72F9">
        <w:rPr>
          <w:rStyle w:val="NormalCar"/>
          <w:lang w:val="en-US"/>
        </w:rPr>
        <w:t xml:space="preserve"> </w:t>
      </w:r>
    </w:p>
    <w:p w:rsidR="004D72F9" w:rsidRPr="004D72F9" w:rsidRDefault="00773D74" w:rsidP="00860D1D">
      <w:pPr>
        <w:numPr>
          <w:ilvl w:val="0"/>
          <w:numId w:val="47"/>
        </w:numPr>
        <w:rPr>
          <w:rStyle w:val="NormalCar"/>
          <w:lang w:val="en-US"/>
        </w:rPr>
      </w:pPr>
      <w:r>
        <w:rPr>
          <w:rStyle w:val="NormalCar"/>
          <w:lang w:val="en-US"/>
        </w:rPr>
        <w:t>g</w:t>
      </w:r>
      <w:r w:rsidR="00A63CAC" w:rsidRPr="004D72F9">
        <w:rPr>
          <w:rStyle w:val="NormalCar"/>
          <w:lang w:val="en-US"/>
        </w:rPr>
        <w:t>uidance</w:t>
      </w:r>
      <w:r w:rsidR="00A63CAC">
        <w:rPr>
          <w:rStyle w:val="NormalCar"/>
          <w:lang w:val="en-US"/>
        </w:rPr>
        <w:t xml:space="preserve"> and i</w:t>
      </w:r>
      <w:r w:rsidR="004D72F9" w:rsidRPr="004D72F9">
        <w:rPr>
          <w:rStyle w:val="NormalCar"/>
          <w:lang w:val="en-US"/>
        </w:rPr>
        <w:t xml:space="preserve">n-depth discussion </w:t>
      </w:r>
      <w:r w:rsidR="00A63CAC">
        <w:rPr>
          <w:rStyle w:val="NormalCar"/>
          <w:lang w:val="en-US"/>
        </w:rPr>
        <w:t xml:space="preserve">is further provided </w:t>
      </w:r>
      <w:r w:rsidR="004D72F9" w:rsidRPr="004D72F9">
        <w:rPr>
          <w:rStyle w:val="NormalCar"/>
          <w:lang w:val="en-US"/>
        </w:rPr>
        <w:t xml:space="preserve">on how to obtain the key input parameters </w:t>
      </w:r>
      <w:r w:rsidR="00F7701C">
        <w:rPr>
          <w:rStyle w:val="NormalCar"/>
          <w:lang w:val="en-US"/>
        </w:rPr>
        <w:t>such as</w:t>
      </w:r>
      <w:r w:rsidR="004D72F9" w:rsidRPr="004D72F9">
        <w:rPr>
          <w:rStyle w:val="NormalCar"/>
          <w:lang w:val="en-US"/>
        </w:rPr>
        <w:t xml:space="preserve"> </w:t>
      </w:r>
      <w:r w:rsidR="00F7701C">
        <w:rPr>
          <w:rStyle w:val="NormalCar"/>
          <w:lang w:val="en-US"/>
        </w:rPr>
        <w:t xml:space="preserve">seismic </w:t>
      </w:r>
      <w:r w:rsidR="004D72F9" w:rsidRPr="004D72F9">
        <w:rPr>
          <w:rStyle w:val="NormalCar"/>
          <w:lang w:val="en-US"/>
        </w:rPr>
        <w:t>sources, ground motion prediction equations, maximum magni</w:t>
      </w:r>
      <w:r w:rsidR="00F7701C">
        <w:rPr>
          <w:rStyle w:val="NormalCar"/>
          <w:lang w:val="en-US"/>
        </w:rPr>
        <w:t>tude, and lower bound magnitude</w:t>
      </w:r>
      <w:r>
        <w:rPr>
          <w:rStyle w:val="NormalCar"/>
          <w:lang w:val="en-US"/>
        </w:rPr>
        <w:t>;</w:t>
      </w:r>
      <w:r w:rsidR="004D72F9" w:rsidRPr="004D72F9">
        <w:rPr>
          <w:rStyle w:val="NormalCar"/>
          <w:lang w:val="en-US"/>
        </w:rPr>
        <w:t xml:space="preserve"> </w:t>
      </w:r>
    </w:p>
    <w:p w:rsidR="004D72F9" w:rsidRPr="004D72F9" w:rsidRDefault="00773D74" w:rsidP="00860D1D">
      <w:pPr>
        <w:numPr>
          <w:ilvl w:val="0"/>
          <w:numId w:val="47"/>
        </w:numPr>
        <w:rPr>
          <w:rStyle w:val="NormalCar"/>
          <w:lang w:val="en-US"/>
        </w:rPr>
      </w:pPr>
      <w:r>
        <w:rPr>
          <w:rStyle w:val="NormalCar"/>
          <w:lang w:val="en-US"/>
        </w:rPr>
        <w:t xml:space="preserve">the report </w:t>
      </w:r>
      <w:r w:rsidR="00F7701C">
        <w:rPr>
          <w:rStyle w:val="NormalCar"/>
          <w:lang w:val="en-US"/>
        </w:rPr>
        <w:t>finally provide</w:t>
      </w:r>
      <w:r>
        <w:rPr>
          <w:rStyle w:val="NormalCar"/>
          <w:lang w:val="en-US"/>
        </w:rPr>
        <w:t>s</w:t>
      </w:r>
      <w:r w:rsidR="00F7701C">
        <w:rPr>
          <w:rStyle w:val="NormalCar"/>
          <w:lang w:val="en-US"/>
        </w:rPr>
        <w:t xml:space="preserve"> r</w:t>
      </w:r>
      <w:r w:rsidR="004D72F9" w:rsidRPr="004D72F9">
        <w:rPr>
          <w:rStyle w:val="NormalCar"/>
          <w:lang w:val="en-US"/>
        </w:rPr>
        <w:t>eferences to guidance on commonly applied hazard assessment methodo</w:t>
      </w:r>
      <w:r w:rsidR="004D72F9" w:rsidRPr="004D72F9">
        <w:rPr>
          <w:rStyle w:val="NormalCar"/>
          <w:lang w:val="en-US"/>
        </w:rPr>
        <w:t>l</w:t>
      </w:r>
      <w:r w:rsidR="004D72F9" w:rsidRPr="004D72F9">
        <w:rPr>
          <w:rStyle w:val="NormalCar"/>
          <w:lang w:val="en-US"/>
        </w:rPr>
        <w:t>ogies (Probabilistic and Deterministic Seismic Hazard Assessment, Probabilistic Fault Displacement Anal</w:t>
      </w:r>
      <w:r w:rsidR="004D72F9" w:rsidRPr="004D72F9">
        <w:rPr>
          <w:rStyle w:val="NormalCar"/>
          <w:lang w:val="en-US"/>
        </w:rPr>
        <w:t>y</w:t>
      </w:r>
      <w:r w:rsidR="004D72F9" w:rsidRPr="004D72F9">
        <w:rPr>
          <w:rStyle w:val="NormalCar"/>
          <w:lang w:val="en-US"/>
        </w:rPr>
        <w:t>sis) and discussions of the associated uncertainties and methodological limits</w:t>
      </w:r>
      <w:r>
        <w:rPr>
          <w:rStyle w:val="NormalCar"/>
          <w:lang w:val="en-US"/>
        </w:rPr>
        <w:t>;</w:t>
      </w:r>
      <w:r w:rsidR="004D72F9" w:rsidRPr="004D72F9">
        <w:rPr>
          <w:rStyle w:val="NormalCar"/>
          <w:lang w:val="en-US"/>
        </w:rPr>
        <w:t xml:space="preserve"> </w:t>
      </w:r>
      <w:r>
        <w:rPr>
          <w:rStyle w:val="NormalCar"/>
          <w:lang w:val="en-US"/>
        </w:rPr>
        <w:t>t</w:t>
      </w:r>
      <w:r w:rsidR="004D72F9" w:rsidRPr="004D72F9">
        <w:rPr>
          <w:rStyle w:val="NormalCar"/>
          <w:lang w:val="en-US"/>
        </w:rPr>
        <w:t>he most important limitation to probabilistic hazard assessments is seen in the fact that traditional PSHA heavily relies on the extrapol</w:t>
      </w:r>
      <w:r w:rsidR="004D72F9" w:rsidRPr="004D72F9">
        <w:rPr>
          <w:rStyle w:val="NormalCar"/>
          <w:lang w:val="en-US"/>
        </w:rPr>
        <w:t>a</w:t>
      </w:r>
      <w:r w:rsidR="004D72F9" w:rsidRPr="004D72F9">
        <w:rPr>
          <w:rStyle w:val="NormalCar"/>
          <w:lang w:val="en-US"/>
        </w:rPr>
        <w:t xml:space="preserve">tion of </w:t>
      </w:r>
      <w:r w:rsidR="00F7701C">
        <w:rPr>
          <w:rStyle w:val="NormalCar"/>
          <w:lang w:val="en-US"/>
        </w:rPr>
        <w:t xml:space="preserve">short records of </w:t>
      </w:r>
      <w:r w:rsidR="004D72F9" w:rsidRPr="004D72F9">
        <w:rPr>
          <w:rStyle w:val="NormalCar"/>
          <w:lang w:val="en-US"/>
        </w:rPr>
        <w:t>earthquake data</w:t>
      </w:r>
      <w:r w:rsidR="00F7701C">
        <w:rPr>
          <w:rStyle w:val="NormalCar"/>
          <w:lang w:val="en-US"/>
        </w:rPr>
        <w:t xml:space="preserve"> </w:t>
      </w:r>
      <w:r w:rsidR="004D72F9" w:rsidRPr="004D72F9">
        <w:rPr>
          <w:rStyle w:val="NormalCar"/>
          <w:lang w:val="en-US"/>
        </w:rPr>
        <w:t>to the very low occurrence probabilities required as input p</w:t>
      </w:r>
      <w:r w:rsidR="004D72F9" w:rsidRPr="004D72F9">
        <w:rPr>
          <w:rStyle w:val="NormalCar"/>
          <w:lang w:val="en-US"/>
        </w:rPr>
        <w:t>a</w:t>
      </w:r>
      <w:r w:rsidR="004D72F9" w:rsidRPr="004D72F9">
        <w:rPr>
          <w:rStyle w:val="NormalCar"/>
          <w:lang w:val="en-US"/>
        </w:rPr>
        <w:t>rameters for PSA (10-4 to 10-7 per year).</w:t>
      </w:r>
    </w:p>
    <w:p w:rsidR="004D72F9" w:rsidRDefault="004D72F9" w:rsidP="004D72F9">
      <w:pPr>
        <w:tabs>
          <w:tab w:val="center" w:pos="4536"/>
          <w:tab w:val="right" w:pos="9072"/>
        </w:tabs>
      </w:pPr>
    </w:p>
    <w:p w:rsidR="004D72F9" w:rsidRDefault="004D72F9" w:rsidP="004D72F9">
      <w:pPr>
        <w:tabs>
          <w:tab w:val="center" w:pos="4536"/>
          <w:tab w:val="right" w:pos="9072"/>
        </w:tabs>
      </w:pPr>
      <w:r>
        <w:t xml:space="preserve">(2) Novel guidance on hazards combinations considers both, correlated and coincident hazards. </w:t>
      </w:r>
      <w:r w:rsidR="00773D74">
        <w:t>The report pr</w:t>
      </w:r>
      <w:r w:rsidR="00773D74">
        <w:t>o</w:t>
      </w:r>
      <w:r w:rsidR="00773D74">
        <w:t xml:space="preserve">vides </w:t>
      </w:r>
      <w:r>
        <w:t>guidance on the screening of correlated natural and man-made</w:t>
      </w:r>
      <w:r w:rsidR="00F7701C" w:rsidRPr="00F7701C">
        <w:t xml:space="preserve"> </w:t>
      </w:r>
      <w:r w:rsidR="00F7701C">
        <w:t>hazards</w:t>
      </w:r>
      <w:r>
        <w:t>, the assessment of the most i</w:t>
      </w:r>
      <w:r>
        <w:t>m</w:t>
      </w:r>
      <w:r>
        <w:t>portant corr</w:t>
      </w:r>
      <w:r>
        <w:t>e</w:t>
      </w:r>
      <w:r>
        <w:t>lated hazards, and the assessment of coincident (contemporaneous) hazards.</w:t>
      </w:r>
    </w:p>
    <w:p w:rsidR="009A1C44" w:rsidRPr="00E055C6" w:rsidRDefault="004D72F9" w:rsidP="004D72F9">
      <w:pPr>
        <w:pStyle w:val="Titre1"/>
        <w:numPr>
          <w:ilvl w:val="0"/>
          <w:numId w:val="0"/>
        </w:numPr>
      </w:pPr>
      <w:r w:rsidRPr="00053C9C">
        <w:br w:type="page"/>
      </w:r>
      <w:bookmarkStart w:id="13" w:name="_Toc456011861"/>
      <w:r w:rsidR="009A1C44" w:rsidRPr="00E055C6">
        <w:lastRenderedPageBreak/>
        <w:t xml:space="preserve">ASAMPSA_E </w:t>
      </w:r>
      <w:bookmarkEnd w:id="11"/>
      <w:bookmarkEnd w:id="12"/>
      <w:r w:rsidR="00EC412F">
        <w:t>P</w:t>
      </w:r>
      <w:r w:rsidR="00E03116">
        <w:t>arnters</w:t>
      </w:r>
      <w:bookmarkEnd w:id="13"/>
    </w:p>
    <w:p w:rsidR="009A1C44" w:rsidRPr="00E055C6" w:rsidRDefault="009A1C44" w:rsidP="009A1C44">
      <w:pPr>
        <w:rPr>
          <w:i/>
        </w:rPr>
      </w:pPr>
      <w:r w:rsidRPr="00E055C6">
        <w:rPr>
          <w:i/>
        </w:rPr>
        <w:t>The following table provides the list of the ASAMPSA</w:t>
      </w:r>
      <w:r w:rsidR="00BE3F49">
        <w:rPr>
          <w:i/>
        </w:rPr>
        <w:t>_E</w:t>
      </w:r>
      <w:r w:rsidRPr="00E055C6">
        <w:rPr>
          <w:i/>
        </w:rPr>
        <w:t xml:space="preserve"> partners involved in the development of this document.</w:t>
      </w:r>
    </w:p>
    <w:p w:rsidR="00F5573C" w:rsidRPr="00E4375F" w:rsidRDefault="00F5573C" w:rsidP="00F5573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465"/>
        <w:gridCol w:w="1436"/>
        <w:gridCol w:w="1182"/>
      </w:tblGrid>
      <w:tr w:rsidR="00F5573C" w:rsidRPr="00ED5F76" w:rsidTr="00527CD3">
        <w:tblPrEx>
          <w:tblCellMar>
            <w:top w:w="0" w:type="dxa"/>
            <w:bottom w:w="0" w:type="dxa"/>
          </w:tblCellMar>
        </w:tblPrEx>
        <w:tc>
          <w:tcPr>
            <w:tcW w:w="0" w:type="auto"/>
            <w:vAlign w:val="center"/>
          </w:tcPr>
          <w:p w:rsidR="00F5573C" w:rsidRPr="00ED5F76" w:rsidRDefault="00F5573C" w:rsidP="00527CD3">
            <w:pPr>
              <w:spacing w:before="120" w:line="240" w:lineRule="auto"/>
              <w:rPr>
                <w:szCs w:val="22"/>
                <w:lang w:val="en-US"/>
              </w:rPr>
            </w:pPr>
            <w:r>
              <w:rPr>
                <w:szCs w:val="22"/>
                <w:lang w:val="en-US"/>
              </w:rPr>
              <w:t>1</w:t>
            </w:r>
          </w:p>
        </w:tc>
        <w:tc>
          <w:tcPr>
            <w:tcW w:w="6465" w:type="dxa"/>
            <w:vAlign w:val="center"/>
          </w:tcPr>
          <w:p w:rsidR="00F5573C" w:rsidRPr="00ED5F76" w:rsidRDefault="00F5573C" w:rsidP="00527CD3">
            <w:pPr>
              <w:shd w:val="clear" w:color="auto" w:fill="FFFFFF"/>
              <w:spacing w:before="120" w:line="240" w:lineRule="auto"/>
              <w:rPr>
                <w:szCs w:val="22"/>
                <w:lang w:val="en-US"/>
              </w:rPr>
            </w:pPr>
            <w:r w:rsidRPr="00ED5F76">
              <w:rPr>
                <w:szCs w:val="22"/>
                <w:lang w:val="en-US"/>
              </w:rPr>
              <w:t>Institute for Radiological Protection and Nuclear Safety</w:t>
            </w:r>
          </w:p>
        </w:tc>
        <w:tc>
          <w:tcPr>
            <w:tcW w:w="1436" w:type="dxa"/>
            <w:vAlign w:val="center"/>
          </w:tcPr>
          <w:p w:rsidR="00F5573C" w:rsidRPr="00ED5F76" w:rsidRDefault="00F5573C" w:rsidP="00527CD3">
            <w:pPr>
              <w:spacing w:before="120" w:line="240" w:lineRule="auto"/>
              <w:rPr>
                <w:szCs w:val="22"/>
                <w:lang w:val="en-US"/>
              </w:rPr>
            </w:pPr>
            <w:r w:rsidRPr="00ED5F76">
              <w:rPr>
                <w:szCs w:val="22"/>
                <w:lang w:val="en-US"/>
              </w:rPr>
              <w:t>IRSN</w:t>
            </w:r>
          </w:p>
        </w:tc>
        <w:tc>
          <w:tcPr>
            <w:tcW w:w="1182" w:type="dxa"/>
            <w:vAlign w:val="center"/>
          </w:tcPr>
          <w:p w:rsidR="00F5573C" w:rsidRPr="00ED5F76" w:rsidRDefault="00F5573C" w:rsidP="00527CD3">
            <w:pPr>
              <w:shd w:val="clear" w:color="auto" w:fill="FFFFFF"/>
              <w:spacing w:before="120" w:line="240" w:lineRule="auto"/>
              <w:rPr>
                <w:szCs w:val="22"/>
                <w:lang w:val="en-US"/>
              </w:rPr>
            </w:pPr>
            <w:smartTag w:uri="urn:schemas-microsoft-com:office:smarttags" w:element="place">
              <w:smartTag w:uri="urn:schemas-microsoft-com:office:smarttags" w:element="country-region">
                <w:r w:rsidRPr="00ED5F76">
                  <w:rPr>
                    <w:szCs w:val="22"/>
                    <w:lang w:val="en-US"/>
                  </w:rPr>
                  <w:t>France</w:t>
                </w:r>
              </w:smartTag>
            </w:smartTag>
          </w:p>
        </w:tc>
      </w:tr>
      <w:tr w:rsidR="00F5573C" w:rsidRPr="00F5573C" w:rsidTr="00527CD3">
        <w:tblPrEx>
          <w:tblCellMar>
            <w:top w:w="0" w:type="dxa"/>
            <w:bottom w:w="0" w:type="dxa"/>
          </w:tblCellMar>
        </w:tblPrEx>
        <w:tc>
          <w:tcPr>
            <w:tcW w:w="0" w:type="auto"/>
            <w:tcBorders>
              <w:bottom w:val="single" w:sz="6" w:space="0" w:color="000000"/>
            </w:tcBorders>
            <w:vAlign w:val="center"/>
          </w:tcPr>
          <w:p w:rsidR="00F5573C" w:rsidRPr="00F5573C" w:rsidRDefault="00F5573C" w:rsidP="00527CD3">
            <w:pPr>
              <w:spacing w:before="120" w:line="240" w:lineRule="auto"/>
              <w:rPr>
                <w:szCs w:val="22"/>
                <w:lang w:val="en-US"/>
              </w:rPr>
            </w:pPr>
            <w:r w:rsidRPr="00F5573C">
              <w:rPr>
                <w:szCs w:val="22"/>
                <w:lang w:val="en-US"/>
              </w:rPr>
              <w:t>2</w:t>
            </w:r>
          </w:p>
        </w:tc>
        <w:tc>
          <w:tcPr>
            <w:tcW w:w="6465" w:type="dxa"/>
            <w:tcBorders>
              <w:bottom w:val="single" w:sz="6" w:space="0" w:color="000000"/>
            </w:tcBorders>
            <w:vAlign w:val="center"/>
          </w:tcPr>
          <w:p w:rsidR="00F5573C" w:rsidRPr="00F5573C" w:rsidRDefault="00F5573C" w:rsidP="00527CD3">
            <w:pPr>
              <w:shd w:val="clear" w:color="auto" w:fill="FFFFFF"/>
              <w:spacing w:before="120" w:line="240" w:lineRule="auto"/>
              <w:rPr>
                <w:szCs w:val="22"/>
                <w:lang w:val="de-DE"/>
              </w:rPr>
            </w:pPr>
            <w:r w:rsidRPr="00F5573C">
              <w:rPr>
                <w:szCs w:val="22"/>
                <w:lang w:val="de-DE"/>
              </w:rPr>
              <w:t>Gesellschaft für Anlagen- und Reaktorsicherheit mbH</w:t>
            </w:r>
          </w:p>
        </w:tc>
        <w:tc>
          <w:tcPr>
            <w:tcW w:w="1436" w:type="dxa"/>
            <w:tcBorders>
              <w:bottom w:val="single" w:sz="6" w:space="0" w:color="000000"/>
            </w:tcBorders>
            <w:vAlign w:val="center"/>
          </w:tcPr>
          <w:p w:rsidR="00F5573C" w:rsidRPr="00F5573C" w:rsidRDefault="00F5573C" w:rsidP="00527CD3">
            <w:pPr>
              <w:spacing w:before="120" w:line="240" w:lineRule="auto"/>
              <w:rPr>
                <w:szCs w:val="22"/>
                <w:lang w:val="en-US"/>
              </w:rPr>
            </w:pPr>
            <w:r w:rsidRPr="00F5573C">
              <w:rPr>
                <w:szCs w:val="22"/>
                <w:lang w:val="en-US"/>
              </w:rPr>
              <w:t>GRS</w:t>
            </w:r>
          </w:p>
        </w:tc>
        <w:tc>
          <w:tcPr>
            <w:tcW w:w="1182" w:type="dxa"/>
            <w:tcBorders>
              <w:bottom w:val="single" w:sz="6" w:space="0" w:color="000000"/>
            </w:tcBorders>
            <w:vAlign w:val="center"/>
          </w:tcPr>
          <w:p w:rsidR="00F5573C" w:rsidRPr="00F5573C" w:rsidRDefault="00F5573C" w:rsidP="00527CD3">
            <w:pPr>
              <w:shd w:val="clear" w:color="auto" w:fill="FFFFFF"/>
              <w:spacing w:before="120" w:line="240" w:lineRule="auto"/>
              <w:rPr>
                <w:szCs w:val="22"/>
                <w:lang w:val="en-US"/>
              </w:rPr>
            </w:pPr>
            <w:r w:rsidRPr="00F5573C">
              <w:rPr>
                <w:szCs w:val="22"/>
                <w:lang w:val="en-US"/>
              </w:rPr>
              <w:t>Germany</w:t>
            </w:r>
          </w:p>
        </w:tc>
      </w:tr>
      <w:tr w:rsidR="00F5573C" w:rsidRPr="00527CD3" w:rsidTr="00527CD3">
        <w:tblPrEx>
          <w:tblCellMar>
            <w:top w:w="0" w:type="dxa"/>
            <w:bottom w:w="0" w:type="dxa"/>
          </w:tblCellMar>
        </w:tblPrEx>
        <w:tc>
          <w:tcPr>
            <w:tcW w:w="0" w:type="auto"/>
            <w:shd w:val="clear" w:color="auto" w:fill="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3</w:t>
            </w:r>
          </w:p>
        </w:tc>
        <w:tc>
          <w:tcPr>
            <w:tcW w:w="6465" w:type="dxa"/>
            <w:shd w:val="clear" w:color="auto" w:fill="auto"/>
            <w:vAlign w:val="center"/>
          </w:tcPr>
          <w:p w:rsidR="00F5573C" w:rsidRPr="00527CD3" w:rsidRDefault="00F5573C" w:rsidP="00527CD3">
            <w:pPr>
              <w:shd w:val="clear" w:color="auto" w:fill="FFFFFF"/>
              <w:spacing w:before="120" w:line="240" w:lineRule="auto"/>
              <w:rPr>
                <w:color w:val="AEAAAA"/>
                <w:szCs w:val="22"/>
                <w:lang w:val="en-US"/>
              </w:rPr>
            </w:pPr>
            <w:r w:rsidRPr="00527CD3">
              <w:rPr>
                <w:color w:val="AEAAAA"/>
                <w:szCs w:val="22"/>
                <w:lang w:val="en-US"/>
              </w:rPr>
              <w:t>AMEC NNC Limited</w:t>
            </w:r>
          </w:p>
        </w:tc>
        <w:tc>
          <w:tcPr>
            <w:tcW w:w="1436" w:type="dxa"/>
            <w:shd w:val="clear" w:color="auto" w:fill="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AMEC NNC</w:t>
            </w:r>
          </w:p>
        </w:tc>
        <w:tc>
          <w:tcPr>
            <w:tcW w:w="1182" w:type="dxa"/>
            <w:shd w:val="clear" w:color="auto" w:fill="auto"/>
            <w:vAlign w:val="center"/>
          </w:tcPr>
          <w:p w:rsidR="00F5573C" w:rsidRPr="00527CD3" w:rsidRDefault="00F5573C" w:rsidP="00527CD3">
            <w:pPr>
              <w:shd w:val="clear" w:color="auto" w:fill="FFFFFF"/>
              <w:spacing w:before="120" w:line="240" w:lineRule="auto"/>
              <w:rPr>
                <w:color w:val="AEAAAA"/>
                <w:szCs w:val="22"/>
                <w:lang w:val="en-US"/>
              </w:rPr>
            </w:pPr>
            <w:r w:rsidRPr="00527CD3">
              <w:rPr>
                <w:color w:val="AEAAAA"/>
                <w:szCs w:val="22"/>
                <w:lang w:val="en-US"/>
              </w:rPr>
              <w:t>United Kingdom</w:t>
            </w:r>
          </w:p>
        </w:tc>
      </w:tr>
      <w:tr w:rsidR="00F5573C" w:rsidRPr="00A94EFE" w:rsidTr="00527CD3">
        <w:tblPrEx>
          <w:tblCellMar>
            <w:top w:w="0" w:type="dxa"/>
            <w:bottom w:w="0" w:type="dxa"/>
          </w:tblCellMar>
        </w:tblPrEx>
        <w:tc>
          <w:tcPr>
            <w:tcW w:w="0" w:type="auto"/>
            <w:vAlign w:val="center"/>
          </w:tcPr>
          <w:p w:rsidR="00F5573C" w:rsidRPr="00A94EFE" w:rsidRDefault="00F5573C" w:rsidP="00527CD3">
            <w:pPr>
              <w:spacing w:before="120" w:line="240" w:lineRule="auto"/>
              <w:rPr>
                <w:szCs w:val="22"/>
                <w:lang w:val="en-US"/>
              </w:rPr>
            </w:pPr>
            <w:r w:rsidRPr="00A94EFE">
              <w:rPr>
                <w:szCs w:val="22"/>
                <w:lang w:val="en-US"/>
              </w:rPr>
              <w:t>4</w:t>
            </w:r>
          </w:p>
        </w:tc>
        <w:tc>
          <w:tcPr>
            <w:tcW w:w="6465" w:type="dxa"/>
            <w:vAlign w:val="center"/>
          </w:tcPr>
          <w:p w:rsidR="00F5573C" w:rsidRPr="00A94EFE" w:rsidRDefault="00F5573C" w:rsidP="00527CD3">
            <w:pPr>
              <w:shd w:val="clear" w:color="auto" w:fill="FFFFFF"/>
              <w:spacing w:before="120" w:line="240" w:lineRule="auto"/>
              <w:rPr>
                <w:szCs w:val="22"/>
                <w:lang w:val="en-US"/>
              </w:rPr>
            </w:pPr>
            <w:r w:rsidRPr="00A94EFE">
              <w:rPr>
                <w:szCs w:val="22"/>
                <w:lang w:val="en-US"/>
              </w:rPr>
              <w:t>Ricerca sul Sistema Energetico</w:t>
            </w:r>
          </w:p>
        </w:tc>
        <w:tc>
          <w:tcPr>
            <w:tcW w:w="1436" w:type="dxa"/>
            <w:vAlign w:val="center"/>
          </w:tcPr>
          <w:p w:rsidR="00F5573C" w:rsidRPr="00A94EFE" w:rsidRDefault="00F5573C" w:rsidP="00527CD3">
            <w:pPr>
              <w:spacing w:before="120" w:line="240" w:lineRule="auto"/>
              <w:rPr>
                <w:szCs w:val="22"/>
                <w:lang w:val="en-US"/>
              </w:rPr>
            </w:pPr>
            <w:r w:rsidRPr="00A94EFE">
              <w:rPr>
                <w:szCs w:val="22"/>
                <w:lang w:val="en-US"/>
              </w:rPr>
              <w:t>RSE S.p.A.</w:t>
            </w:r>
          </w:p>
        </w:tc>
        <w:tc>
          <w:tcPr>
            <w:tcW w:w="1182" w:type="dxa"/>
            <w:vAlign w:val="center"/>
          </w:tcPr>
          <w:p w:rsidR="00F5573C" w:rsidRPr="00A94EFE" w:rsidRDefault="00F5573C" w:rsidP="00527CD3">
            <w:pPr>
              <w:shd w:val="clear" w:color="auto" w:fill="FFFFFF"/>
              <w:spacing w:before="120" w:line="240" w:lineRule="auto"/>
              <w:rPr>
                <w:szCs w:val="22"/>
                <w:lang w:val="en-US"/>
              </w:rPr>
            </w:pPr>
            <w:r w:rsidRPr="00A94EFE">
              <w:rPr>
                <w:szCs w:val="22"/>
                <w:lang w:val="en-US"/>
              </w:rPr>
              <w:t>Italy</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5</w:t>
            </w:r>
          </w:p>
        </w:tc>
        <w:tc>
          <w:tcPr>
            <w:tcW w:w="6465" w:type="dxa"/>
            <w:vAlign w:val="center"/>
          </w:tcPr>
          <w:p w:rsidR="00F5573C" w:rsidRPr="00527CD3" w:rsidRDefault="00F5573C" w:rsidP="00527CD3">
            <w:pPr>
              <w:shd w:val="clear" w:color="auto" w:fill="FFFFFF"/>
              <w:spacing w:before="120" w:line="240" w:lineRule="auto"/>
              <w:rPr>
                <w:color w:val="AEAAAA"/>
                <w:szCs w:val="22"/>
                <w:lang w:val="en-US"/>
              </w:rPr>
            </w:pPr>
            <w:r w:rsidRPr="00527CD3">
              <w:rPr>
                <w:color w:val="AEAAAA"/>
                <w:szCs w:val="22"/>
                <w:lang w:val="en-US"/>
              </w:rPr>
              <w:t>Lloyd’s Register Consulting</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LLOIYD’S</w:t>
            </w:r>
          </w:p>
        </w:tc>
        <w:tc>
          <w:tcPr>
            <w:tcW w:w="1182" w:type="dxa"/>
            <w:vAlign w:val="center"/>
          </w:tcPr>
          <w:p w:rsidR="00F5573C" w:rsidRPr="00527CD3" w:rsidRDefault="00F5573C" w:rsidP="00527CD3">
            <w:pPr>
              <w:shd w:val="clear" w:color="auto" w:fill="FFFFFF"/>
              <w:spacing w:before="120" w:line="240" w:lineRule="auto"/>
              <w:rPr>
                <w:color w:val="AEAAAA"/>
                <w:szCs w:val="22"/>
                <w:lang w:val="en-US"/>
              </w:rPr>
            </w:pPr>
            <w:r w:rsidRPr="00527CD3">
              <w:rPr>
                <w:color w:val="AEAAAA"/>
                <w:szCs w:val="22"/>
                <w:lang w:val="en-US"/>
              </w:rPr>
              <w:t>Sweden</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6</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Nuclear Research Institute Rez pl</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UJV</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Czech</w:t>
            </w:r>
          </w:p>
        </w:tc>
      </w:tr>
      <w:tr w:rsidR="00F5573C" w:rsidRPr="00F5573C" w:rsidTr="00527CD3">
        <w:tblPrEx>
          <w:tblCellMar>
            <w:top w:w="0" w:type="dxa"/>
            <w:bottom w:w="0" w:type="dxa"/>
          </w:tblCellMar>
        </w:tblPrEx>
        <w:tc>
          <w:tcPr>
            <w:tcW w:w="0" w:type="auto"/>
            <w:vAlign w:val="center"/>
          </w:tcPr>
          <w:p w:rsidR="00F5573C" w:rsidRPr="00F5573C" w:rsidRDefault="00F5573C" w:rsidP="00527CD3">
            <w:pPr>
              <w:spacing w:before="120" w:line="240" w:lineRule="auto"/>
              <w:rPr>
                <w:szCs w:val="22"/>
                <w:lang w:val="en-US"/>
              </w:rPr>
            </w:pPr>
            <w:r w:rsidRPr="00F5573C">
              <w:rPr>
                <w:szCs w:val="22"/>
                <w:lang w:val="en-US"/>
              </w:rPr>
              <w:t>7</w:t>
            </w:r>
          </w:p>
        </w:tc>
        <w:tc>
          <w:tcPr>
            <w:tcW w:w="6465" w:type="dxa"/>
            <w:vAlign w:val="center"/>
          </w:tcPr>
          <w:p w:rsidR="00F5573C" w:rsidRPr="00F5573C" w:rsidRDefault="00F5573C" w:rsidP="00527CD3">
            <w:pPr>
              <w:spacing w:before="120" w:line="240" w:lineRule="auto"/>
              <w:rPr>
                <w:szCs w:val="22"/>
                <w:lang w:val="en-US"/>
              </w:rPr>
            </w:pPr>
            <w:r w:rsidRPr="00F5573C">
              <w:rPr>
                <w:szCs w:val="22"/>
                <w:lang w:val="en-US"/>
              </w:rPr>
              <w:t>Universität Wien</w:t>
            </w:r>
          </w:p>
        </w:tc>
        <w:tc>
          <w:tcPr>
            <w:tcW w:w="1436" w:type="dxa"/>
            <w:vAlign w:val="center"/>
          </w:tcPr>
          <w:p w:rsidR="00F5573C" w:rsidRPr="00F5573C" w:rsidRDefault="00F5573C" w:rsidP="00527CD3">
            <w:pPr>
              <w:spacing w:before="120" w:line="240" w:lineRule="auto"/>
              <w:rPr>
                <w:szCs w:val="22"/>
                <w:lang w:val="en-US"/>
              </w:rPr>
            </w:pPr>
            <w:r w:rsidRPr="00F5573C">
              <w:rPr>
                <w:szCs w:val="22"/>
                <w:lang w:val="en-US"/>
              </w:rPr>
              <w:t>UNIVIE</w:t>
            </w:r>
          </w:p>
        </w:tc>
        <w:tc>
          <w:tcPr>
            <w:tcW w:w="1182" w:type="dxa"/>
            <w:vAlign w:val="center"/>
          </w:tcPr>
          <w:p w:rsidR="00F5573C" w:rsidRPr="00F5573C" w:rsidRDefault="00F5573C" w:rsidP="00527CD3">
            <w:pPr>
              <w:shd w:val="clear" w:color="auto" w:fill="FFFFFF"/>
              <w:spacing w:before="120" w:line="240" w:lineRule="auto"/>
              <w:rPr>
                <w:szCs w:val="22"/>
                <w:lang w:val="en-US"/>
              </w:rPr>
            </w:pPr>
            <w:r w:rsidRPr="00F5573C">
              <w:rPr>
                <w:szCs w:val="22"/>
                <w:lang w:val="en-US"/>
              </w:rPr>
              <w:t>Austria</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8</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 xml:space="preserve">Cazzoli Consulting </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CCA</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Switzerland</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9</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Italian National Agency for New Technologies, Energy and the Sustainable Economic Development</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ENEA</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Italy</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10</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Nuclear Research and consultancy Group</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NRG</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Nederland</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11</w:t>
            </w:r>
          </w:p>
        </w:tc>
        <w:tc>
          <w:tcPr>
            <w:tcW w:w="6465" w:type="dxa"/>
            <w:vAlign w:val="center"/>
          </w:tcPr>
          <w:p w:rsidR="00F5573C" w:rsidRPr="004B3B07" w:rsidRDefault="00F5573C" w:rsidP="00527CD3">
            <w:pPr>
              <w:spacing w:before="120" w:line="240" w:lineRule="auto"/>
              <w:rPr>
                <w:color w:val="AEAAAA"/>
                <w:szCs w:val="22"/>
                <w:lang w:val="fr-FR"/>
              </w:rPr>
            </w:pPr>
            <w:r w:rsidRPr="004B3B07">
              <w:rPr>
                <w:color w:val="AEAAAA"/>
                <w:szCs w:val="22"/>
                <w:lang w:val="fr-FR"/>
              </w:rPr>
              <w:t>IBERDROLA Ingeniería y Construcción S.A.U</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IEC</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Spain</w:t>
            </w:r>
          </w:p>
        </w:tc>
      </w:tr>
      <w:tr w:rsidR="00F5573C" w:rsidRPr="00A94EFE" w:rsidTr="00527CD3">
        <w:tblPrEx>
          <w:tblCellMar>
            <w:top w:w="0" w:type="dxa"/>
            <w:bottom w:w="0" w:type="dxa"/>
          </w:tblCellMar>
        </w:tblPrEx>
        <w:tc>
          <w:tcPr>
            <w:tcW w:w="0" w:type="auto"/>
            <w:shd w:val="clear" w:color="auto" w:fill="auto"/>
            <w:vAlign w:val="center"/>
          </w:tcPr>
          <w:p w:rsidR="00F5573C" w:rsidRPr="00A94EFE" w:rsidRDefault="00F5573C" w:rsidP="00527CD3">
            <w:pPr>
              <w:spacing w:before="120" w:line="240" w:lineRule="auto"/>
              <w:rPr>
                <w:szCs w:val="22"/>
                <w:lang w:val="en-US"/>
              </w:rPr>
            </w:pPr>
            <w:r w:rsidRPr="00A94EFE">
              <w:rPr>
                <w:szCs w:val="22"/>
                <w:lang w:val="en-US"/>
              </w:rPr>
              <w:t>12</w:t>
            </w:r>
          </w:p>
        </w:tc>
        <w:tc>
          <w:tcPr>
            <w:tcW w:w="6465" w:type="dxa"/>
            <w:shd w:val="clear" w:color="auto" w:fill="auto"/>
            <w:vAlign w:val="center"/>
          </w:tcPr>
          <w:p w:rsidR="00F5573C" w:rsidRPr="00A94EFE" w:rsidRDefault="00F5573C" w:rsidP="00527CD3">
            <w:pPr>
              <w:spacing w:before="120" w:line="240" w:lineRule="auto"/>
              <w:rPr>
                <w:szCs w:val="22"/>
                <w:lang w:val="en-US"/>
              </w:rPr>
            </w:pPr>
            <w:r w:rsidRPr="00A94EFE">
              <w:rPr>
                <w:szCs w:val="22"/>
                <w:lang w:val="en-US"/>
              </w:rPr>
              <w:t>Electricité de France</w:t>
            </w:r>
          </w:p>
        </w:tc>
        <w:tc>
          <w:tcPr>
            <w:tcW w:w="1436" w:type="dxa"/>
            <w:shd w:val="clear" w:color="auto" w:fill="auto"/>
            <w:vAlign w:val="center"/>
          </w:tcPr>
          <w:p w:rsidR="00F5573C" w:rsidRPr="00A94EFE" w:rsidRDefault="00F5573C" w:rsidP="00527CD3">
            <w:pPr>
              <w:spacing w:before="120" w:line="240" w:lineRule="auto"/>
              <w:rPr>
                <w:szCs w:val="22"/>
                <w:lang w:val="en-US"/>
              </w:rPr>
            </w:pPr>
            <w:r w:rsidRPr="00A94EFE">
              <w:rPr>
                <w:szCs w:val="22"/>
                <w:lang w:val="en-US"/>
              </w:rPr>
              <w:t>EDF</w:t>
            </w:r>
          </w:p>
        </w:tc>
        <w:tc>
          <w:tcPr>
            <w:tcW w:w="1182" w:type="dxa"/>
            <w:shd w:val="clear" w:color="auto" w:fill="auto"/>
            <w:vAlign w:val="center"/>
          </w:tcPr>
          <w:p w:rsidR="00F5573C" w:rsidRPr="00A94EFE" w:rsidRDefault="00F5573C" w:rsidP="00527CD3">
            <w:pPr>
              <w:spacing w:before="120" w:line="240" w:lineRule="auto"/>
              <w:rPr>
                <w:szCs w:val="22"/>
                <w:lang w:val="en-US"/>
              </w:rPr>
            </w:pPr>
            <w:r w:rsidRPr="00A94EFE">
              <w:rPr>
                <w:szCs w:val="22"/>
                <w:lang w:val="en-US"/>
              </w:rPr>
              <w:t>France</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13</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Lietuvos energetikos institutas</w:t>
            </w:r>
          </w:p>
          <w:p w:rsidR="00F5573C" w:rsidRPr="00527CD3" w:rsidRDefault="00F5573C" w:rsidP="00527CD3">
            <w:pPr>
              <w:spacing w:before="120" w:line="240" w:lineRule="auto"/>
              <w:rPr>
                <w:color w:val="AEAAAA"/>
                <w:szCs w:val="22"/>
                <w:lang w:val="en-US"/>
              </w:rPr>
            </w:pPr>
            <w:r w:rsidRPr="00527CD3">
              <w:rPr>
                <w:color w:val="AEAAAA"/>
                <w:szCs w:val="22"/>
                <w:lang w:val="en-US"/>
              </w:rPr>
              <w:t>(Lithuanian Energy Institute)</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LEI</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Lithuania</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14</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NUBIKI</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NUBIKI</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Hungary</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15</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Forsmark kraftgrupp AB</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FKA</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Sweden</w:t>
            </w:r>
          </w:p>
        </w:tc>
      </w:tr>
      <w:tr w:rsidR="00F5573C" w:rsidRPr="00A94EFE" w:rsidTr="00527CD3">
        <w:tblPrEx>
          <w:tblCellMar>
            <w:top w:w="0" w:type="dxa"/>
            <w:bottom w:w="0" w:type="dxa"/>
          </w:tblCellMar>
        </w:tblPrEx>
        <w:tc>
          <w:tcPr>
            <w:tcW w:w="0" w:type="auto"/>
            <w:vAlign w:val="center"/>
          </w:tcPr>
          <w:p w:rsidR="00F5573C" w:rsidRPr="00A94EFE" w:rsidRDefault="00F5573C" w:rsidP="00527CD3">
            <w:pPr>
              <w:spacing w:before="120" w:line="240" w:lineRule="auto"/>
              <w:rPr>
                <w:szCs w:val="22"/>
                <w:lang w:val="en-US"/>
              </w:rPr>
            </w:pPr>
            <w:r w:rsidRPr="00A94EFE">
              <w:rPr>
                <w:szCs w:val="22"/>
                <w:lang w:val="en-US"/>
              </w:rPr>
              <w:t>16</w:t>
            </w:r>
          </w:p>
        </w:tc>
        <w:tc>
          <w:tcPr>
            <w:tcW w:w="6465" w:type="dxa"/>
            <w:vAlign w:val="center"/>
          </w:tcPr>
          <w:p w:rsidR="00F5573C" w:rsidRPr="00A94EFE" w:rsidRDefault="00F5573C" w:rsidP="00527CD3">
            <w:pPr>
              <w:spacing w:before="120" w:line="240" w:lineRule="auto"/>
              <w:rPr>
                <w:szCs w:val="22"/>
                <w:lang w:val="en-US"/>
              </w:rPr>
            </w:pPr>
            <w:r w:rsidRPr="00A94EFE">
              <w:rPr>
                <w:szCs w:val="22"/>
                <w:lang w:val="en-US"/>
              </w:rPr>
              <w:t>AREVA NP SAS France</w:t>
            </w:r>
          </w:p>
        </w:tc>
        <w:tc>
          <w:tcPr>
            <w:tcW w:w="1436" w:type="dxa"/>
            <w:vAlign w:val="center"/>
          </w:tcPr>
          <w:p w:rsidR="00F5573C" w:rsidRPr="00A94EFE" w:rsidRDefault="00F5573C" w:rsidP="00527CD3">
            <w:pPr>
              <w:spacing w:before="120" w:line="240" w:lineRule="auto"/>
              <w:rPr>
                <w:szCs w:val="22"/>
                <w:lang w:val="en-US"/>
              </w:rPr>
            </w:pPr>
            <w:r w:rsidRPr="00A94EFE">
              <w:rPr>
                <w:szCs w:val="22"/>
                <w:lang w:val="en-US"/>
              </w:rPr>
              <w:t>AREVA NP SAS</w:t>
            </w:r>
          </w:p>
        </w:tc>
        <w:tc>
          <w:tcPr>
            <w:tcW w:w="1182" w:type="dxa"/>
            <w:vAlign w:val="center"/>
          </w:tcPr>
          <w:p w:rsidR="00F5573C" w:rsidRPr="00A94EFE" w:rsidRDefault="00F5573C" w:rsidP="00527CD3">
            <w:pPr>
              <w:spacing w:before="120" w:line="240" w:lineRule="auto"/>
              <w:rPr>
                <w:szCs w:val="22"/>
                <w:lang w:val="en-US"/>
              </w:rPr>
            </w:pPr>
            <w:r w:rsidRPr="00A94EFE">
              <w:rPr>
                <w:szCs w:val="22"/>
                <w:lang w:val="en-US"/>
              </w:rPr>
              <w:t>France</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17</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NCBJ Institute</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NCBJ</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Poland</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18</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State Scientific and Technical Center for Nuclear and Radiation Safety”</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SSTC</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Ukraine</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19</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VUJE</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VUJE</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Slovakia</w:t>
            </w:r>
          </w:p>
        </w:tc>
      </w:tr>
      <w:tr w:rsidR="00F5573C" w:rsidRPr="00527CD3" w:rsidTr="00527CD3">
        <w:tblPrEx>
          <w:tblCellMar>
            <w:top w:w="0" w:type="dxa"/>
            <w:bottom w:w="0" w:type="dxa"/>
          </w:tblCellMar>
        </w:tblPrEx>
        <w:tc>
          <w:tcPr>
            <w:tcW w:w="0" w:type="auto"/>
            <w:tcBorders>
              <w:bottom w:val="single" w:sz="6" w:space="0" w:color="000000"/>
            </w:tcBorders>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20</w:t>
            </w:r>
          </w:p>
        </w:tc>
        <w:tc>
          <w:tcPr>
            <w:tcW w:w="6465" w:type="dxa"/>
            <w:tcBorders>
              <w:bottom w:val="single" w:sz="6" w:space="0" w:color="000000"/>
            </w:tcBorders>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NIER Ingegneria</w:t>
            </w:r>
          </w:p>
        </w:tc>
        <w:tc>
          <w:tcPr>
            <w:tcW w:w="1436" w:type="dxa"/>
            <w:tcBorders>
              <w:bottom w:val="single" w:sz="6" w:space="0" w:color="000000"/>
            </w:tcBorders>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NIER</w:t>
            </w:r>
          </w:p>
        </w:tc>
        <w:tc>
          <w:tcPr>
            <w:tcW w:w="1182" w:type="dxa"/>
            <w:tcBorders>
              <w:bottom w:val="single" w:sz="6" w:space="0" w:color="000000"/>
            </w:tcBorders>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Italy</w:t>
            </w:r>
          </w:p>
        </w:tc>
      </w:tr>
      <w:tr w:rsidR="00F5573C" w:rsidRPr="00527CD3" w:rsidTr="00527CD3">
        <w:tblPrEx>
          <w:tblCellMar>
            <w:top w:w="0" w:type="dxa"/>
            <w:bottom w:w="0" w:type="dxa"/>
          </w:tblCellMar>
        </w:tblPrEx>
        <w:tc>
          <w:tcPr>
            <w:tcW w:w="0" w:type="auto"/>
            <w:shd w:val="clear" w:color="auto" w:fill="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21</w:t>
            </w:r>
          </w:p>
        </w:tc>
        <w:tc>
          <w:tcPr>
            <w:tcW w:w="6465" w:type="dxa"/>
            <w:shd w:val="clear" w:color="auto" w:fill="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VGB PowerTech e. V</w:t>
            </w:r>
          </w:p>
        </w:tc>
        <w:tc>
          <w:tcPr>
            <w:tcW w:w="1436" w:type="dxa"/>
            <w:shd w:val="clear" w:color="auto" w:fill="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VGB</w:t>
            </w:r>
          </w:p>
        </w:tc>
        <w:tc>
          <w:tcPr>
            <w:tcW w:w="1182" w:type="dxa"/>
            <w:shd w:val="clear" w:color="auto" w:fill="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Germany</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22</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TRACTEBEL ENGINEERING S.A.</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TRACTEBEL</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Belgium</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23</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BeL V</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BeL V</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Belgium</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24</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Institut Jozef Stefan</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JSI</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Slovenia</w:t>
            </w:r>
          </w:p>
        </w:tc>
      </w:tr>
      <w:tr w:rsidR="00F5573C" w:rsidRPr="00F5573C" w:rsidTr="00527CD3">
        <w:tblPrEx>
          <w:tblCellMar>
            <w:top w:w="0" w:type="dxa"/>
            <w:bottom w:w="0" w:type="dxa"/>
          </w:tblCellMar>
        </w:tblPrEx>
        <w:tc>
          <w:tcPr>
            <w:tcW w:w="0" w:type="auto"/>
            <w:vAlign w:val="center"/>
          </w:tcPr>
          <w:p w:rsidR="00F5573C" w:rsidRPr="00F5573C" w:rsidRDefault="00F5573C" w:rsidP="00527CD3">
            <w:pPr>
              <w:spacing w:before="120" w:line="240" w:lineRule="auto"/>
              <w:rPr>
                <w:szCs w:val="22"/>
                <w:lang w:val="en-US"/>
              </w:rPr>
            </w:pPr>
            <w:r w:rsidRPr="00F5573C">
              <w:rPr>
                <w:szCs w:val="22"/>
                <w:lang w:val="en-US"/>
              </w:rPr>
              <w:t>25</w:t>
            </w:r>
          </w:p>
        </w:tc>
        <w:tc>
          <w:tcPr>
            <w:tcW w:w="6465" w:type="dxa"/>
            <w:vAlign w:val="center"/>
          </w:tcPr>
          <w:p w:rsidR="00F5573C" w:rsidRPr="00F5573C" w:rsidRDefault="00F5573C" w:rsidP="00527CD3">
            <w:pPr>
              <w:spacing w:before="120" w:line="240" w:lineRule="auto"/>
              <w:rPr>
                <w:szCs w:val="22"/>
                <w:lang w:val="en-US"/>
              </w:rPr>
            </w:pPr>
            <w:r w:rsidRPr="00F5573C">
              <w:rPr>
                <w:szCs w:val="22"/>
                <w:lang w:val="en-US"/>
              </w:rPr>
              <w:t>Institute of nuclear research and nuclear energy – Bulgarian Academia of science</w:t>
            </w:r>
          </w:p>
        </w:tc>
        <w:tc>
          <w:tcPr>
            <w:tcW w:w="1436" w:type="dxa"/>
            <w:vAlign w:val="center"/>
          </w:tcPr>
          <w:p w:rsidR="00F5573C" w:rsidRPr="00F5573C" w:rsidRDefault="00F5573C" w:rsidP="00527CD3">
            <w:pPr>
              <w:spacing w:before="120" w:line="240" w:lineRule="auto"/>
              <w:rPr>
                <w:szCs w:val="22"/>
                <w:lang w:val="en-US"/>
              </w:rPr>
            </w:pPr>
            <w:r w:rsidRPr="00F5573C">
              <w:rPr>
                <w:szCs w:val="22"/>
                <w:lang w:val="en-US"/>
              </w:rPr>
              <w:t>INRNE</w:t>
            </w:r>
          </w:p>
        </w:tc>
        <w:tc>
          <w:tcPr>
            <w:tcW w:w="1182" w:type="dxa"/>
            <w:vAlign w:val="center"/>
          </w:tcPr>
          <w:p w:rsidR="00F5573C" w:rsidRPr="00F5573C" w:rsidRDefault="00F5573C" w:rsidP="00527CD3">
            <w:pPr>
              <w:spacing w:before="120" w:line="240" w:lineRule="auto"/>
              <w:rPr>
                <w:szCs w:val="22"/>
                <w:lang w:val="en-US"/>
              </w:rPr>
            </w:pPr>
            <w:r w:rsidRPr="00F5573C">
              <w:rPr>
                <w:szCs w:val="22"/>
                <w:lang w:val="en-US"/>
              </w:rPr>
              <w:t>Bulgaria</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26</w:t>
            </w:r>
          </w:p>
        </w:tc>
        <w:tc>
          <w:tcPr>
            <w:tcW w:w="6465"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Regia Autonoma Pentru Activatati Nucleare Droberta Tr. Severin RA Suc</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INR</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Roumania</w:t>
            </w:r>
          </w:p>
        </w:tc>
      </w:tr>
      <w:tr w:rsidR="00F5573C" w:rsidRPr="00A94EFE" w:rsidTr="00527CD3">
        <w:tblPrEx>
          <w:tblCellMar>
            <w:top w:w="0" w:type="dxa"/>
            <w:bottom w:w="0" w:type="dxa"/>
          </w:tblCellMar>
        </w:tblPrEx>
        <w:tc>
          <w:tcPr>
            <w:tcW w:w="0" w:type="auto"/>
            <w:vAlign w:val="center"/>
          </w:tcPr>
          <w:p w:rsidR="00F5573C" w:rsidRPr="00A94EFE" w:rsidRDefault="00F5573C" w:rsidP="00527CD3">
            <w:pPr>
              <w:spacing w:before="120" w:line="240" w:lineRule="auto"/>
              <w:rPr>
                <w:szCs w:val="22"/>
                <w:lang w:val="en-US"/>
              </w:rPr>
            </w:pPr>
            <w:r w:rsidRPr="00A94EFE">
              <w:rPr>
                <w:szCs w:val="22"/>
                <w:lang w:val="en-US"/>
              </w:rPr>
              <w:t>27</w:t>
            </w:r>
          </w:p>
        </w:tc>
        <w:tc>
          <w:tcPr>
            <w:tcW w:w="6465" w:type="dxa"/>
            <w:vAlign w:val="center"/>
          </w:tcPr>
          <w:p w:rsidR="00F5573C" w:rsidRPr="00A94EFE" w:rsidRDefault="00F5573C" w:rsidP="00527CD3">
            <w:pPr>
              <w:spacing w:before="120" w:line="240" w:lineRule="auto"/>
              <w:rPr>
                <w:szCs w:val="22"/>
                <w:lang w:val="en-US"/>
              </w:rPr>
            </w:pPr>
            <w:r w:rsidRPr="00A94EFE">
              <w:rPr>
                <w:szCs w:val="22"/>
                <w:lang w:val="en-US"/>
              </w:rPr>
              <w:t>Technical University of Sofia – Research and Development Sector</w:t>
            </w:r>
          </w:p>
        </w:tc>
        <w:tc>
          <w:tcPr>
            <w:tcW w:w="1436" w:type="dxa"/>
            <w:vAlign w:val="center"/>
          </w:tcPr>
          <w:p w:rsidR="00F5573C" w:rsidRPr="00A94EFE" w:rsidRDefault="00F5573C" w:rsidP="00527CD3">
            <w:pPr>
              <w:spacing w:before="120" w:line="240" w:lineRule="auto"/>
              <w:rPr>
                <w:szCs w:val="22"/>
                <w:lang w:val="en-US"/>
              </w:rPr>
            </w:pPr>
            <w:r w:rsidRPr="00A94EFE">
              <w:rPr>
                <w:szCs w:val="22"/>
                <w:lang w:val="en-US"/>
              </w:rPr>
              <w:t>TUS</w:t>
            </w:r>
          </w:p>
        </w:tc>
        <w:tc>
          <w:tcPr>
            <w:tcW w:w="1182" w:type="dxa"/>
            <w:vAlign w:val="center"/>
          </w:tcPr>
          <w:p w:rsidR="00F5573C" w:rsidRPr="00A94EFE" w:rsidRDefault="00F5573C" w:rsidP="00527CD3">
            <w:pPr>
              <w:spacing w:before="120" w:line="240" w:lineRule="auto"/>
              <w:rPr>
                <w:szCs w:val="22"/>
                <w:lang w:val="en-US"/>
              </w:rPr>
            </w:pPr>
            <w:r w:rsidRPr="00A94EFE">
              <w:rPr>
                <w:szCs w:val="22"/>
                <w:lang w:val="en-US"/>
              </w:rPr>
              <w:t>Bulgaria</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28</w:t>
            </w:r>
          </w:p>
        </w:tc>
        <w:tc>
          <w:tcPr>
            <w:tcW w:w="6465" w:type="dxa"/>
            <w:vAlign w:val="center"/>
          </w:tcPr>
          <w:p w:rsidR="00F5573C" w:rsidRPr="00527CD3" w:rsidRDefault="00F5573C" w:rsidP="00527CD3">
            <w:pPr>
              <w:shd w:val="clear" w:color="auto" w:fill="FFFFFF"/>
              <w:spacing w:before="120" w:line="240" w:lineRule="auto"/>
              <w:rPr>
                <w:color w:val="AEAAAA"/>
                <w:szCs w:val="22"/>
                <w:lang w:val="en-US" w:eastAsia="en-GB"/>
              </w:rPr>
            </w:pPr>
            <w:r w:rsidRPr="00527CD3">
              <w:rPr>
                <w:color w:val="AEAAAA"/>
                <w:szCs w:val="22"/>
                <w:lang w:val="en-US" w:eastAsia="en-GB"/>
              </w:rPr>
              <w:t>AREXIS S.A.R.L.</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AREXIS</w:t>
            </w:r>
          </w:p>
        </w:tc>
        <w:tc>
          <w:tcPr>
            <w:tcW w:w="1182" w:type="dxa"/>
            <w:vAlign w:val="center"/>
          </w:tcPr>
          <w:p w:rsidR="00F5573C" w:rsidRPr="00527CD3" w:rsidRDefault="00F5573C" w:rsidP="00527CD3">
            <w:pPr>
              <w:shd w:val="clear" w:color="auto" w:fill="FFFFFF"/>
              <w:spacing w:before="120" w:line="240" w:lineRule="auto"/>
              <w:rPr>
                <w:color w:val="AEAAAA"/>
                <w:szCs w:val="22"/>
                <w:lang w:val="en-US"/>
              </w:rPr>
            </w:pPr>
            <w:r w:rsidRPr="00527CD3">
              <w:rPr>
                <w:color w:val="AEAAAA"/>
                <w:szCs w:val="22"/>
                <w:lang w:val="en-US"/>
              </w:rPr>
              <w:t>France</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p>
        </w:tc>
        <w:tc>
          <w:tcPr>
            <w:tcW w:w="6465" w:type="dxa"/>
            <w:vAlign w:val="center"/>
          </w:tcPr>
          <w:p w:rsidR="00F5573C" w:rsidRPr="00527CD3" w:rsidRDefault="00F5573C" w:rsidP="00527CD3">
            <w:pPr>
              <w:shd w:val="clear" w:color="auto" w:fill="FFFFFF"/>
              <w:spacing w:before="120" w:line="240" w:lineRule="auto"/>
              <w:rPr>
                <w:color w:val="AEAAAA"/>
                <w:szCs w:val="22"/>
                <w:lang w:val="en-US"/>
              </w:rPr>
            </w:pPr>
            <w:r w:rsidRPr="00527CD3">
              <w:rPr>
                <w:color w:val="AEAAAA"/>
                <w:szCs w:val="22"/>
                <w:lang w:val="en-US"/>
              </w:rPr>
              <w:t>United States Nuclear Regulatory Commission</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US-NRC</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USA</w:t>
            </w:r>
          </w:p>
        </w:tc>
      </w:tr>
      <w:tr w:rsidR="00F5573C" w:rsidRPr="00527CD3" w:rsidTr="00527CD3">
        <w:tblPrEx>
          <w:tblCellMar>
            <w:top w:w="0" w:type="dxa"/>
            <w:bottom w:w="0" w:type="dxa"/>
          </w:tblCellMar>
        </w:tblPrEx>
        <w:tc>
          <w:tcPr>
            <w:tcW w:w="0" w:type="auto"/>
            <w:vAlign w:val="center"/>
          </w:tcPr>
          <w:p w:rsidR="00F5573C" w:rsidRPr="00527CD3" w:rsidRDefault="00F5573C" w:rsidP="00527CD3">
            <w:pPr>
              <w:spacing w:before="120" w:line="240" w:lineRule="auto"/>
              <w:rPr>
                <w:color w:val="AEAAAA"/>
                <w:szCs w:val="22"/>
                <w:lang w:val="en-US"/>
              </w:rPr>
            </w:pPr>
          </w:p>
        </w:tc>
        <w:tc>
          <w:tcPr>
            <w:tcW w:w="6465" w:type="dxa"/>
            <w:vAlign w:val="center"/>
          </w:tcPr>
          <w:p w:rsidR="00F5573C" w:rsidRPr="00527CD3" w:rsidRDefault="00F5573C" w:rsidP="00F5573C">
            <w:pPr>
              <w:spacing w:before="120" w:line="240" w:lineRule="auto"/>
              <w:rPr>
                <w:color w:val="AEAAAA"/>
                <w:szCs w:val="22"/>
                <w:lang w:val="en-US"/>
              </w:rPr>
            </w:pPr>
            <w:r w:rsidRPr="00527CD3">
              <w:rPr>
                <w:color w:val="AEAAAA"/>
                <w:szCs w:val="22"/>
                <w:lang w:val="en-US"/>
              </w:rPr>
              <w:t>Tokyo Electric Power Company</w:t>
            </w:r>
          </w:p>
        </w:tc>
        <w:tc>
          <w:tcPr>
            <w:tcW w:w="1436"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TEPCO</w:t>
            </w:r>
          </w:p>
        </w:tc>
        <w:tc>
          <w:tcPr>
            <w:tcW w:w="1182" w:type="dxa"/>
            <w:vAlign w:val="center"/>
          </w:tcPr>
          <w:p w:rsidR="00F5573C" w:rsidRPr="00527CD3" w:rsidRDefault="00F5573C" w:rsidP="00527CD3">
            <w:pPr>
              <w:spacing w:before="120" w:line="240" w:lineRule="auto"/>
              <w:rPr>
                <w:color w:val="AEAAAA"/>
                <w:szCs w:val="22"/>
                <w:lang w:val="en-US"/>
              </w:rPr>
            </w:pPr>
            <w:r w:rsidRPr="00527CD3">
              <w:rPr>
                <w:color w:val="AEAAAA"/>
                <w:szCs w:val="22"/>
                <w:lang w:val="en-US"/>
              </w:rPr>
              <w:t>Japan</w:t>
            </w:r>
          </w:p>
        </w:tc>
      </w:tr>
      <w:tr w:rsidR="00F5573C" w:rsidRPr="00F5573C" w:rsidTr="00527CD3">
        <w:tblPrEx>
          <w:tblCellMar>
            <w:top w:w="0" w:type="dxa"/>
            <w:bottom w:w="0" w:type="dxa"/>
          </w:tblCellMar>
        </w:tblPrEx>
        <w:trPr>
          <w:trHeight w:val="272"/>
        </w:trPr>
        <w:tc>
          <w:tcPr>
            <w:tcW w:w="0" w:type="auto"/>
            <w:vAlign w:val="center"/>
          </w:tcPr>
          <w:p w:rsidR="00F5573C" w:rsidRPr="00F5573C" w:rsidRDefault="00F5573C" w:rsidP="00527CD3">
            <w:pPr>
              <w:spacing w:before="120" w:line="240" w:lineRule="auto"/>
              <w:rPr>
                <w:szCs w:val="22"/>
                <w:lang w:val="en-US"/>
              </w:rPr>
            </w:pPr>
          </w:p>
        </w:tc>
        <w:tc>
          <w:tcPr>
            <w:tcW w:w="6465" w:type="dxa"/>
            <w:vAlign w:val="center"/>
          </w:tcPr>
          <w:p w:rsidR="00F5573C" w:rsidRPr="00F5573C" w:rsidRDefault="00F5573C" w:rsidP="00527CD3">
            <w:pPr>
              <w:shd w:val="clear" w:color="auto" w:fill="FFFFFF"/>
              <w:spacing w:before="120" w:line="240" w:lineRule="auto"/>
              <w:rPr>
                <w:szCs w:val="22"/>
                <w:lang w:val="en-US"/>
              </w:rPr>
            </w:pPr>
            <w:r w:rsidRPr="00F5573C">
              <w:rPr>
                <w:szCs w:val="22"/>
                <w:lang w:val="en-US"/>
              </w:rPr>
              <w:t>Japan Nuclear Safety Institute</w:t>
            </w:r>
          </w:p>
        </w:tc>
        <w:tc>
          <w:tcPr>
            <w:tcW w:w="1436" w:type="dxa"/>
            <w:vAlign w:val="center"/>
          </w:tcPr>
          <w:p w:rsidR="00F5573C" w:rsidRPr="00F5573C" w:rsidRDefault="00F5573C" w:rsidP="00527CD3">
            <w:pPr>
              <w:spacing w:before="120" w:line="240" w:lineRule="auto"/>
              <w:rPr>
                <w:szCs w:val="22"/>
                <w:lang w:val="en-US"/>
              </w:rPr>
            </w:pPr>
            <w:r w:rsidRPr="00F5573C">
              <w:rPr>
                <w:szCs w:val="22"/>
                <w:lang w:val="en-US"/>
              </w:rPr>
              <w:t>JANSI</w:t>
            </w:r>
          </w:p>
        </w:tc>
        <w:tc>
          <w:tcPr>
            <w:tcW w:w="1182" w:type="dxa"/>
            <w:vAlign w:val="center"/>
          </w:tcPr>
          <w:p w:rsidR="00F5573C" w:rsidRPr="00F5573C" w:rsidRDefault="00F5573C" w:rsidP="00527CD3">
            <w:pPr>
              <w:spacing w:before="120" w:line="240" w:lineRule="auto"/>
              <w:rPr>
                <w:szCs w:val="22"/>
                <w:lang w:val="en-US"/>
              </w:rPr>
            </w:pPr>
            <w:r w:rsidRPr="00F5573C">
              <w:rPr>
                <w:szCs w:val="22"/>
                <w:lang w:val="en-US"/>
              </w:rPr>
              <w:t>Japan</w:t>
            </w:r>
          </w:p>
        </w:tc>
      </w:tr>
    </w:tbl>
    <w:p w:rsidR="009A1C44" w:rsidRPr="00E055C6" w:rsidRDefault="00F5573C" w:rsidP="00AC1B96">
      <w:pPr>
        <w:rPr>
          <w:color w:val="666699"/>
        </w:rPr>
      </w:pPr>
      <w:r w:rsidRPr="00E4375F">
        <w:rPr>
          <w:color w:val="666699"/>
        </w:rPr>
        <w:br w:type="page"/>
      </w:r>
    </w:p>
    <w:p w:rsidR="009A1C44" w:rsidRDefault="009A1C44" w:rsidP="005252B9">
      <w:pPr>
        <w:pStyle w:val="Titre1"/>
        <w:numPr>
          <w:ilvl w:val="0"/>
          <w:numId w:val="0"/>
        </w:numPr>
      </w:pPr>
      <w:bookmarkStart w:id="14" w:name="_Toc370476718"/>
      <w:bookmarkStart w:id="15" w:name="_Toc456011862"/>
      <w:r w:rsidRPr="00E055C6">
        <w:t>C</w:t>
      </w:r>
      <w:r w:rsidR="00E03116">
        <w:t>ontent</w:t>
      </w:r>
      <w:bookmarkEnd w:id="14"/>
      <w:bookmarkEnd w:id="15"/>
    </w:p>
    <w:p w:rsidR="007B1FE2" w:rsidRPr="007B1FE2" w:rsidRDefault="007B1FE2" w:rsidP="007B1FE2"/>
    <w:p w:rsidR="000E529B" w:rsidRDefault="00EA51A0">
      <w:pPr>
        <w:pStyle w:val="TM1"/>
        <w:tabs>
          <w:tab w:val="right" w:leader="dot" w:pos="9345"/>
        </w:tabs>
        <w:rPr>
          <w:rFonts w:asciiTheme="minorHAnsi" w:eastAsiaTheme="minorEastAsia" w:hAnsiTheme="minorHAnsi" w:cstheme="minorBidi"/>
          <w:bCs w:val="0"/>
          <w:iCs w:val="0"/>
          <w:noProof/>
          <w:sz w:val="22"/>
          <w:szCs w:val="22"/>
          <w:lang w:val="fr-FR"/>
        </w:rPr>
      </w:pPr>
      <w:r w:rsidRPr="00860D1D">
        <w:rPr>
          <w:rFonts w:ascii="Calibri" w:hAnsi="Calibri"/>
          <w:sz w:val="22"/>
          <w:szCs w:val="22"/>
        </w:rPr>
        <w:fldChar w:fldCharType="begin"/>
      </w:r>
      <w:r w:rsidRPr="00860D1D">
        <w:rPr>
          <w:rFonts w:ascii="Calibri" w:hAnsi="Calibri"/>
          <w:sz w:val="22"/>
          <w:szCs w:val="22"/>
        </w:rPr>
        <w:instrText xml:space="preserve"> TOC \o "1-4" \h \z \u </w:instrText>
      </w:r>
      <w:r w:rsidRPr="00860D1D">
        <w:rPr>
          <w:rFonts w:ascii="Calibri" w:hAnsi="Calibri"/>
          <w:sz w:val="22"/>
          <w:szCs w:val="22"/>
        </w:rPr>
        <w:fldChar w:fldCharType="separate"/>
      </w:r>
      <w:hyperlink w:anchor="_Toc456011858" w:history="1">
        <w:r w:rsidR="000E529B" w:rsidRPr="008016BD">
          <w:rPr>
            <w:rStyle w:val="Lienhypertexte"/>
            <w:b/>
            <w:smallCaps/>
            <w:noProof/>
          </w:rPr>
          <w:t>Modifications of the document</w:t>
        </w:r>
        <w:r w:rsidR="000E529B">
          <w:rPr>
            <w:noProof/>
            <w:webHidden/>
          </w:rPr>
          <w:tab/>
        </w:r>
        <w:r w:rsidR="000E529B">
          <w:rPr>
            <w:noProof/>
            <w:webHidden/>
          </w:rPr>
          <w:fldChar w:fldCharType="begin"/>
        </w:r>
        <w:r w:rsidR="000E529B">
          <w:rPr>
            <w:noProof/>
            <w:webHidden/>
          </w:rPr>
          <w:instrText xml:space="preserve"> PAGEREF _Toc456011858 \h </w:instrText>
        </w:r>
        <w:r w:rsidR="000E529B">
          <w:rPr>
            <w:noProof/>
            <w:webHidden/>
          </w:rPr>
        </w:r>
        <w:r w:rsidR="000E529B">
          <w:rPr>
            <w:noProof/>
            <w:webHidden/>
          </w:rPr>
          <w:fldChar w:fldCharType="separate"/>
        </w:r>
        <w:r w:rsidR="00173034">
          <w:rPr>
            <w:noProof/>
            <w:webHidden/>
          </w:rPr>
          <w:t>3</w:t>
        </w:r>
        <w:r w:rsidR="000E529B">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59" w:history="1">
        <w:r w:rsidRPr="008016BD">
          <w:rPr>
            <w:rStyle w:val="Lienhypertexte"/>
            <w:b/>
            <w:smallCaps/>
            <w:noProof/>
          </w:rPr>
          <w:t>List of diffusion</w:t>
        </w:r>
        <w:r>
          <w:rPr>
            <w:noProof/>
            <w:webHidden/>
          </w:rPr>
          <w:tab/>
        </w:r>
        <w:r>
          <w:rPr>
            <w:noProof/>
            <w:webHidden/>
          </w:rPr>
          <w:fldChar w:fldCharType="begin"/>
        </w:r>
        <w:r>
          <w:rPr>
            <w:noProof/>
            <w:webHidden/>
          </w:rPr>
          <w:instrText xml:space="preserve"> PAGEREF _Toc456011859 \h </w:instrText>
        </w:r>
        <w:r>
          <w:rPr>
            <w:noProof/>
            <w:webHidden/>
          </w:rPr>
        </w:r>
        <w:r>
          <w:rPr>
            <w:noProof/>
            <w:webHidden/>
          </w:rPr>
          <w:fldChar w:fldCharType="separate"/>
        </w:r>
        <w:r w:rsidR="00173034">
          <w:rPr>
            <w:noProof/>
            <w:webHidden/>
          </w:rPr>
          <w:t>3</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60" w:history="1">
        <w:r w:rsidRPr="008016BD">
          <w:rPr>
            <w:rStyle w:val="Lienhypertexte"/>
            <w:noProof/>
          </w:rPr>
          <w:t>Executive summary</w:t>
        </w:r>
        <w:r>
          <w:rPr>
            <w:noProof/>
            <w:webHidden/>
          </w:rPr>
          <w:tab/>
        </w:r>
        <w:r>
          <w:rPr>
            <w:noProof/>
            <w:webHidden/>
          </w:rPr>
          <w:fldChar w:fldCharType="begin"/>
        </w:r>
        <w:r>
          <w:rPr>
            <w:noProof/>
            <w:webHidden/>
          </w:rPr>
          <w:instrText xml:space="preserve"> PAGEREF _Toc456011860 \h </w:instrText>
        </w:r>
        <w:r>
          <w:rPr>
            <w:noProof/>
            <w:webHidden/>
          </w:rPr>
        </w:r>
        <w:r>
          <w:rPr>
            <w:noProof/>
            <w:webHidden/>
          </w:rPr>
          <w:fldChar w:fldCharType="separate"/>
        </w:r>
        <w:r w:rsidR="00173034">
          <w:rPr>
            <w:noProof/>
            <w:webHidden/>
          </w:rPr>
          <w:t>5</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61" w:history="1">
        <w:r w:rsidRPr="008016BD">
          <w:rPr>
            <w:rStyle w:val="Lienhypertexte"/>
            <w:noProof/>
          </w:rPr>
          <w:t>ASAMPSA_E Parnters</w:t>
        </w:r>
        <w:r>
          <w:rPr>
            <w:noProof/>
            <w:webHidden/>
          </w:rPr>
          <w:tab/>
        </w:r>
        <w:r>
          <w:rPr>
            <w:noProof/>
            <w:webHidden/>
          </w:rPr>
          <w:fldChar w:fldCharType="begin"/>
        </w:r>
        <w:r>
          <w:rPr>
            <w:noProof/>
            <w:webHidden/>
          </w:rPr>
          <w:instrText xml:space="preserve"> PAGEREF _Toc456011861 \h </w:instrText>
        </w:r>
        <w:r>
          <w:rPr>
            <w:noProof/>
            <w:webHidden/>
          </w:rPr>
        </w:r>
        <w:r>
          <w:rPr>
            <w:noProof/>
            <w:webHidden/>
          </w:rPr>
          <w:fldChar w:fldCharType="separate"/>
        </w:r>
        <w:r w:rsidR="00173034">
          <w:rPr>
            <w:noProof/>
            <w:webHidden/>
          </w:rPr>
          <w:t>6</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62" w:history="1">
        <w:r w:rsidRPr="008016BD">
          <w:rPr>
            <w:rStyle w:val="Lienhypertexte"/>
            <w:noProof/>
          </w:rPr>
          <w:t>Content</w:t>
        </w:r>
        <w:r>
          <w:rPr>
            <w:noProof/>
            <w:webHidden/>
          </w:rPr>
          <w:tab/>
        </w:r>
        <w:r>
          <w:rPr>
            <w:noProof/>
            <w:webHidden/>
          </w:rPr>
          <w:fldChar w:fldCharType="begin"/>
        </w:r>
        <w:r>
          <w:rPr>
            <w:noProof/>
            <w:webHidden/>
          </w:rPr>
          <w:instrText xml:space="preserve"> PAGEREF _Toc456011862 \h </w:instrText>
        </w:r>
        <w:r>
          <w:rPr>
            <w:noProof/>
            <w:webHidden/>
          </w:rPr>
        </w:r>
        <w:r>
          <w:rPr>
            <w:noProof/>
            <w:webHidden/>
          </w:rPr>
          <w:fldChar w:fldCharType="separate"/>
        </w:r>
        <w:r w:rsidR="00173034">
          <w:rPr>
            <w:noProof/>
            <w:webHidden/>
          </w:rPr>
          <w:t>7</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63" w:history="1">
        <w:r w:rsidRPr="008016BD">
          <w:rPr>
            <w:rStyle w:val="Lienhypertexte"/>
            <w:noProof/>
          </w:rPr>
          <w:t>Glossary</w:t>
        </w:r>
        <w:r>
          <w:rPr>
            <w:noProof/>
            <w:webHidden/>
          </w:rPr>
          <w:tab/>
        </w:r>
        <w:r>
          <w:rPr>
            <w:noProof/>
            <w:webHidden/>
          </w:rPr>
          <w:fldChar w:fldCharType="begin"/>
        </w:r>
        <w:r>
          <w:rPr>
            <w:noProof/>
            <w:webHidden/>
          </w:rPr>
          <w:instrText xml:space="preserve"> PAGEREF _Toc456011863 \h </w:instrText>
        </w:r>
        <w:r>
          <w:rPr>
            <w:noProof/>
            <w:webHidden/>
          </w:rPr>
        </w:r>
        <w:r>
          <w:rPr>
            <w:noProof/>
            <w:webHidden/>
          </w:rPr>
          <w:fldChar w:fldCharType="separate"/>
        </w:r>
        <w:r w:rsidR="00173034">
          <w:rPr>
            <w:noProof/>
            <w:webHidden/>
          </w:rPr>
          <w:t>10</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64" w:history="1">
        <w:r w:rsidRPr="008016BD">
          <w:rPr>
            <w:rStyle w:val="Lienhypertexte"/>
            <w:noProof/>
          </w:rPr>
          <w:t>Definitions</w:t>
        </w:r>
        <w:r>
          <w:rPr>
            <w:noProof/>
            <w:webHidden/>
          </w:rPr>
          <w:tab/>
        </w:r>
        <w:r>
          <w:rPr>
            <w:noProof/>
            <w:webHidden/>
          </w:rPr>
          <w:fldChar w:fldCharType="begin"/>
        </w:r>
        <w:r>
          <w:rPr>
            <w:noProof/>
            <w:webHidden/>
          </w:rPr>
          <w:instrText xml:space="preserve"> PAGEREF _Toc456011864 \h </w:instrText>
        </w:r>
        <w:r>
          <w:rPr>
            <w:noProof/>
            <w:webHidden/>
          </w:rPr>
        </w:r>
        <w:r>
          <w:rPr>
            <w:noProof/>
            <w:webHidden/>
          </w:rPr>
          <w:fldChar w:fldCharType="separate"/>
        </w:r>
        <w:r w:rsidR="00173034">
          <w:rPr>
            <w:noProof/>
            <w:webHidden/>
          </w:rPr>
          <w:t>13</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65" w:history="1">
        <w:r w:rsidRPr="008016BD">
          <w:rPr>
            <w:rStyle w:val="Lienhypertexte"/>
            <w:noProof/>
          </w:rPr>
          <w:t>Existing guidance : key documents</w:t>
        </w:r>
        <w:r>
          <w:rPr>
            <w:noProof/>
            <w:webHidden/>
          </w:rPr>
          <w:tab/>
        </w:r>
        <w:r>
          <w:rPr>
            <w:noProof/>
            <w:webHidden/>
          </w:rPr>
          <w:fldChar w:fldCharType="begin"/>
        </w:r>
        <w:r>
          <w:rPr>
            <w:noProof/>
            <w:webHidden/>
          </w:rPr>
          <w:instrText xml:space="preserve"> PAGEREF _Toc456011865 \h </w:instrText>
        </w:r>
        <w:r>
          <w:rPr>
            <w:noProof/>
            <w:webHidden/>
          </w:rPr>
        </w:r>
        <w:r>
          <w:rPr>
            <w:noProof/>
            <w:webHidden/>
          </w:rPr>
          <w:fldChar w:fldCharType="separate"/>
        </w:r>
        <w:r w:rsidR="00173034">
          <w:rPr>
            <w:noProof/>
            <w:webHidden/>
          </w:rPr>
          <w:t>16</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66" w:history="1">
        <w:r w:rsidRPr="008016BD">
          <w:rPr>
            <w:rStyle w:val="Lienhypertexte"/>
            <w:noProof/>
          </w:rPr>
          <w:t>1 Introduction</w:t>
        </w:r>
        <w:r>
          <w:rPr>
            <w:noProof/>
            <w:webHidden/>
          </w:rPr>
          <w:tab/>
        </w:r>
        <w:r>
          <w:rPr>
            <w:noProof/>
            <w:webHidden/>
          </w:rPr>
          <w:fldChar w:fldCharType="begin"/>
        </w:r>
        <w:r>
          <w:rPr>
            <w:noProof/>
            <w:webHidden/>
          </w:rPr>
          <w:instrText xml:space="preserve"> PAGEREF _Toc456011866 \h </w:instrText>
        </w:r>
        <w:r>
          <w:rPr>
            <w:noProof/>
            <w:webHidden/>
          </w:rPr>
        </w:r>
        <w:r>
          <w:rPr>
            <w:noProof/>
            <w:webHidden/>
          </w:rPr>
          <w:fldChar w:fldCharType="separate"/>
        </w:r>
        <w:r w:rsidR="00173034">
          <w:rPr>
            <w:noProof/>
            <w:webHidden/>
          </w:rPr>
          <w:t>17</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867" w:history="1">
        <w:r w:rsidRPr="008016BD">
          <w:rPr>
            <w:rStyle w:val="Lienhypertexte"/>
            <w:noProof/>
          </w:rPr>
          <w:t>1.1 Scope and objectives</w:t>
        </w:r>
        <w:r>
          <w:rPr>
            <w:noProof/>
            <w:webHidden/>
          </w:rPr>
          <w:tab/>
        </w:r>
        <w:r>
          <w:rPr>
            <w:noProof/>
            <w:webHidden/>
          </w:rPr>
          <w:fldChar w:fldCharType="begin"/>
        </w:r>
        <w:r>
          <w:rPr>
            <w:noProof/>
            <w:webHidden/>
          </w:rPr>
          <w:instrText xml:space="preserve"> PAGEREF _Toc456011867 \h </w:instrText>
        </w:r>
        <w:r>
          <w:rPr>
            <w:noProof/>
            <w:webHidden/>
          </w:rPr>
        </w:r>
        <w:r>
          <w:rPr>
            <w:noProof/>
            <w:webHidden/>
          </w:rPr>
          <w:fldChar w:fldCharType="separate"/>
        </w:r>
        <w:r w:rsidR="00173034">
          <w:rPr>
            <w:noProof/>
            <w:webHidden/>
          </w:rPr>
          <w:t>17</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868" w:history="1">
        <w:r w:rsidRPr="008016BD">
          <w:rPr>
            <w:rStyle w:val="Lienhypertexte"/>
            <w:noProof/>
          </w:rPr>
          <w:t>1.2 Potential impacts on the plant</w:t>
        </w:r>
        <w:r>
          <w:rPr>
            <w:noProof/>
            <w:webHidden/>
          </w:rPr>
          <w:tab/>
        </w:r>
        <w:r>
          <w:rPr>
            <w:noProof/>
            <w:webHidden/>
          </w:rPr>
          <w:fldChar w:fldCharType="begin"/>
        </w:r>
        <w:r>
          <w:rPr>
            <w:noProof/>
            <w:webHidden/>
          </w:rPr>
          <w:instrText xml:space="preserve"> PAGEREF _Toc456011868 \h </w:instrText>
        </w:r>
        <w:r>
          <w:rPr>
            <w:noProof/>
            <w:webHidden/>
          </w:rPr>
        </w:r>
        <w:r>
          <w:rPr>
            <w:noProof/>
            <w:webHidden/>
          </w:rPr>
          <w:fldChar w:fldCharType="separate"/>
        </w:r>
        <w:r w:rsidR="00173034">
          <w:rPr>
            <w:noProof/>
            <w:webHidden/>
          </w:rPr>
          <w:t>20</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869" w:history="1">
        <w:r w:rsidRPr="008016BD">
          <w:rPr>
            <w:rStyle w:val="Lienhypertexte"/>
            <w:noProof/>
          </w:rPr>
          <w:t>1.3 Lessons learned from past events</w:t>
        </w:r>
        <w:r>
          <w:rPr>
            <w:noProof/>
            <w:webHidden/>
          </w:rPr>
          <w:tab/>
        </w:r>
        <w:r>
          <w:rPr>
            <w:noProof/>
            <w:webHidden/>
          </w:rPr>
          <w:fldChar w:fldCharType="begin"/>
        </w:r>
        <w:r>
          <w:rPr>
            <w:noProof/>
            <w:webHidden/>
          </w:rPr>
          <w:instrText xml:space="preserve"> PAGEREF _Toc456011869 \h </w:instrText>
        </w:r>
        <w:r>
          <w:rPr>
            <w:noProof/>
            <w:webHidden/>
          </w:rPr>
        </w:r>
        <w:r>
          <w:rPr>
            <w:noProof/>
            <w:webHidden/>
          </w:rPr>
          <w:fldChar w:fldCharType="separate"/>
        </w:r>
        <w:r w:rsidR="00173034">
          <w:rPr>
            <w:noProof/>
            <w:webHidden/>
          </w:rPr>
          <w:t>22</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0" w:history="1">
        <w:r w:rsidRPr="008016BD">
          <w:rPr>
            <w:rStyle w:val="Lienhypertexte"/>
            <w:noProof/>
            <w:lang w:val="en-US"/>
          </w:rPr>
          <w:t>1.3.1 Kozloduy NPP (Bulgaria)</w:t>
        </w:r>
        <w:r>
          <w:rPr>
            <w:noProof/>
            <w:webHidden/>
          </w:rPr>
          <w:tab/>
        </w:r>
        <w:r>
          <w:rPr>
            <w:noProof/>
            <w:webHidden/>
          </w:rPr>
          <w:fldChar w:fldCharType="begin"/>
        </w:r>
        <w:r>
          <w:rPr>
            <w:noProof/>
            <w:webHidden/>
          </w:rPr>
          <w:instrText xml:space="preserve"> PAGEREF _Toc456011870 \h </w:instrText>
        </w:r>
        <w:r>
          <w:rPr>
            <w:noProof/>
            <w:webHidden/>
          </w:rPr>
        </w:r>
        <w:r>
          <w:rPr>
            <w:noProof/>
            <w:webHidden/>
          </w:rPr>
          <w:fldChar w:fldCharType="separate"/>
        </w:r>
        <w:r w:rsidR="00173034">
          <w:rPr>
            <w:noProof/>
            <w:webHidden/>
          </w:rPr>
          <w:t>22</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1" w:history="1">
        <w:r w:rsidRPr="008016BD">
          <w:rPr>
            <w:rStyle w:val="Lienhypertexte"/>
            <w:noProof/>
            <w:lang w:val="en-US"/>
          </w:rPr>
          <w:t>1.3.2 Humbolt Bay NPP (California, USA)</w:t>
        </w:r>
        <w:r>
          <w:rPr>
            <w:noProof/>
            <w:webHidden/>
          </w:rPr>
          <w:tab/>
        </w:r>
        <w:r>
          <w:rPr>
            <w:noProof/>
            <w:webHidden/>
          </w:rPr>
          <w:fldChar w:fldCharType="begin"/>
        </w:r>
        <w:r>
          <w:rPr>
            <w:noProof/>
            <w:webHidden/>
          </w:rPr>
          <w:instrText xml:space="preserve"> PAGEREF _Toc456011871 \h </w:instrText>
        </w:r>
        <w:r>
          <w:rPr>
            <w:noProof/>
            <w:webHidden/>
          </w:rPr>
        </w:r>
        <w:r>
          <w:rPr>
            <w:noProof/>
            <w:webHidden/>
          </w:rPr>
          <w:fldChar w:fldCharType="separate"/>
        </w:r>
        <w:r w:rsidR="00173034">
          <w:rPr>
            <w:noProof/>
            <w:webHidden/>
          </w:rPr>
          <w:t>23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2" w:history="1">
        <w:r w:rsidRPr="008016BD">
          <w:rPr>
            <w:rStyle w:val="Lienhypertexte"/>
            <w:noProof/>
            <w:lang w:val="en-US"/>
          </w:rPr>
          <w:t>1.3.3 Perry NPP (Ohio, USA)</w:t>
        </w:r>
        <w:r>
          <w:rPr>
            <w:noProof/>
            <w:webHidden/>
          </w:rPr>
          <w:tab/>
        </w:r>
        <w:r>
          <w:rPr>
            <w:noProof/>
            <w:webHidden/>
          </w:rPr>
          <w:fldChar w:fldCharType="begin"/>
        </w:r>
        <w:r>
          <w:rPr>
            <w:noProof/>
            <w:webHidden/>
          </w:rPr>
          <w:instrText xml:space="preserve"> PAGEREF _Toc456011872 \h </w:instrText>
        </w:r>
        <w:r>
          <w:rPr>
            <w:noProof/>
            <w:webHidden/>
          </w:rPr>
        </w:r>
        <w:r>
          <w:rPr>
            <w:noProof/>
            <w:webHidden/>
          </w:rPr>
          <w:fldChar w:fldCharType="separate"/>
        </w:r>
        <w:r w:rsidR="00173034">
          <w:rPr>
            <w:noProof/>
            <w:webHidden/>
          </w:rPr>
          <w:t>23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3" w:history="1">
        <w:r w:rsidRPr="008016BD">
          <w:rPr>
            <w:rStyle w:val="Lienhypertexte"/>
            <w:noProof/>
            <w:lang w:val="en-US"/>
          </w:rPr>
          <w:t>1.3.4 Metzamor NPP (Armenia)</w:t>
        </w:r>
        <w:r>
          <w:rPr>
            <w:noProof/>
            <w:webHidden/>
          </w:rPr>
          <w:tab/>
        </w:r>
        <w:r>
          <w:rPr>
            <w:noProof/>
            <w:webHidden/>
          </w:rPr>
          <w:fldChar w:fldCharType="begin"/>
        </w:r>
        <w:r>
          <w:rPr>
            <w:noProof/>
            <w:webHidden/>
          </w:rPr>
          <w:instrText xml:space="preserve"> PAGEREF _Toc456011873 \h </w:instrText>
        </w:r>
        <w:r>
          <w:rPr>
            <w:noProof/>
            <w:webHidden/>
          </w:rPr>
        </w:r>
        <w:r>
          <w:rPr>
            <w:noProof/>
            <w:webHidden/>
          </w:rPr>
          <w:fldChar w:fldCharType="separate"/>
        </w:r>
        <w:r w:rsidR="00173034">
          <w:rPr>
            <w:noProof/>
            <w:webHidden/>
          </w:rPr>
          <w:t>23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4" w:history="1">
        <w:r w:rsidRPr="008016BD">
          <w:rPr>
            <w:rStyle w:val="Lienhypertexte"/>
            <w:noProof/>
            <w:lang w:val="en-US"/>
          </w:rPr>
          <w:t>1.3.5 Kashiwazaki Kariwa (Japan)</w:t>
        </w:r>
        <w:r>
          <w:rPr>
            <w:noProof/>
            <w:webHidden/>
          </w:rPr>
          <w:tab/>
        </w:r>
        <w:r>
          <w:rPr>
            <w:noProof/>
            <w:webHidden/>
          </w:rPr>
          <w:fldChar w:fldCharType="begin"/>
        </w:r>
        <w:r>
          <w:rPr>
            <w:noProof/>
            <w:webHidden/>
          </w:rPr>
          <w:instrText xml:space="preserve"> PAGEREF _Toc456011874 \h </w:instrText>
        </w:r>
        <w:r>
          <w:rPr>
            <w:noProof/>
            <w:webHidden/>
          </w:rPr>
        </w:r>
        <w:r>
          <w:rPr>
            <w:noProof/>
            <w:webHidden/>
          </w:rPr>
          <w:fldChar w:fldCharType="separate"/>
        </w:r>
        <w:r w:rsidR="00173034">
          <w:rPr>
            <w:noProof/>
            <w:webHidden/>
          </w:rPr>
          <w:t>24</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5" w:history="1">
        <w:r w:rsidRPr="008016BD">
          <w:rPr>
            <w:rStyle w:val="Lienhypertexte"/>
            <w:noProof/>
            <w:lang w:val="en-US"/>
          </w:rPr>
          <w:t>1.3.6 Fukishima-Daiichi (Japan)</w:t>
        </w:r>
        <w:r>
          <w:rPr>
            <w:noProof/>
            <w:webHidden/>
          </w:rPr>
          <w:tab/>
        </w:r>
        <w:r>
          <w:rPr>
            <w:noProof/>
            <w:webHidden/>
          </w:rPr>
          <w:fldChar w:fldCharType="begin"/>
        </w:r>
        <w:r>
          <w:rPr>
            <w:noProof/>
            <w:webHidden/>
          </w:rPr>
          <w:instrText xml:space="preserve"> PAGEREF _Toc456011875 \h </w:instrText>
        </w:r>
        <w:r>
          <w:rPr>
            <w:noProof/>
            <w:webHidden/>
          </w:rPr>
        </w:r>
        <w:r>
          <w:rPr>
            <w:noProof/>
            <w:webHidden/>
          </w:rPr>
          <w:fldChar w:fldCharType="separate"/>
        </w:r>
        <w:r w:rsidR="00173034">
          <w:rPr>
            <w:noProof/>
            <w:webHidden/>
          </w:rPr>
          <w:t>25</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6" w:history="1">
        <w:r w:rsidRPr="008016BD">
          <w:rPr>
            <w:rStyle w:val="Lienhypertexte"/>
            <w:noProof/>
            <w:lang w:val="en-US"/>
          </w:rPr>
          <w:t>1.3.7 Fukishima-Daini NPPs (Japan)</w:t>
        </w:r>
        <w:r>
          <w:rPr>
            <w:noProof/>
            <w:webHidden/>
          </w:rPr>
          <w:tab/>
        </w:r>
        <w:r>
          <w:rPr>
            <w:noProof/>
            <w:webHidden/>
          </w:rPr>
          <w:fldChar w:fldCharType="begin"/>
        </w:r>
        <w:r>
          <w:rPr>
            <w:noProof/>
            <w:webHidden/>
          </w:rPr>
          <w:instrText xml:space="preserve"> PAGEREF _Toc456011876 \h </w:instrText>
        </w:r>
        <w:r>
          <w:rPr>
            <w:noProof/>
            <w:webHidden/>
          </w:rPr>
        </w:r>
        <w:r>
          <w:rPr>
            <w:noProof/>
            <w:webHidden/>
          </w:rPr>
          <w:fldChar w:fldCharType="separate"/>
        </w:r>
        <w:r w:rsidR="00173034">
          <w:rPr>
            <w:noProof/>
            <w:webHidden/>
          </w:rPr>
          <w:t>26</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7" w:history="1">
        <w:r w:rsidRPr="008016BD">
          <w:rPr>
            <w:rStyle w:val="Lienhypertexte"/>
            <w:noProof/>
            <w:lang w:val="en-US"/>
          </w:rPr>
          <w:t>1.3.8 Onagawa NPP (Japan)</w:t>
        </w:r>
        <w:r>
          <w:rPr>
            <w:noProof/>
            <w:webHidden/>
          </w:rPr>
          <w:tab/>
        </w:r>
        <w:r>
          <w:rPr>
            <w:noProof/>
            <w:webHidden/>
          </w:rPr>
          <w:fldChar w:fldCharType="begin"/>
        </w:r>
        <w:r>
          <w:rPr>
            <w:noProof/>
            <w:webHidden/>
          </w:rPr>
          <w:instrText xml:space="preserve"> PAGEREF _Toc456011877 \h </w:instrText>
        </w:r>
        <w:r>
          <w:rPr>
            <w:noProof/>
            <w:webHidden/>
          </w:rPr>
        </w:r>
        <w:r>
          <w:rPr>
            <w:noProof/>
            <w:webHidden/>
          </w:rPr>
          <w:fldChar w:fldCharType="separate"/>
        </w:r>
        <w:r w:rsidR="00173034">
          <w:rPr>
            <w:noProof/>
            <w:webHidden/>
          </w:rPr>
          <w:t>27</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8" w:history="1">
        <w:r w:rsidRPr="008016BD">
          <w:rPr>
            <w:rStyle w:val="Lienhypertexte"/>
            <w:noProof/>
            <w:lang w:val="en-US"/>
          </w:rPr>
          <w:t>1.3.9 Tokai NPP (Japan)</w:t>
        </w:r>
        <w:r>
          <w:rPr>
            <w:noProof/>
            <w:webHidden/>
          </w:rPr>
          <w:tab/>
        </w:r>
        <w:r>
          <w:rPr>
            <w:noProof/>
            <w:webHidden/>
          </w:rPr>
          <w:fldChar w:fldCharType="begin"/>
        </w:r>
        <w:r>
          <w:rPr>
            <w:noProof/>
            <w:webHidden/>
          </w:rPr>
          <w:instrText xml:space="preserve"> PAGEREF _Toc456011878 \h </w:instrText>
        </w:r>
        <w:r>
          <w:rPr>
            <w:noProof/>
            <w:webHidden/>
          </w:rPr>
        </w:r>
        <w:r>
          <w:rPr>
            <w:noProof/>
            <w:webHidden/>
          </w:rPr>
          <w:fldChar w:fldCharType="separate"/>
        </w:r>
        <w:r w:rsidR="00173034">
          <w:rPr>
            <w:noProof/>
            <w:webHidden/>
          </w:rPr>
          <w:t>28</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79" w:history="1">
        <w:r w:rsidRPr="008016BD">
          <w:rPr>
            <w:rStyle w:val="Lienhypertexte"/>
            <w:noProof/>
            <w:lang w:val="en-US"/>
          </w:rPr>
          <w:t>1.3.10 NPP North Anna (Virginia, USA)</w:t>
        </w:r>
        <w:r>
          <w:rPr>
            <w:noProof/>
            <w:webHidden/>
          </w:rPr>
          <w:tab/>
        </w:r>
        <w:r>
          <w:rPr>
            <w:noProof/>
            <w:webHidden/>
          </w:rPr>
          <w:fldChar w:fldCharType="begin"/>
        </w:r>
        <w:r>
          <w:rPr>
            <w:noProof/>
            <w:webHidden/>
          </w:rPr>
          <w:instrText xml:space="preserve"> PAGEREF _Toc456011879 \h </w:instrText>
        </w:r>
        <w:r>
          <w:rPr>
            <w:noProof/>
            <w:webHidden/>
          </w:rPr>
        </w:r>
        <w:r>
          <w:rPr>
            <w:noProof/>
            <w:webHidden/>
          </w:rPr>
          <w:fldChar w:fldCharType="separate"/>
        </w:r>
        <w:r w:rsidR="00173034">
          <w:rPr>
            <w:noProof/>
            <w:webHidden/>
          </w:rPr>
          <w:t>28</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80" w:history="1">
        <w:r w:rsidRPr="008016BD">
          <w:rPr>
            <w:rStyle w:val="Lienhypertexte"/>
            <w:noProof/>
            <w:lang w:val="en-US"/>
          </w:rPr>
          <w:t>1.3.11 Mühlheim-Kärlich (Germany)</w:t>
        </w:r>
        <w:r>
          <w:rPr>
            <w:noProof/>
            <w:webHidden/>
          </w:rPr>
          <w:tab/>
        </w:r>
        <w:r>
          <w:rPr>
            <w:noProof/>
            <w:webHidden/>
          </w:rPr>
          <w:fldChar w:fldCharType="begin"/>
        </w:r>
        <w:r>
          <w:rPr>
            <w:noProof/>
            <w:webHidden/>
          </w:rPr>
          <w:instrText xml:space="preserve"> PAGEREF _Toc456011880 \h </w:instrText>
        </w:r>
        <w:r>
          <w:rPr>
            <w:noProof/>
            <w:webHidden/>
          </w:rPr>
        </w:r>
        <w:r>
          <w:rPr>
            <w:noProof/>
            <w:webHidden/>
          </w:rPr>
          <w:fldChar w:fldCharType="separate"/>
        </w:r>
        <w:r w:rsidR="00173034">
          <w:rPr>
            <w:noProof/>
            <w:webHidden/>
          </w:rPr>
          <w:t>28</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81" w:history="1">
        <w:r w:rsidRPr="008016BD">
          <w:rPr>
            <w:rStyle w:val="Lienhypertexte"/>
            <w:noProof/>
            <w:lang w:val="en-US"/>
          </w:rPr>
          <w:t>1.3.12 Diablo Canyon (U.S.)</w:t>
        </w:r>
        <w:r>
          <w:rPr>
            <w:noProof/>
            <w:webHidden/>
          </w:rPr>
          <w:tab/>
        </w:r>
        <w:r>
          <w:rPr>
            <w:noProof/>
            <w:webHidden/>
          </w:rPr>
          <w:fldChar w:fldCharType="begin"/>
        </w:r>
        <w:r>
          <w:rPr>
            <w:noProof/>
            <w:webHidden/>
          </w:rPr>
          <w:instrText xml:space="preserve"> PAGEREF _Toc456011881 \h </w:instrText>
        </w:r>
        <w:r>
          <w:rPr>
            <w:noProof/>
            <w:webHidden/>
          </w:rPr>
        </w:r>
        <w:r>
          <w:rPr>
            <w:noProof/>
            <w:webHidden/>
          </w:rPr>
          <w:fldChar w:fldCharType="separate"/>
        </w:r>
        <w:r w:rsidR="00173034">
          <w:rPr>
            <w:noProof/>
            <w:webHidden/>
          </w:rPr>
          <w:t>29</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82" w:history="1">
        <w:r w:rsidRPr="008016BD">
          <w:rPr>
            <w:rStyle w:val="Lienhypertexte"/>
            <w:noProof/>
            <w:lang w:val="en-US"/>
          </w:rPr>
          <w:t>1.3.13 Krsko NPP (Slovenia)</w:t>
        </w:r>
        <w:r>
          <w:rPr>
            <w:noProof/>
            <w:webHidden/>
          </w:rPr>
          <w:tab/>
        </w:r>
        <w:r>
          <w:rPr>
            <w:noProof/>
            <w:webHidden/>
          </w:rPr>
          <w:fldChar w:fldCharType="begin"/>
        </w:r>
        <w:r>
          <w:rPr>
            <w:noProof/>
            <w:webHidden/>
          </w:rPr>
          <w:instrText xml:space="preserve"> PAGEREF _Toc456011882 \h </w:instrText>
        </w:r>
        <w:r>
          <w:rPr>
            <w:noProof/>
            <w:webHidden/>
          </w:rPr>
        </w:r>
        <w:r>
          <w:rPr>
            <w:noProof/>
            <w:webHidden/>
          </w:rPr>
          <w:fldChar w:fldCharType="separate"/>
        </w:r>
        <w:r w:rsidR="00173034">
          <w:rPr>
            <w:noProof/>
            <w:webHidden/>
          </w:rPr>
          <w:t>29</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83" w:history="1">
        <w:r w:rsidRPr="008016BD">
          <w:rPr>
            <w:rStyle w:val="Lienhypertexte"/>
            <w:noProof/>
          </w:rPr>
          <w:t>2 Screening of seismotectonic hazards</w:t>
        </w:r>
        <w:r>
          <w:rPr>
            <w:noProof/>
            <w:webHidden/>
          </w:rPr>
          <w:tab/>
        </w:r>
        <w:r>
          <w:rPr>
            <w:noProof/>
            <w:webHidden/>
          </w:rPr>
          <w:fldChar w:fldCharType="begin"/>
        </w:r>
        <w:r>
          <w:rPr>
            <w:noProof/>
            <w:webHidden/>
          </w:rPr>
          <w:instrText xml:space="preserve"> PAGEREF _Toc456011883 \h </w:instrText>
        </w:r>
        <w:r>
          <w:rPr>
            <w:noProof/>
            <w:webHidden/>
          </w:rPr>
        </w:r>
        <w:r>
          <w:rPr>
            <w:noProof/>
            <w:webHidden/>
          </w:rPr>
          <w:fldChar w:fldCharType="separate"/>
        </w:r>
        <w:r w:rsidR="00173034">
          <w:rPr>
            <w:noProof/>
            <w:webHidden/>
          </w:rPr>
          <w:t>30</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884" w:history="1">
        <w:r w:rsidRPr="008016BD">
          <w:rPr>
            <w:rStyle w:val="Lienhypertexte"/>
            <w:noProof/>
          </w:rPr>
          <w:t>3 Database</w:t>
        </w:r>
        <w:r>
          <w:rPr>
            <w:noProof/>
            <w:webHidden/>
          </w:rPr>
          <w:tab/>
        </w:r>
        <w:r>
          <w:rPr>
            <w:noProof/>
            <w:webHidden/>
          </w:rPr>
          <w:fldChar w:fldCharType="begin"/>
        </w:r>
        <w:r>
          <w:rPr>
            <w:noProof/>
            <w:webHidden/>
          </w:rPr>
          <w:instrText xml:space="preserve"> PAGEREF _Toc456011884 \h </w:instrText>
        </w:r>
        <w:r>
          <w:rPr>
            <w:noProof/>
            <w:webHidden/>
          </w:rPr>
        </w:r>
        <w:r>
          <w:rPr>
            <w:noProof/>
            <w:webHidden/>
          </w:rPr>
          <w:fldChar w:fldCharType="separate"/>
        </w:r>
        <w:r w:rsidR="00173034">
          <w:rPr>
            <w:noProof/>
            <w:webHidden/>
          </w:rPr>
          <w:t>33</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885" w:history="1">
        <w:r w:rsidRPr="008016BD">
          <w:rPr>
            <w:rStyle w:val="Lienhypertexte"/>
            <w:noProof/>
          </w:rPr>
          <w:t>3.1</w:t>
        </w:r>
        <w:r w:rsidRPr="008016BD">
          <w:rPr>
            <w:rStyle w:val="Lienhypertexte"/>
            <w:noProof/>
            <w:lang w:val="en-US"/>
          </w:rPr>
          <w:t xml:space="preserve"> Data for the assessment of seismotectonic hazards</w:t>
        </w:r>
        <w:r>
          <w:rPr>
            <w:noProof/>
            <w:webHidden/>
          </w:rPr>
          <w:tab/>
        </w:r>
        <w:r>
          <w:rPr>
            <w:noProof/>
            <w:webHidden/>
          </w:rPr>
          <w:fldChar w:fldCharType="begin"/>
        </w:r>
        <w:r>
          <w:rPr>
            <w:noProof/>
            <w:webHidden/>
          </w:rPr>
          <w:instrText xml:space="preserve"> PAGEREF _Toc456011885 \h </w:instrText>
        </w:r>
        <w:r>
          <w:rPr>
            <w:noProof/>
            <w:webHidden/>
          </w:rPr>
        </w:r>
        <w:r>
          <w:rPr>
            <w:noProof/>
            <w:webHidden/>
          </w:rPr>
          <w:fldChar w:fldCharType="separate"/>
        </w:r>
        <w:r w:rsidR="00173034">
          <w:rPr>
            <w:noProof/>
            <w:webHidden/>
          </w:rPr>
          <w:t>33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86" w:history="1">
        <w:r w:rsidRPr="008016BD">
          <w:rPr>
            <w:rStyle w:val="Lienhypertexte"/>
            <w:noProof/>
            <w:lang w:val="en-US"/>
          </w:rPr>
          <w:t>3.1.1 Data for assessing vibratory ground motion hazards</w:t>
        </w:r>
        <w:r>
          <w:rPr>
            <w:noProof/>
            <w:webHidden/>
          </w:rPr>
          <w:tab/>
        </w:r>
        <w:r>
          <w:rPr>
            <w:noProof/>
            <w:webHidden/>
          </w:rPr>
          <w:fldChar w:fldCharType="begin"/>
        </w:r>
        <w:r>
          <w:rPr>
            <w:noProof/>
            <w:webHidden/>
          </w:rPr>
          <w:instrText xml:space="preserve"> PAGEREF _Toc456011886 \h </w:instrText>
        </w:r>
        <w:r>
          <w:rPr>
            <w:noProof/>
            <w:webHidden/>
          </w:rPr>
        </w:r>
        <w:r>
          <w:rPr>
            <w:noProof/>
            <w:webHidden/>
          </w:rPr>
          <w:fldChar w:fldCharType="separate"/>
        </w:r>
        <w:r w:rsidR="00173034">
          <w:rPr>
            <w:noProof/>
            <w:webHidden/>
          </w:rPr>
          <w:t>33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87" w:history="1">
        <w:r w:rsidRPr="008016BD">
          <w:rPr>
            <w:rStyle w:val="Lienhypertexte"/>
            <w:noProof/>
            <w:lang w:val="en-US"/>
          </w:rPr>
          <w:t>3.1.2 Data for assessing surface faulting at the site (fault capability)</w:t>
        </w:r>
        <w:r>
          <w:rPr>
            <w:noProof/>
            <w:webHidden/>
          </w:rPr>
          <w:tab/>
        </w:r>
        <w:r>
          <w:rPr>
            <w:noProof/>
            <w:webHidden/>
          </w:rPr>
          <w:fldChar w:fldCharType="begin"/>
        </w:r>
        <w:r>
          <w:rPr>
            <w:noProof/>
            <w:webHidden/>
          </w:rPr>
          <w:instrText xml:space="preserve"> PAGEREF _Toc456011887 \h </w:instrText>
        </w:r>
        <w:r>
          <w:rPr>
            <w:noProof/>
            <w:webHidden/>
          </w:rPr>
        </w:r>
        <w:r>
          <w:rPr>
            <w:noProof/>
            <w:webHidden/>
          </w:rPr>
          <w:fldChar w:fldCharType="separate"/>
        </w:r>
        <w:r w:rsidR="00173034">
          <w:rPr>
            <w:noProof/>
            <w:webHidden/>
          </w:rPr>
          <w:t>38</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88" w:history="1">
        <w:r w:rsidRPr="008016BD">
          <w:rPr>
            <w:rStyle w:val="Lienhypertexte"/>
            <w:noProof/>
            <w:lang w:val="en-US"/>
          </w:rPr>
          <w:t>3.1.3 Data for assessing liquefaction and dynamic compaction</w:t>
        </w:r>
        <w:r>
          <w:rPr>
            <w:noProof/>
            <w:webHidden/>
          </w:rPr>
          <w:tab/>
        </w:r>
        <w:r>
          <w:rPr>
            <w:noProof/>
            <w:webHidden/>
          </w:rPr>
          <w:fldChar w:fldCharType="begin"/>
        </w:r>
        <w:r>
          <w:rPr>
            <w:noProof/>
            <w:webHidden/>
          </w:rPr>
          <w:instrText xml:space="preserve"> PAGEREF _Toc456011888 \h </w:instrText>
        </w:r>
        <w:r>
          <w:rPr>
            <w:noProof/>
            <w:webHidden/>
          </w:rPr>
        </w:r>
        <w:r>
          <w:rPr>
            <w:noProof/>
            <w:webHidden/>
          </w:rPr>
          <w:fldChar w:fldCharType="separate"/>
        </w:r>
        <w:r w:rsidR="00173034">
          <w:rPr>
            <w:noProof/>
            <w:webHidden/>
          </w:rPr>
          <w:t>39</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89" w:history="1">
        <w:r w:rsidRPr="008016BD">
          <w:rPr>
            <w:rStyle w:val="Lienhypertexte"/>
            <w:noProof/>
            <w:lang w:val="en-US"/>
          </w:rPr>
          <w:t>3.1.4 Data for assessing permanent ground displacement</w:t>
        </w:r>
        <w:r>
          <w:rPr>
            <w:noProof/>
            <w:webHidden/>
          </w:rPr>
          <w:tab/>
        </w:r>
        <w:r>
          <w:rPr>
            <w:noProof/>
            <w:webHidden/>
          </w:rPr>
          <w:fldChar w:fldCharType="begin"/>
        </w:r>
        <w:r>
          <w:rPr>
            <w:noProof/>
            <w:webHidden/>
          </w:rPr>
          <w:instrText xml:space="preserve"> PAGEREF _Toc456011889 \h </w:instrText>
        </w:r>
        <w:r>
          <w:rPr>
            <w:noProof/>
            <w:webHidden/>
          </w:rPr>
        </w:r>
        <w:r>
          <w:rPr>
            <w:noProof/>
            <w:webHidden/>
          </w:rPr>
          <w:fldChar w:fldCharType="separate"/>
        </w:r>
        <w:r w:rsidR="00173034">
          <w:rPr>
            <w:noProof/>
            <w:webHidden/>
          </w:rPr>
          <w:t>41</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890" w:history="1">
        <w:r w:rsidRPr="008016BD">
          <w:rPr>
            <w:rStyle w:val="Lienhypertexte"/>
            <w:noProof/>
          </w:rPr>
          <w:t>3.2</w:t>
        </w:r>
        <w:r w:rsidRPr="008016BD">
          <w:rPr>
            <w:rStyle w:val="Lienhypertexte"/>
            <w:noProof/>
            <w:lang w:val="en-US"/>
          </w:rPr>
          <w:t xml:space="preserve"> Data sources</w:t>
        </w:r>
        <w:r>
          <w:rPr>
            <w:noProof/>
            <w:webHidden/>
          </w:rPr>
          <w:tab/>
        </w:r>
        <w:r>
          <w:rPr>
            <w:noProof/>
            <w:webHidden/>
          </w:rPr>
          <w:fldChar w:fldCharType="begin"/>
        </w:r>
        <w:r>
          <w:rPr>
            <w:noProof/>
            <w:webHidden/>
          </w:rPr>
          <w:instrText xml:space="preserve"> PAGEREF _Toc456011890 \h </w:instrText>
        </w:r>
        <w:r>
          <w:rPr>
            <w:noProof/>
            <w:webHidden/>
          </w:rPr>
        </w:r>
        <w:r>
          <w:rPr>
            <w:noProof/>
            <w:webHidden/>
          </w:rPr>
          <w:fldChar w:fldCharType="separate"/>
        </w:r>
        <w:r w:rsidR="00173034">
          <w:rPr>
            <w:noProof/>
            <w:webHidden/>
          </w:rPr>
          <w:t>42</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1" w:history="1">
        <w:r w:rsidRPr="008016BD">
          <w:rPr>
            <w:rStyle w:val="Lienhypertexte"/>
            <w:noProof/>
            <w:lang w:val="en-US"/>
          </w:rPr>
          <w:t>3.2.1 Earthquake catalogues</w:t>
        </w:r>
        <w:r>
          <w:rPr>
            <w:noProof/>
            <w:webHidden/>
          </w:rPr>
          <w:tab/>
        </w:r>
        <w:r>
          <w:rPr>
            <w:noProof/>
            <w:webHidden/>
          </w:rPr>
          <w:fldChar w:fldCharType="begin"/>
        </w:r>
        <w:r>
          <w:rPr>
            <w:noProof/>
            <w:webHidden/>
          </w:rPr>
          <w:instrText xml:space="preserve"> PAGEREF _Toc456011891 \h </w:instrText>
        </w:r>
        <w:r>
          <w:rPr>
            <w:noProof/>
            <w:webHidden/>
          </w:rPr>
        </w:r>
        <w:r>
          <w:rPr>
            <w:noProof/>
            <w:webHidden/>
          </w:rPr>
          <w:fldChar w:fldCharType="separate"/>
        </w:r>
        <w:r w:rsidR="00173034">
          <w:rPr>
            <w:noProof/>
            <w:webHidden/>
          </w:rPr>
          <w:t>42</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2" w:history="1">
        <w:r w:rsidRPr="008016BD">
          <w:rPr>
            <w:rStyle w:val="Lienhypertexte"/>
            <w:noProof/>
            <w:lang w:val="en-US"/>
          </w:rPr>
          <w:t>3.2.2 Earthquake focal mechanisms and recent stress databases</w:t>
        </w:r>
        <w:r>
          <w:rPr>
            <w:noProof/>
            <w:webHidden/>
          </w:rPr>
          <w:tab/>
        </w:r>
        <w:r>
          <w:rPr>
            <w:noProof/>
            <w:webHidden/>
          </w:rPr>
          <w:fldChar w:fldCharType="begin"/>
        </w:r>
        <w:r>
          <w:rPr>
            <w:noProof/>
            <w:webHidden/>
          </w:rPr>
          <w:instrText xml:space="preserve"> PAGEREF _Toc456011892 \h </w:instrText>
        </w:r>
        <w:r>
          <w:rPr>
            <w:noProof/>
            <w:webHidden/>
          </w:rPr>
        </w:r>
        <w:r>
          <w:rPr>
            <w:noProof/>
            <w:webHidden/>
          </w:rPr>
          <w:fldChar w:fldCharType="separate"/>
        </w:r>
        <w:r w:rsidR="00173034">
          <w:rPr>
            <w:noProof/>
            <w:webHidden/>
          </w:rPr>
          <w:t>47</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3" w:history="1">
        <w:r w:rsidRPr="008016BD">
          <w:rPr>
            <w:rStyle w:val="Lienhypertexte"/>
            <w:noProof/>
            <w:lang w:val="en-US"/>
          </w:rPr>
          <w:t>3.2.3 Active and capable fault databases</w:t>
        </w:r>
        <w:r>
          <w:rPr>
            <w:noProof/>
            <w:webHidden/>
          </w:rPr>
          <w:tab/>
        </w:r>
        <w:r>
          <w:rPr>
            <w:noProof/>
            <w:webHidden/>
          </w:rPr>
          <w:fldChar w:fldCharType="begin"/>
        </w:r>
        <w:r>
          <w:rPr>
            <w:noProof/>
            <w:webHidden/>
          </w:rPr>
          <w:instrText xml:space="preserve"> PAGEREF _Toc456011893 \h </w:instrText>
        </w:r>
        <w:r>
          <w:rPr>
            <w:noProof/>
            <w:webHidden/>
          </w:rPr>
        </w:r>
        <w:r>
          <w:rPr>
            <w:noProof/>
            <w:webHidden/>
          </w:rPr>
          <w:fldChar w:fldCharType="separate"/>
        </w:r>
        <w:r w:rsidR="00173034">
          <w:rPr>
            <w:noProof/>
            <w:webHidden/>
          </w:rPr>
          <w:t>50</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4" w:history="1">
        <w:r w:rsidRPr="008016BD">
          <w:rPr>
            <w:rStyle w:val="Lienhypertexte"/>
            <w:noProof/>
            <w:lang w:val="en-US"/>
          </w:rPr>
          <w:t>3.2.4 Geological, topographical and geophysical data other than earthquakes</w:t>
        </w:r>
        <w:r>
          <w:rPr>
            <w:noProof/>
            <w:webHidden/>
          </w:rPr>
          <w:tab/>
        </w:r>
        <w:r>
          <w:rPr>
            <w:noProof/>
            <w:webHidden/>
          </w:rPr>
          <w:fldChar w:fldCharType="begin"/>
        </w:r>
        <w:r>
          <w:rPr>
            <w:noProof/>
            <w:webHidden/>
          </w:rPr>
          <w:instrText xml:space="preserve"> PAGEREF _Toc456011894 \h </w:instrText>
        </w:r>
        <w:r>
          <w:rPr>
            <w:noProof/>
            <w:webHidden/>
          </w:rPr>
        </w:r>
        <w:r>
          <w:rPr>
            <w:noProof/>
            <w:webHidden/>
          </w:rPr>
          <w:fldChar w:fldCharType="separate"/>
        </w:r>
        <w:r w:rsidR="00173034">
          <w:rPr>
            <w:noProof/>
            <w:webHidden/>
          </w:rPr>
          <w:t>52</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5" w:history="1">
        <w:r w:rsidRPr="008016BD">
          <w:rPr>
            <w:rStyle w:val="Lienhypertexte"/>
            <w:noProof/>
            <w:lang w:val="en-US"/>
          </w:rPr>
          <w:t>3.2.5 Site-specific data including data from site-specific observation networks</w:t>
        </w:r>
        <w:r>
          <w:rPr>
            <w:noProof/>
            <w:webHidden/>
          </w:rPr>
          <w:tab/>
        </w:r>
        <w:r>
          <w:rPr>
            <w:noProof/>
            <w:webHidden/>
          </w:rPr>
          <w:fldChar w:fldCharType="begin"/>
        </w:r>
        <w:r>
          <w:rPr>
            <w:noProof/>
            <w:webHidden/>
          </w:rPr>
          <w:instrText xml:space="preserve"> PAGEREF _Toc456011895 \h </w:instrText>
        </w:r>
        <w:r>
          <w:rPr>
            <w:noProof/>
            <w:webHidden/>
          </w:rPr>
        </w:r>
        <w:r>
          <w:rPr>
            <w:noProof/>
            <w:webHidden/>
          </w:rPr>
          <w:fldChar w:fldCharType="separate"/>
        </w:r>
        <w:r w:rsidR="00173034">
          <w:rPr>
            <w:noProof/>
            <w:webHidden/>
          </w:rPr>
          <w:t>52</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6" w:history="1">
        <w:r w:rsidRPr="008016BD">
          <w:rPr>
            <w:rStyle w:val="Lienhypertexte"/>
            <w:noProof/>
            <w:lang w:val="en-US"/>
          </w:rPr>
          <w:t>3.2.6 Operational event database of plants</w:t>
        </w:r>
        <w:r>
          <w:rPr>
            <w:noProof/>
            <w:webHidden/>
          </w:rPr>
          <w:tab/>
        </w:r>
        <w:r>
          <w:rPr>
            <w:noProof/>
            <w:webHidden/>
          </w:rPr>
          <w:fldChar w:fldCharType="begin"/>
        </w:r>
        <w:r>
          <w:rPr>
            <w:noProof/>
            <w:webHidden/>
          </w:rPr>
          <w:instrText xml:space="preserve"> PAGEREF _Toc456011896 \h </w:instrText>
        </w:r>
        <w:r>
          <w:rPr>
            <w:noProof/>
            <w:webHidden/>
          </w:rPr>
        </w:r>
        <w:r>
          <w:rPr>
            <w:noProof/>
            <w:webHidden/>
          </w:rPr>
          <w:fldChar w:fldCharType="separate"/>
        </w:r>
        <w:r w:rsidR="00173034">
          <w:rPr>
            <w:noProof/>
            <w:webHidden/>
          </w:rPr>
          <w:t>53</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897" w:history="1">
        <w:r w:rsidRPr="008016BD">
          <w:rPr>
            <w:rStyle w:val="Lienhypertexte"/>
            <w:noProof/>
          </w:rPr>
          <w:t>3.3</w:t>
        </w:r>
        <w:r w:rsidRPr="008016BD">
          <w:rPr>
            <w:rStyle w:val="Lienhypertexte"/>
            <w:noProof/>
            <w:lang w:val="en-US"/>
          </w:rPr>
          <w:t xml:space="preserve"> Data completeness and quality assessment</w:t>
        </w:r>
        <w:r>
          <w:rPr>
            <w:noProof/>
            <w:webHidden/>
          </w:rPr>
          <w:tab/>
        </w:r>
        <w:r>
          <w:rPr>
            <w:noProof/>
            <w:webHidden/>
          </w:rPr>
          <w:fldChar w:fldCharType="begin"/>
        </w:r>
        <w:r>
          <w:rPr>
            <w:noProof/>
            <w:webHidden/>
          </w:rPr>
          <w:instrText xml:space="preserve"> PAGEREF _Toc456011897 \h </w:instrText>
        </w:r>
        <w:r>
          <w:rPr>
            <w:noProof/>
            <w:webHidden/>
          </w:rPr>
        </w:r>
        <w:r>
          <w:rPr>
            <w:noProof/>
            <w:webHidden/>
          </w:rPr>
          <w:fldChar w:fldCharType="separate"/>
        </w:r>
        <w:r w:rsidR="00173034">
          <w:rPr>
            <w:noProof/>
            <w:webHidden/>
          </w:rPr>
          <w:t>53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8" w:history="1">
        <w:r w:rsidRPr="008016BD">
          <w:rPr>
            <w:rStyle w:val="Lienhypertexte"/>
            <w:noProof/>
            <w:lang w:val="en-US"/>
          </w:rPr>
          <w:t>3.3.1 Completeness of Earthquake data</w:t>
        </w:r>
        <w:r>
          <w:rPr>
            <w:noProof/>
            <w:webHidden/>
          </w:rPr>
          <w:tab/>
        </w:r>
        <w:r>
          <w:rPr>
            <w:noProof/>
            <w:webHidden/>
          </w:rPr>
          <w:fldChar w:fldCharType="begin"/>
        </w:r>
        <w:r>
          <w:rPr>
            <w:noProof/>
            <w:webHidden/>
          </w:rPr>
          <w:instrText xml:space="preserve"> PAGEREF _Toc456011898 \h </w:instrText>
        </w:r>
        <w:r>
          <w:rPr>
            <w:noProof/>
            <w:webHidden/>
          </w:rPr>
        </w:r>
        <w:r>
          <w:rPr>
            <w:noProof/>
            <w:webHidden/>
          </w:rPr>
          <w:fldChar w:fldCharType="separate"/>
        </w:r>
        <w:r w:rsidR="00173034">
          <w:rPr>
            <w:noProof/>
            <w:webHidden/>
          </w:rPr>
          <w:t>53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899" w:history="1">
        <w:r w:rsidRPr="008016BD">
          <w:rPr>
            <w:rStyle w:val="Lienhypertexte"/>
            <w:noProof/>
            <w:lang w:val="en-US"/>
          </w:rPr>
          <w:t>3.3.2 Completeness of active and capable fault data</w:t>
        </w:r>
        <w:r>
          <w:rPr>
            <w:noProof/>
            <w:webHidden/>
          </w:rPr>
          <w:tab/>
        </w:r>
        <w:r>
          <w:rPr>
            <w:noProof/>
            <w:webHidden/>
          </w:rPr>
          <w:fldChar w:fldCharType="begin"/>
        </w:r>
        <w:r>
          <w:rPr>
            <w:noProof/>
            <w:webHidden/>
          </w:rPr>
          <w:instrText xml:space="preserve"> PAGEREF _Toc456011899 \h </w:instrText>
        </w:r>
        <w:r>
          <w:rPr>
            <w:noProof/>
            <w:webHidden/>
          </w:rPr>
        </w:r>
        <w:r>
          <w:rPr>
            <w:noProof/>
            <w:webHidden/>
          </w:rPr>
          <w:fldChar w:fldCharType="separate"/>
        </w:r>
        <w:r w:rsidR="00173034">
          <w:rPr>
            <w:noProof/>
            <w:webHidden/>
          </w:rPr>
          <w:t>63</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900" w:history="1">
        <w:r w:rsidRPr="008016BD">
          <w:rPr>
            <w:rStyle w:val="Lienhypertexte"/>
            <w:noProof/>
          </w:rPr>
          <w:t>4 Hazard assessment methodologies</w:t>
        </w:r>
        <w:r>
          <w:rPr>
            <w:noProof/>
            <w:webHidden/>
          </w:rPr>
          <w:tab/>
        </w:r>
        <w:r>
          <w:rPr>
            <w:noProof/>
            <w:webHidden/>
          </w:rPr>
          <w:fldChar w:fldCharType="begin"/>
        </w:r>
        <w:r>
          <w:rPr>
            <w:noProof/>
            <w:webHidden/>
          </w:rPr>
          <w:instrText xml:space="preserve"> PAGEREF _Toc456011900 \h </w:instrText>
        </w:r>
        <w:r>
          <w:rPr>
            <w:noProof/>
            <w:webHidden/>
          </w:rPr>
        </w:r>
        <w:r>
          <w:rPr>
            <w:noProof/>
            <w:webHidden/>
          </w:rPr>
          <w:fldChar w:fldCharType="separate"/>
        </w:r>
        <w:r w:rsidR="00173034">
          <w:rPr>
            <w:noProof/>
            <w:webHidden/>
          </w:rPr>
          <w:t>64</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01" w:history="1">
        <w:r w:rsidRPr="008016BD">
          <w:rPr>
            <w:rStyle w:val="Lienhypertexte"/>
            <w:noProof/>
          </w:rPr>
          <w:t>4.1</w:t>
        </w:r>
        <w:r w:rsidRPr="008016BD">
          <w:rPr>
            <w:rStyle w:val="Lienhypertexte"/>
            <w:noProof/>
            <w:lang w:val="en-US"/>
          </w:rPr>
          <w:t xml:space="preserve"> Output of the hazard assessment</w:t>
        </w:r>
        <w:r>
          <w:rPr>
            <w:noProof/>
            <w:webHidden/>
          </w:rPr>
          <w:tab/>
        </w:r>
        <w:r>
          <w:rPr>
            <w:noProof/>
            <w:webHidden/>
          </w:rPr>
          <w:fldChar w:fldCharType="begin"/>
        </w:r>
        <w:r>
          <w:rPr>
            <w:noProof/>
            <w:webHidden/>
          </w:rPr>
          <w:instrText xml:space="preserve"> PAGEREF _Toc456011901 \h </w:instrText>
        </w:r>
        <w:r>
          <w:rPr>
            <w:noProof/>
            <w:webHidden/>
          </w:rPr>
        </w:r>
        <w:r>
          <w:rPr>
            <w:noProof/>
            <w:webHidden/>
          </w:rPr>
          <w:fldChar w:fldCharType="separate"/>
        </w:r>
        <w:r w:rsidR="00173034">
          <w:rPr>
            <w:noProof/>
            <w:webHidden/>
          </w:rPr>
          <w:t>64</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02" w:history="1">
        <w:r w:rsidRPr="008016BD">
          <w:rPr>
            <w:rStyle w:val="Lienhypertexte"/>
            <w:noProof/>
            <w:lang w:val="en-US"/>
          </w:rPr>
          <w:t>4.1.1 Probabilistic Seismic Hazard Analysis (PSHA)</w:t>
        </w:r>
        <w:r>
          <w:rPr>
            <w:noProof/>
            <w:webHidden/>
          </w:rPr>
          <w:tab/>
        </w:r>
        <w:r>
          <w:rPr>
            <w:noProof/>
            <w:webHidden/>
          </w:rPr>
          <w:fldChar w:fldCharType="begin"/>
        </w:r>
        <w:r>
          <w:rPr>
            <w:noProof/>
            <w:webHidden/>
          </w:rPr>
          <w:instrText xml:space="preserve"> PAGEREF _Toc456011902 \h </w:instrText>
        </w:r>
        <w:r>
          <w:rPr>
            <w:noProof/>
            <w:webHidden/>
          </w:rPr>
        </w:r>
        <w:r>
          <w:rPr>
            <w:noProof/>
            <w:webHidden/>
          </w:rPr>
          <w:fldChar w:fldCharType="separate"/>
        </w:r>
        <w:r w:rsidR="00173034">
          <w:rPr>
            <w:noProof/>
            <w:webHidden/>
          </w:rPr>
          <w:t>64</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03" w:history="1">
        <w:r w:rsidRPr="008016BD">
          <w:rPr>
            <w:rStyle w:val="Lienhypertexte"/>
            <w:noProof/>
            <w:lang w:val="en-US"/>
          </w:rPr>
          <w:t>4.1.2 Deterministic seismic hazard Analysis (DSHA)</w:t>
        </w:r>
        <w:r>
          <w:rPr>
            <w:noProof/>
            <w:webHidden/>
          </w:rPr>
          <w:tab/>
        </w:r>
        <w:r>
          <w:rPr>
            <w:noProof/>
            <w:webHidden/>
          </w:rPr>
          <w:fldChar w:fldCharType="begin"/>
        </w:r>
        <w:r>
          <w:rPr>
            <w:noProof/>
            <w:webHidden/>
          </w:rPr>
          <w:instrText xml:space="preserve"> PAGEREF _Toc456011903 \h </w:instrText>
        </w:r>
        <w:r>
          <w:rPr>
            <w:noProof/>
            <w:webHidden/>
          </w:rPr>
        </w:r>
        <w:r>
          <w:rPr>
            <w:noProof/>
            <w:webHidden/>
          </w:rPr>
          <w:fldChar w:fldCharType="separate"/>
        </w:r>
        <w:r w:rsidR="00173034">
          <w:rPr>
            <w:noProof/>
            <w:webHidden/>
          </w:rPr>
          <w:t>68</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04" w:history="1">
        <w:r w:rsidRPr="008016BD">
          <w:rPr>
            <w:rStyle w:val="Lienhypertexte"/>
            <w:noProof/>
            <w:lang w:val="en-US"/>
          </w:rPr>
          <w:t>4.1.3 Fault capabiltiy</w:t>
        </w:r>
        <w:r>
          <w:rPr>
            <w:noProof/>
            <w:webHidden/>
          </w:rPr>
          <w:tab/>
        </w:r>
        <w:r>
          <w:rPr>
            <w:noProof/>
            <w:webHidden/>
          </w:rPr>
          <w:fldChar w:fldCharType="begin"/>
        </w:r>
        <w:r>
          <w:rPr>
            <w:noProof/>
            <w:webHidden/>
          </w:rPr>
          <w:instrText xml:space="preserve"> PAGEREF _Toc456011904 \h </w:instrText>
        </w:r>
        <w:r>
          <w:rPr>
            <w:noProof/>
            <w:webHidden/>
          </w:rPr>
        </w:r>
        <w:r>
          <w:rPr>
            <w:noProof/>
            <w:webHidden/>
          </w:rPr>
          <w:fldChar w:fldCharType="separate"/>
        </w:r>
        <w:r w:rsidR="00173034">
          <w:rPr>
            <w:noProof/>
            <w:webHidden/>
          </w:rPr>
          <w:t>68</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05" w:history="1">
        <w:r w:rsidRPr="008016BD">
          <w:rPr>
            <w:rStyle w:val="Lienhypertexte"/>
            <w:noProof/>
          </w:rPr>
          <w:t>4.2</w:t>
        </w:r>
        <w:r w:rsidRPr="008016BD">
          <w:rPr>
            <w:rStyle w:val="Lienhypertexte"/>
            <w:noProof/>
            <w:lang w:val="en-US"/>
          </w:rPr>
          <w:t xml:space="preserve"> Identification of key input parameters</w:t>
        </w:r>
        <w:r>
          <w:rPr>
            <w:noProof/>
            <w:webHidden/>
          </w:rPr>
          <w:tab/>
        </w:r>
        <w:r>
          <w:rPr>
            <w:noProof/>
            <w:webHidden/>
          </w:rPr>
          <w:fldChar w:fldCharType="begin"/>
        </w:r>
        <w:r>
          <w:rPr>
            <w:noProof/>
            <w:webHidden/>
          </w:rPr>
          <w:instrText xml:space="preserve"> PAGEREF _Toc456011905 \h </w:instrText>
        </w:r>
        <w:r>
          <w:rPr>
            <w:noProof/>
            <w:webHidden/>
          </w:rPr>
        </w:r>
        <w:r>
          <w:rPr>
            <w:noProof/>
            <w:webHidden/>
          </w:rPr>
          <w:fldChar w:fldCharType="separate"/>
        </w:r>
        <w:r w:rsidR="00173034">
          <w:rPr>
            <w:noProof/>
            <w:webHidden/>
          </w:rPr>
          <w:t>69</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06" w:history="1">
        <w:r w:rsidRPr="008016BD">
          <w:rPr>
            <w:rStyle w:val="Lienhypertexte"/>
            <w:noProof/>
            <w:lang w:val="en-US"/>
          </w:rPr>
          <w:t>4.2.1 Active fault sources (Seismogenic structures)</w:t>
        </w:r>
        <w:r>
          <w:rPr>
            <w:noProof/>
            <w:webHidden/>
          </w:rPr>
          <w:tab/>
        </w:r>
        <w:r>
          <w:rPr>
            <w:noProof/>
            <w:webHidden/>
          </w:rPr>
          <w:fldChar w:fldCharType="begin"/>
        </w:r>
        <w:r>
          <w:rPr>
            <w:noProof/>
            <w:webHidden/>
          </w:rPr>
          <w:instrText xml:space="preserve"> PAGEREF _Toc456011906 \h </w:instrText>
        </w:r>
        <w:r>
          <w:rPr>
            <w:noProof/>
            <w:webHidden/>
          </w:rPr>
        </w:r>
        <w:r>
          <w:rPr>
            <w:noProof/>
            <w:webHidden/>
          </w:rPr>
          <w:fldChar w:fldCharType="separate"/>
        </w:r>
        <w:r w:rsidR="00173034">
          <w:rPr>
            <w:noProof/>
            <w:webHidden/>
          </w:rPr>
          <w:t>69</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07" w:history="1">
        <w:r w:rsidRPr="008016BD">
          <w:rPr>
            <w:rStyle w:val="Lienhypertexte"/>
            <w:noProof/>
            <w:lang w:val="fr-FR"/>
          </w:rPr>
          <w:t>4.2.2 Seismic source zones (Zones of diffuse seismicity)</w:t>
        </w:r>
        <w:r>
          <w:rPr>
            <w:noProof/>
            <w:webHidden/>
          </w:rPr>
          <w:tab/>
        </w:r>
        <w:r>
          <w:rPr>
            <w:noProof/>
            <w:webHidden/>
          </w:rPr>
          <w:fldChar w:fldCharType="begin"/>
        </w:r>
        <w:r>
          <w:rPr>
            <w:noProof/>
            <w:webHidden/>
          </w:rPr>
          <w:instrText xml:space="preserve"> PAGEREF _Toc456011907 \h </w:instrText>
        </w:r>
        <w:r>
          <w:rPr>
            <w:noProof/>
            <w:webHidden/>
          </w:rPr>
        </w:r>
        <w:r>
          <w:rPr>
            <w:noProof/>
            <w:webHidden/>
          </w:rPr>
          <w:fldChar w:fldCharType="separate"/>
        </w:r>
        <w:r w:rsidR="00173034">
          <w:rPr>
            <w:noProof/>
            <w:webHidden/>
          </w:rPr>
          <w:t>74</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08" w:history="1">
        <w:r w:rsidRPr="008016BD">
          <w:rPr>
            <w:rStyle w:val="Lienhypertexte"/>
            <w:noProof/>
            <w:lang w:val="en-US"/>
          </w:rPr>
          <w:t>4.2.3 Ground motion prediction equations</w:t>
        </w:r>
        <w:r>
          <w:rPr>
            <w:noProof/>
            <w:webHidden/>
          </w:rPr>
          <w:tab/>
        </w:r>
        <w:r>
          <w:rPr>
            <w:noProof/>
            <w:webHidden/>
          </w:rPr>
          <w:fldChar w:fldCharType="begin"/>
        </w:r>
        <w:r>
          <w:rPr>
            <w:noProof/>
            <w:webHidden/>
          </w:rPr>
          <w:instrText xml:space="preserve"> PAGEREF _Toc456011908 \h </w:instrText>
        </w:r>
        <w:r>
          <w:rPr>
            <w:noProof/>
            <w:webHidden/>
          </w:rPr>
        </w:r>
        <w:r>
          <w:rPr>
            <w:noProof/>
            <w:webHidden/>
          </w:rPr>
          <w:fldChar w:fldCharType="separate"/>
        </w:r>
        <w:r w:rsidR="00173034">
          <w:rPr>
            <w:noProof/>
            <w:webHidden/>
          </w:rPr>
          <w:t>77</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09" w:history="1">
        <w:r w:rsidRPr="008016BD">
          <w:rPr>
            <w:rStyle w:val="Lienhypertexte"/>
            <w:noProof/>
            <w:lang w:val="en-US"/>
          </w:rPr>
          <w:t>4.2.4 Maximum magnitude (M</w:t>
        </w:r>
        <w:r w:rsidRPr="008016BD">
          <w:rPr>
            <w:rStyle w:val="Lienhypertexte"/>
            <w:noProof/>
            <w:vertAlign w:val="subscript"/>
            <w:lang w:val="en-US"/>
          </w:rPr>
          <w:t>max</w:t>
        </w:r>
        <w:r w:rsidRPr="008016BD">
          <w:rPr>
            <w:rStyle w:val="Lienhypertexte"/>
            <w:noProof/>
            <w:lang w:val="en-US"/>
          </w:rPr>
          <w:t>)</w:t>
        </w:r>
        <w:r>
          <w:rPr>
            <w:noProof/>
            <w:webHidden/>
          </w:rPr>
          <w:tab/>
        </w:r>
        <w:r>
          <w:rPr>
            <w:noProof/>
            <w:webHidden/>
          </w:rPr>
          <w:fldChar w:fldCharType="begin"/>
        </w:r>
        <w:r>
          <w:rPr>
            <w:noProof/>
            <w:webHidden/>
          </w:rPr>
          <w:instrText xml:space="preserve"> PAGEREF _Toc456011909 \h </w:instrText>
        </w:r>
        <w:r>
          <w:rPr>
            <w:noProof/>
            <w:webHidden/>
          </w:rPr>
        </w:r>
        <w:r>
          <w:rPr>
            <w:noProof/>
            <w:webHidden/>
          </w:rPr>
          <w:fldChar w:fldCharType="separate"/>
        </w:r>
        <w:r w:rsidR="00173034">
          <w:rPr>
            <w:noProof/>
            <w:webHidden/>
          </w:rPr>
          <w:t>79</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10" w:history="1">
        <w:r w:rsidRPr="008016BD">
          <w:rPr>
            <w:rStyle w:val="Lienhypertexte"/>
            <w:noProof/>
            <w:lang w:val="en-US"/>
          </w:rPr>
          <w:t>4.2.5 Lower Bound magnitude</w:t>
        </w:r>
        <w:r>
          <w:rPr>
            <w:noProof/>
            <w:webHidden/>
          </w:rPr>
          <w:tab/>
        </w:r>
        <w:r>
          <w:rPr>
            <w:noProof/>
            <w:webHidden/>
          </w:rPr>
          <w:fldChar w:fldCharType="begin"/>
        </w:r>
        <w:r>
          <w:rPr>
            <w:noProof/>
            <w:webHidden/>
          </w:rPr>
          <w:instrText xml:space="preserve"> PAGEREF _Toc456011910 \h </w:instrText>
        </w:r>
        <w:r>
          <w:rPr>
            <w:noProof/>
            <w:webHidden/>
          </w:rPr>
        </w:r>
        <w:r>
          <w:rPr>
            <w:noProof/>
            <w:webHidden/>
          </w:rPr>
          <w:fldChar w:fldCharType="separate"/>
        </w:r>
        <w:r w:rsidR="00173034">
          <w:rPr>
            <w:noProof/>
            <w:webHidden/>
          </w:rPr>
          <w:t>82</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11" w:history="1">
        <w:r w:rsidRPr="008016BD">
          <w:rPr>
            <w:rStyle w:val="Lienhypertexte"/>
            <w:noProof/>
          </w:rPr>
          <w:t>4.3</w:t>
        </w:r>
        <w:r w:rsidRPr="008016BD">
          <w:rPr>
            <w:rStyle w:val="Lienhypertexte"/>
            <w:noProof/>
            <w:lang w:val="en-US"/>
          </w:rPr>
          <w:t xml:space="preserve"> Methods commonly applied.</w:t>
        </w:r>
        <w:r>
          <w:rPr>
            <w:noProof/>
            <w:webHidden/>
          </w:rPr>
          <w:tab/>
        </w:r>
        <w:r>
          <w:rPr>
            <w:noProof/>
            <w:webHidden/>
          </w:rPr>
          <w:fldChar w:fldCharType="begin"/>
        </w:r>
        <w:r>
          <w:rPr>
            <w:noProof/>
            <w:webHidden/>
          </w:rPr>
          <w:instrText xml:space="preserve"> PAGEREF _Toc456011911 \h </w:instrText>
        </w:r>
        <w:r>
          <w:rPr>
            <w:noProof/>
            <w:webHidden/>
          </w:rPr>
        </w:r>
        <w:r>
          <w:rPr>
            <w:noProof/>
            <w:webHidden/>
          </w:rPr>
          <w:fldChar w:fldCharType="separate"/>
        </w:r>
        <w:r w:rsidR="00173034">
          <w:rPr>
            <w:noProof/>
            <w:webHidden/>
          </w:rPr>
          <w:t>84</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12" w:history="1">
        <w:r w:rsidRPr="008016BD">
          <w:rPr>
            <w:rStyle w:val="Lienhypertexte"/>
            <w:noProof/>
            <w:lang w:val="en-US"/>
          </w:rPr>
          <w:t>4.3.1 Probabilistic Seismic Hazard Analysis (PSHA)</w:t>
        </w:r>
        <w:r>
          <w:rPr>
            <w:noProof/>
            <w:webHidden/>
          </w:rPr>
          <w:tab/>
        </w:r>
        <w:r>
          <w:rPr>
            <w:noProof/>
            <w:webHidden/>
          </w:rPr>
          <w:fldChar w:fldCharType="begin"/>
        </w:r>
        <w:r>
          <w:rPr>
            <w:noProof/>
            <w:webHidden/>
          </w:rPr>
          <w:instrText xml:space="preserve"> PAGEREF _Toc456011912 \h </w:instrText>
        </w:r>
        <w:r>
          <w:rPr>
            <w:noProof/>
            <w:webHidden/>
          </w:rPr>
        </w:r>
        <w:r>
          <w:rPr>
            <w:noProof/>
            <w:webHidden/>
          </w:rPr>
          <w:fldChar w:fldCharType="separate"/>
        </w:r>
        <w:r w:rsidR="00173034">
          <w:rPr>
            <w:noProof/>
            <w:webHidden/>
          </w:rPr>
          <w:t>84</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13" w:history="1">
        <w:r w:rsidRPr="008016BD">
          <w:rPr>
            <w:rStyle w:val="Lienhypertexte"/>
            <w:noProof/>
            <w:lang w:val="en-US"/>
          </w:rPr>
          <w:t>4.3.2 Deterministic seismic hazard Analysis (DSHA)</w:t>
        </w:r>
        <w:r>
          <w:rPr>
            <w:noProof/>
            <w:webHidden/>
          </w:rPr>
          <w:tab/>
        </w:r>
        <w:r>
          <w:rPr>
            <w:noProof/>
            <w:webHidden/>
          </w:rPr>
          <w:fldChar w:fldCharType="begin"/>
        </w:r>
        <w:r>
          <w:rPr>
            <w:noProof/>
            <w:webHidden/>
          </w:rPr>
          <w:instrText xml:space="preserve"> PAGEREF _Toc456011913 \h </w:instrText>
        </w:r>
        <w:r>
          <w:rPr>
            <w:noProof/>
            <w:webHidden/>
          </w:rPr>
        </w:r>
        <w:r>
          <w:rPr>
            <w:noProof/>
            <w:webHidden/>
          </w:rPr>
          <w:fldChar w:fldCharType="separate"/>
        </w:r>
        <w:r w:rsidR="00173034">
          <w:rPr>
            <w:noProof/>
            <w:webHidden/>
          </w:rPr>
          <w:t>86</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14" w:history="1">
        <w:r w:rsidRPr="008016BD">
          <w:rPr>
            <w:rStyle w:val="Lienhypertexte"/>
            <w:noProof/>
            <w:lang w:val="en-US"/>
          </w:rPr>
          <w:t>4.3.3 Probabilistic fault displacement Analysis (PFDHA)</w:t>
        </w:r>
        <w:r>
          <w:rPr>
            <w:noProof/>
            <w:webHidden/>
          </w:rPr>
          <w:tab/>
        </w:r>
        <w:r>
          <w:rPr>
            <w:noProof/>
            <w:webHidden/>
          </w:rPr>
          <w:fldChar w:fldCharType="begin"/>
        </w:r>
        <w:r>
          <w:rPr>
            <w:noProof/>
            <w:webHidden/>
          </w:rPr>
          <w:instrText xml:space="preserve"> PAGEREF _Toc456011914 \h </w:instrText>
        </w:r>
        <w:r>
          <w:rPr>
            <w:noProof/>
            <w:webHidden/>
          </w:rPr>
        </w:r>
        <w:r>
          <w:rPr>
            <w:noProof/>
            <w:webHidden/>
          </w:rPr>
          <w:fldChar w:fldCharType="separate"/>
        </w:r>
        <w:r w:rsidR="00173034">
          <w:rPr>
            <w:noProof/>
            <w:webHidden/>
          </w:rPr>
          <w:t>87</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15" w:history="1">
        <w:r w:rsidRPr="008016BD">
          <w:rPr>
            <w:rStyle w:val="Lienhypertexte"/>
            <w:noProof/>
          </w:rPr>
          <w:t>4.4</w:t>
        </w:r>
        <w:r w:rsidRPr="008016BD">
          <w:rPr>
            <w:rStyle w:val="Lienhypertexte"/>
            <w:noProof/>
            <w:lang w:val="en-US"/>
          </w:rPr>
          <w:t xml:space="preserve"> Uncertainty assessment</w:t>
        </w:r>
        <w:r>
          <w:rPr>
            <w:noProof/>
            <w:webHidden/>
          </w:rPr>
          <w:tab/>
        </w:r>
        <w:r>
          <w:rPr>
            <w:noProof/>
            <w:webHidden/>
          </w:rPr>
          <w:fldChar w:fldCharType="begin"/>
        </w:r>
        <w:r>
          <w:rPr>
            <w:noProof/>
            <w:webHidden/>
          </w:rPr>
          <w:instrText xml:space="preserve"> PAGEREF _Toc456011915 \h </w:instrText>
        </w:r>
        <w:r>
          <w:rPr>
            <w:noProof/>
            <w:webHidden/>
          </w:rPr>
        </w:r>
        <w:r>
          <w:rPr>
            <w:noProof/>
            <w:webHidden/>
          </w:rPr>
          <w:fldChar w:fldCharType="separate"/>
        </w:r>
        <w:r w:rsidR="00173034">
          <w:rPr>
            <w:noProof/>
            <w:webHidden/>
          </w:rPr>
          <w:t>91</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16" w:history="1">
        <w:r w:rsidRPr="008016BD">
          <w:rPr>
            <w:rStyle w:val="Lienhypertexte"/>
            <w:noProof/>
            <w:lang w:val="en-US"/>
          </w:rPr>
          <w:t>4.4.1 Probabilistic Seismic Hazard Analysis (PSHA)</w:t>
        </w:r>
        <w:r>
          <w:rPr>
            <w:noProof/>
            <w:webHidden/>
          </w:rPr>
          <w:tab/>
        </w:r>
        <w:r>
          <w:rPr>
            <w:noProof/>
            <w:webHidden/>
          </w:rPr>
          <w:fldChar w:fldCharType="begin"/>
        </w:r>
        <w:r>
          <w:rPr>
            <w:noProof/>
            <w:webHidden/>
          </w:rPr>
          <w:instrText xml:space="preserve"> PAGEREF _Toc456011916 \h </w:instrText>
        </w:r>
        <w:r>
          <w:rPr>
            <w:noProof/>
            <w:webHidden/>
          </w:rPr>
        </w:r>
        <w:r>
          <w:rPr>
            <w:noProof/>
            <w:webHidden/>
          </w:rPr>
          <w:fldChar w:fldCharType="separate"/>
        </w:r>
        <w:r w:rsidR="00173034">
          <w:rPr>
            <w:noProof/>
            <w:webHidden/>
          </w:rPr>
          <w:t>91</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17" w:history="1">
        <w:r w:rsidRPr="008016BD">
          <w:rPr>
            <w:rStyle w:val="Lienhypertexte"/>
            <w:noProof/>
            <w:lang w:val="en-US"/>
          </w:rPr>
          <w:t>4.4.2 Deterministic Seismic Hazard Analysis (DSHA)</w:t>
        </w:r>
        <w:r>
          <w:rPr>
            <w:noProof/>
            <w:webHidden/>
          </w:rPr>
          <w:tab/>
        </w:r>
        <w:r>
          <w:rPr>
            <w:noProof/>
            <w:webHidden/>
          </w:rPr>
          <w:fldChar w:fldCharType="begin"/>
        </w:r>
        <w:r>
          <w:rPr>
            <w:noProof/>
            <w:webHidden/>
          </w:rPr>
          <w:instrText xml:space="preserve"> PAGEREF _Toc456011917 \h </w:instrText>
        </w:r>
        <w:r>
          <w:rPr>
            <w:noProof/>
            <w:webHidden/>
          </w:rPr>
        </w:r>
        <w:r>
          <w:rPr>
            <w:noProof/>
            <w:webHidden/>
          </w:rPr>
          <w:fldChar w:fldCharType="separate"/>
        </w:r>
        <w:r w:rsidR="00173034">
          <w:rPr>
            <w:noProof/>
            <w:webHidden/>
          </w:rPr>
          <w:t>93</w:t>
        </w:r>
        <w:r>
          <w:rPr>
            <w:noProof/>
            <w:webHidden/>
          </w:rPr>
          <w:fldChar w:fldCharType="end"/>
        </w:r>
      </w:hyperlink>
    </w:p>
    <w:p w:rsidR="000E529B" w:rsidRDefault="000E529B">
      <w:pPr>
        <w:pStyle w:val="TM3"/>
        <w:tabs>
          <w:tab w:val="right" w:leader="dot" w:pos="9345"/>
        </w:tabs>
        <w:rPr>
          <w:rFonts w:asciiTheme="minorHAnsi" w:eastAsiaTheme="minorEastAsia" w:hAnsiTheme="minorHAnsi" w:cstheme="minorBidi"/>
          <w:noProof/>
          <w:sz w:val="22"/>
          <w:szCs w:val="22"/>
          <w:lang w:val="fr-FR"/>
        </w:rPr>
      </w:pPr>
      <w:hyperlink w:anchor="_Toc456011918" w:history="1">
        <w:r w:rsidRPr="008016BD">
          <w:rPr>
            <w:rStyle w:val="Lienhypertexte"/>
            <w:noProof/>
            <w:lang w:val="en-US"/>
          </w:rPr>
          <w:t>4.4.3 Probabilistic fault displacement Analysis (PFDHA)</w:t>
        </w:r>
        <w:r>
          <w:rPr>
            <w:noProof/>
            <w:webHidden/>
          </w:rPr>
          <w:tab/>
        </w:r>
        <w:r>
          <w:rPr>
            <w:noProof/>
            <w:webHidden/>
          </w:rPr>
          <w:fldChar w:fldCharType="begin"/>
        </w:r>
        <w:r>
          <w:rPr>
            <w:noProof/>
            <w:webHidden/>
          </w:rPr>
          <w:instrText xml:space="preserve"> PAGEREF _Toc456011918 \h </w:instrText>
        </w:r>
        <w:r>
          <w:rPr>
            <w:noProof/>
            <w:webHidden/>
          </w:rPr>
        </w:r>
        <w:r>
          <w:rPr>
            <w:noProof/>
            <w:webHidden/>
          </w:rPr>
          <w:fldChar w:fldCharType="separate"/>
        </w:r>
        <w:r w:rsidR="00173034">
          <w:rPr>
            <w:noProof/>
            <w:webHidden/>
          </w:rPr>
          <w:t>94</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19" w:history="1">
        <w:r w:rsidRPr="008016BD">
          <w:rPr>
            <w:rStyle w:val="Lienhypertexte"/>
            <w:noProof/>
          </w:rPr>
          <w:t>4.5</w:t>
        </w:r>
        <w:r w:rsidRPr="008016BD">
          <w:rPr>
            <w:rStyle w:val="Lienhypertexte"/>
            <w:noProof/>
            <w:lang w:val="en-US"/>
          </w:rPr>
          <w:t xml:space="preserve"> Methodological limits</w:t>
        </w:r>
        <w:r>
          <w:rPr>
            <w:noProof/>
            <w:webHidden/>
          </w:rPr>
          <w:tab/>
        </w:r>
        <w:r>
          <w:rPr>
            <w:noProof/>
            <w:webHidden/>
          </w:rPr>
          <w:fldChar w:fldCharType="begin"/>
        </w:r>
        <w:r>
          <w:rPr>
            <w:noProof/>
            <w:webHidden/>
          </w:rPr>
          <w:instrText xml:space="preserve"> PAGEREF _Toc456011919 \h </w:instrText>
        </w:r>
        <w:r>
          <w:rPr>
            <w:noProof/>
            <w:webHidden/>
          </w:rPr>
        </w:r>
        <w:r>
          <w:rPr>
            <w:noProof/>
            <w:webHidden/>
          </w:rPr>
          <w:fldChar w:fldCharType="separate"/>
        </w:r>
        <w:r w:rsidR="00173034">
          <w:rPr>
            <w:noProof/>
            <w:webHidden/>
          </w:rPr>
          <w:t>94</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0" w:history="1">
        <w:r w:rsidRPr="008016BD">
          <w:rPr>
            <w:rStyle w:val="Lienhypertexte"/>
            <w:noProof/>
          </w:rPr>
          <w:t>4.6</w:t>
        </w:r>
        <w:r w:rsidRPr="008016BD">
          <w:rPr>
            <w:rStyle w:val="Lienhypertexte"/>
            <w:noProof/>
            <w:lang w:val="en-US"/>
          </w:rPr>
          <w:t xml:space="preserve"> Event modelling</w:t>
        </w:r>
        <w:r>
          <w:rPr>
            <w:noProof/>
            <w:webHidden/>
          </w:rPr>
          <w:tab/>
        </w:r>
        <w:r>
          <w:rPr>
            <w:noProof/>
            <w:webHidden/>
          </w:rPr>
          <w:fldChar w:fldCharType="begin"/>
        </w:r>
        <w:r>
          <w:rPr>
            <w:noProof/>
            <w:webHidden/>
          </w:rPr>
          <w:instrText xml:space="preserve"> PAGEREF _Toc456011920 \h </w:instrText>
        </w:r>
        <w:r>
          <w:rPr>
            <w:noProof/>
            <w:webHidden/>
          </w:rPr>
        </w:r>
        <w:r>
          <w:rPr>
            <w:noProof/>
            <w:webHidden/>
          </w:rPr>
          <w:fldChar w:fldCharType="separate"/>
        </w:r>
        <w:r w:rsidR="00173034">
          <w:rPr>
            <w:noProof/>
            <w:webHidden/>
          </w:rPr>
          <w:t>98</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1" w:history="1">
        <w:r w:rsidRPr="008016BD">
          <w:rPr>
            <w:rStyle w:val="Lienhypertexte"/>
            <w:noProof/>
          </w:rPr>
          <w:t>4.7</w:t>
        </w:r>
        <w:r w:rsidRPr="008016BD">
          <w:rPr>
            <w:rStyle w:val="Lienhypertexte"/>
            <w:noProof/>
            <w:lang w:val="en-US"/>
          </w:rPr>
          <w:t xml:space="preserve"> Use of expert judgment</w:t>
        </w:r>
        <w:r>
          <w:rPr>
            <w:noProof/>
            <w:webHidden/>
          </w:rPr>
          <w:tab/>
        </w:r>
        <w:r>
          <w:rPr>
            <w:noProof/>
            <w:webHidden/>
          </w:rPr>
          <w:fldChar w:fldCharType="begin"/>
        </w:r>
        <w:r>
          <w:rPr>
            <w:noProof/>
            <w:webHidden/>
          </w:rPr>
          <w:instrText xml:space="preserve"> PAGEREF _Toc456011921 \h </w:instrText>
        </w:r>
        <w:r>
          <w:rPr>
            <w:noProof/>
            <w:webHidden/>
          </w:rPr>
        </w:r>
        <w:r>
          <w:rPr>
            <w:noProof/>
            <w:webHidden/>
          </w:rPr>
          <w:fldChar w:fldCharType="separate"/>
        </w:r>
        <w:r w:rsidR="00173034">
          <w:rPr>
            <w:noProof/>
            <w:webHidden/>
          </w:rPr>
          <w:t>99</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2" w:history="1">
        <w:r w:rsidRPr="008016BD">
          <w:rPr>
            <w:rStyle w:val="Lienhypertexte"/>
            <w:noProof/>
          </w:rPr>
          <w:t>4.8</w:t>
        </w:r>
        <w:r w:rsidRPr="008016BD">
          <w:rPr>
            <w:rStyle w:val="Lienhypertexte"/>
            <w:noProof/>
            <w:lang w:val="en-US"/>
          </w:rPr>
          <w:t xml:space="preserve"> Advance of science and technology</w:t>
        </w:r>
        <w:r>
          <w:rPr>
            <w:noProof/>
            <w:webHidden/>
          </w:rPr>
          <w:tab/>
        </w:r>
        <w:r>
          <w:rPr>
            <w:noProof/>
            <w:webHidden/>
          </w:rPr>
          <w:fldChar w:fldCharType="begin"/>
        </w:r>
        <w:r>
          <w:rPr>
            <w:noProof/>
            <w:webHidden/>
          </w:rPr>
          <w:instrText xml:space="preserve"> PAGEREF _Toc456011922 \h </w:instrText>
        </w:r>
        <w:r>
          <w:rPr>
            <w:noProof/>
            <w:webHidden/>
          </w:rPr>
        </w:r>
        <w:r>
          <w:rPr>
            <w:noProof/>
            <w:webHidden/>
          </w:rPr>
          <w:fldChar w:fldCharType="separate"/>
        </w:r>
        <w:r w:rsidR="00173034">
          <w:rPr>
            <w:noProof/>
            <w:webHidden/>
          </w:rPr>
          <w:t>103</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923" w:history="1">
        <w:r w:rsidRPr="008016BD">
          <w:rPr>
            <w:rStyle w:val="Lienhypertexte"/>
            <w:noProof/>
          </w:rPr>
          <w:t>5 Hazard combinations</w:t>
        </w:r>
        <w:r>
          <w:rPr>
            <w:noProof/>
            <w:webHidden/>
          </w:rPr>
          <w:tab/>
        </w:r>
        <w:r>
          <w:rPr>
            <w:noProof/>
            <w:webHidden/>
          </w:rPr>
          <w:fldChar w:fldCharType="begin"/>
        </w:r>
        <w:r>
          <w:rPr>
            <w:noProof/>
            <w:webHidden/>
          </w:rPr>
          <w:instrText xml:space="preserve"> PAGEREF _Toc456011923 \h </w:instrText>
        </w:r>
        <w:r>
          <w:rPr>
            <w:noProof/>
            <w:webHidden/>
          </w:rPr>
        </w:r>
        <w:r>
          <w:rPr>
            <w:noProof/>
            <w:webHidden/>
          </w:rPr>
          <w:fldChar w:fldCharType="separate"/>
        </w:r>
        <w:r w:rsidR="00173034">
          <w:rPr>
            <w:noProof/>
            <w:webHidden/>
          </w:rPr>
          <w:t>105</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4" w:history="1">
        <w:r w:rsidRPr="008016BD">
          <w:rPr>
            <w:rStyle w:val="Lienhypertexte"/>
            <w:noProof/>
          </w:rPr>
          <w:t>5.1</w:t>
        </w:r>
        <w:r w:rsidRPr="008016BD">
          <w:rPr>
            <w:rStyle w:val="Lienhypertexte"/>
            <w:noProof/>
            <w:lang w:val="en-US"/>
          </w:rPr>
          <w:t xml:space="preserve"> Correlated hazards</w:t>
        </w:r>
        <w:r>
          <w:rPr>
            <w:noProof/>
            <w:webHidden/>
          </w:rPr>
          <w:tab/>
        </w:r>
        <w:r>
          <w:rPr>
            <w:noProof/>
            <w:webHidden/>
          </w:rPr>
          <w:fldChar w:fldCharType="begin"/>
        </w:r>
        <w:r>
          <w:rPr>
            <w:noProof/>
            <w:webHidden/>
          </w:rPr>
          <w:instrText xml:space="preserve"> PAGEREF _Toc456011924 \h </w:instrText>
        </w:r>
        <w:r>
          <w:rPr>
            <w:noProof/>
            <w:webHidden/>
          </w:rPr>
        </w:r>
        <w:r>
          <w:rPr>
            <w:noProof/>
            <w:webHidden/>
          </w:rPr>
          <w:fldChar w:fldCharType="separate"/>
        </w:r>
        <w:r w:rsidR="00173034">
          <w:rPr>
            <w:noProof/>
            <w:webHidden/>
          </w:rPr>
          <w:t>106</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5" w:history="1">
        <w:r w:rsidRPr="008016BD">
          <w:rPr>
            <w:rStyle w:val="Lienhypertexte"/>
            <w:noProof/>
          </w:rPr>
          <w:t>5.2</w:t>
        </w:r>
        <w:r w:rsidRPr="008016BD">
          <w:rPr>
            <w:rStyle w:val="Lienhypertexte"/>
            <w:noProof/>
            <w:lang w:val="en-US"/>
          </w:rPr>
          <w:t xml:space="preserve"> Associated hazards</w:t>
        </w:r>
        <w:r>
          <w:rPr>
            <w:noProof/>
            <w:webHidden/>
          </w:rPr>
          <w:tab/>
        </w:r>
        <w:r>
          <w:rPr>
            <w:noProof/>
            <w:webHidden/>
          </w:rPr>
          <w:fldChar w:fldCharType="begin"/>
        </w:r>
        <w:r>
          <w:rPr>
            <w:noProof/>
            <w:webHidden/>
          </w:rPr>
          <w:instrText xml:space="preserve"> PAGEREF _Toc456011925 \h </w:instrText>
        </w:r>
        <w:r>
          <w:rPr>
            <w:noProof/>
            <w:webHidden/>
          </w:rPr>
        </w:r>
        <w:r>
          <w:rPr>
            <w:noProof/>
            <w:webHidden/>
          </w:rPr>
          <w:fldChar w:fldCharType="separate"/>
        </w:r>
        <w:r w:rsidR="00173034">
          <w:rPr>
            <w:noProof/>
            <w:webHidden/>
          </w:rPr>
          <w:t>108</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6" w:history="1">
        <w:r w:rsidRPr="008016BD">
          <w:rPr>
            <w:rStyle w:val="Lienhypertexte"/>
            <w:noProof/>
          </w:rPr>
          <w:t>5.3</w:t>
        </w:r>
        <w:r w:rsidRPr="008016BD">
          <w:rPr>
            <w:rStyle w:val="Lienhypertexte"/>
            <w:noProof/>
            <w:lang w:val="en-US"/>
          </w:rPr>
          <w:t xml:space="preserve"> Screening of correlated hazards</w:t>
        </w:r>
        <w:r>
          <w:rPr>
            <w:noProof/>
            <w:webHidden/>
          </w:rPr>
          <w:tab/>
        </w:r>
        <w:r>
          <w:rPr>
            <w:noProof/>
            <w:webHidden/>
          </w:rPr>
          <w:fldChar w:fldCharType="begin"/>
        </w:r>
        <w:r>
          <w:rPr>
            <w:noProof/>
            <w:webHidden/>
          </w:rPr>
          <w:instrText xml:space="preserve"> PAGEREF _Toc456011926 \h </w:instrText>
        </w:r>
        <w:r>
          <w:rPr>
            <w:noProof/>
            <w:webHidden/>
          </w:rPr>
        </w:r>
        <w:r>
          <w:rPr>
            <w:noProof/>
            <w:webHidden/>
          </w:rPr>
          <w:fldChar w:fldCharType="separate"/>
        </w:r>
        <w:r w:rsidR="00173034">
          <w:rPr>
            <w:noProof/>
            <w:webHidden/>
          </w:rPr>
          <w:t>108</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7" w:history="1">
        <w:r w:rsidRPr="008016BD">
          <w:rPr>
            <w:rStyle w:val="Lienhypertexte"/>
            <w:noProof/>
          </w:rPr>
          <w:t>5.4</w:t>
        </w:r>
        <w:r w:rsidRPr="008016BD">
          <w:rPr>
            <w:rStyle w:val="Lienhypertexte"/>
            <w:noProof/>
            <w:lang w:val="en-US"/>
          </w:rPr>
          <w:t xml:space="preserve"> Methods for the assessment of hazard combinations</w:t>
        </w:r>
        <w:r>
          <w:rPr>
            <w:noProof/>
            <w:webHidden/>
          </w:rPr>
          <w:tab/>
        </w:r>
        <w:r>
          <w:rPr>
            <w:noProof/>
            <w:webHidden/>
          </w:rPr>
          <w:fldChar w:fldCharType="begin"/>
        </w:r>
        <w:r>
          <w:rPr>
            <w:noProof/>
            <w:webHidden/>
          </w:rPr>
          <w:instrText xml:space="preserve"> PAGEREF _Toc456011927 \h </w:instrText>
        </w:r>
        <w:r>
          <w:rPr>
            <w:noProof/>
            <w:webHidden/>
          </w:rPr>
        </w:r>
        <w:r>
          <w:rPr>
            <w:noProof/>
            <w:webHidden/>
          </w:rPr>
          <w:fldChar w:fldCharType="separate"/>
        </w:r>
        <w:r w:rsidR="00173034">
          <w:rPr>
            <w:noProof/>
            <w:webHidden/>
          </w:rPr>
          <w:t>110</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8" w:history="1">
        <w:r w:rsidRPr="008016BD">
          <w:rPr>
            <w:rStyle w:val="Lienhypertexte"/>
            <w:noProof/>
          </w:rPr>
          <w:t>5.5</w:t>
        </w:r>
        <w:r w:rsidRPr="008016BD">
          <w:rPr>
            <w:rStyle w:val="Lienhypertexte"/>
            <w:noProof/>
            <w:lang w:val="en-US"/>
          </w:rPr>
          <w:t xml:space="preserve"> Examples of hazard combinations</w:t>
        </w:r>
        <w:r>
          <w:rPr>
            <w:noProof/>
            <w:webHidden/>
          </w:rPr>
          <w:tab/>
        </w:r>
        <w:r>
          <w:rPr>
            <w:noProof/>
            <w:webHidden/>
          </w:rPr>
          <w:fldChar w:fldCharType="begin"/>
        </w:r>
        <w:r>
          <w:rPr>
            <w:noProof/>
            <w:webHidden/>
          </w:rPr>
          <w:instrText xml:space="preserve"> PAGEREF _Toc456011928 \h </w:instrText>
        </w:r>
        <w:r>
          <w:rPr>
            <w:noProof/>
            <w:webHidden/>
          </w:rPr>
        </w:r>
        <w:r>
          <w:rPr>
            <w:noProof/>
            <w:webHidden/>
          </w:rPr>
          <w:fldChar w:fldCharType="separate"/>
        </w:r>
        <w:r w:rsidR="00173034">
          <w:rPr>
            <w:noProof/>
            <w:webHidden/>
          </w:rPr>
          <w:t>115</w:t>
        </w:r>
        <w:r>
          <w:rPr>
            <w:noProof/>
            <w:webHidden/>
          </w:rPr>
          <w:fldChar w:fldCharType="end"/>
        </w:r>
      </w:hyperlink>
    </w:p>
    <w:p w:rsidR="000E529B" w:rsidRDefault="000E529B">
      <w:pPr>
        <w:pStyle w:val="TM2"/>
        <w:tabs>
          <w:tab w:val="right" w:leader="dot" w:pos="9345"/>
        </w:tabs>
        <w:rPr>
          <w:rFonts w:asciiTheme="minorHAnsi" w:eastAsiaTheme="minorEastAsia" w:hAnsiTheme="minorHAnsi" w:cstheme="minorBidi"/>
          <w:bCs w:val="0"/>
          <w:noProof/>
          <w:sz w:val="22"/>
          <w:lang w:val="fr-FR"/>
        </w:rPr>
      </w:pPr>
      <w:hyperlink w:anchor="_Toc456011929" w:history="1">
        <w:r w:rsidRPr="008016BD">
          <w:rPr>
            <w:rStyle w:val="Lienhypertexte"/>
            <w:noProof/>
          </w:rPr>
          <w:t>5.6</w:t>
        </w:r>
        <w:r w:rsidRPr="008016BD">
          <w:rPr>
            <w:rStyle w:val="Lienhypertexte"/>
            <w:noProof/>
            <w:lang w:val="en-US"/>
          </w:rPr>
          <w:t xml:space="preserve"> Assessment of coincident hazards</w:t>
        </w:r>
        <w:r>
          <w:rPr>
            <w:noProof/>
            <w:webHidden/>
          </w:rPr>
          <w:tab/>
        </w:r>
        <w:r>
          <w:rPr>
            <w:noProof/>
            <w:webHidden/>
          </w:rPr>
          <w:fldChar w:fldCharType="begin"/>
        </w:r>
        <w:r>
          <w:rPr>
            <w:noProof/>
            <w:webHidden/>
          </w:rPr>
          <w:instrText xml:space="preserve"> PAGEREF _Toc456011929 \h </w:instrText>
        </w:r>
        <w:r>
          <w:rPr>
            <w:noProof/>
            <w:webHidden/>
          </w:rPr>
        </w:r>
        <w:r>
          <w:rPr>
            <w:noProof/>
            <w:webHidden/>
          </w:rPr>
          <w:fldChar w:fldCharType="separate"/>
        </w:r>
        <w:r w:rsidR="00173034">
          <w:rPr>
            <w:noProof/>
            <w:webHidden/>
          </w:rPr>
          <w:t>117</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930" w:history="1">
        <w:r w:rsidRPr="008016BD">
          <w:rPr>
            <w:rStyle w:val="Lienhypertexte"/>
            <w:noProof/>
          </w:rPr>
          <w:t>6 Conclusion and recommendations</w:t>
        </w:r>
        <w:r>
          <w:rPr>
            <w:noProof/>
            <w:webHidden/>
          </w:rPr>
          <w:tab/>
        </w:r>
        <w:r>
          <w:rPr>
            <w:noProof/>
            <w:webHidden/>
          </w:rPr>
          <w:fldChar w:fldCharType="begin"/>
        </w:r>
        <w:r>
          <w:rPr>
            <w:noProof/>
            <w:webHidden/>
          </w:rPr>
          <w:instrText xml:space="preserve"> PAGEREF _Toc456011930 \h </w:instrText>
        </w:r>
        <w:r>
          <w:rPr>
            <w:noProof/>
            <w:webHidden/>
          </w:rPr>
        </w:r>
        <w:r>
          <w:rPr>
            <w:noProof/>
            <w:webHidden/>
          </w:rPr>
          <w:fldChar w:fldCharType="separate"/>
        </w:r>
        <w:r w:rsidR="00173034">
          <w:rPr>
            <w:noProof/>
            <w:webHidden/>
          </w:rPr>
          <w:t>118</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931" w:history="1">
        <w:r w:rsidRPr="008016BD">
          <w:rPr>
            <w:rStyle w:val="Lienhypertexte"/>
            <w:noProof/>
          </w:rPr>
          <w:t>7 List of tables</w:t>
        </w:r>
        <w:r>
          <w:rPr>
            <w:noProof/>
            <w:webHidden/>
          </w:rPr>
          <w:tab/>
        </w:r>
        <w:r>
          <w:rPr>
            <w:noProof/>
            <w:webHidden/>
          </w:rPr>
          <w:fldChar w:fldCharType="begin"/>
        </w:r>
        <w:r>
          <w:rPr>
            <w:noProof/>
            <w:webHidden/>
          </w:rPr>
          <w:instrText xml:space="preserve"> PAGEREF _Toc456011931 \h </w:instrText>
        </w:r>
        <w:r>
          <w:rPr>
            <w:noProof/>
            <w:webHidden/>
          </w:rPr>
        </w:r>
        <w:r>
          <w:rPr>
            <w:noProof/>
            <w:webHidden/>
          </w:rPr>
          <w:fldChar w:fldCharType="separate"/>
        </w:r>
        <w:r w:rsidR="00173034">
          <w:rPr>
            <w:noProof/>
            <w:webHidden/>
          </w:rPr>
          <w:t>121</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932" w:history="1">
        <w:r w:rsidRPr="008016BD">
          <w:rPr>
            <w:rStyle w:val="Lienhypertexte"/>
            <w:noProof/>
          </w:rPr>
          <w:t>8 List of figures</w:t>
        </w:r>
        <w:r>
          <w:rPr>
            <w:noProof/>
            <w:webHidden/>
          </w:rPr>
          <w:tab/>
        </w:r>
        <w:r>
          <w:rPr>
            <w:noProof/>
            <w:webHidden/>
          </w:rPr>
          <w:fldChar w:fldCharType="begin"/>
        </w:r>
        <w:r>
          <w:rPr>
            <w:noProof/>
            <w:webHidden/>
          </w:rPr>
          <w:instrText xml:space="preserve"> PAGEREF _Toc456011932 \h </w:instrText>
        </w:r>
        <w:r>
          <w:rPr>
            <w:noProof/>
            <w:webHidden/>
          </w:rPr>
        </w:r>
        <w:r>
          <w:rPr>
            <w:noProof/>
            <w:webHidden/>
          </w:rPr>
          <w:fldChar w:fldCharType="separate"/>
        </w:r>
        <w:r w:rsidR="00173034">
          <w:rPr>
            <w:noProof/>
            <w:webHidden/>
          </w:rPr>
          <w:t>122</w:t>
        </w:r>
        <w:r>
          <w:rPr>
            <w:noProof/>
            <w:webHidden/>
          </w:rPr>
          <w:fldChar w:fldCharType="end"/>
        </w:r>
      </w:hyperlink>
    </w:p>
    <w:p w:rsidR="000E529B" w:rsidRDefault="000E529B">
      <w:pPr>
        <w:pStyle w:val="TM1"/>
        <w:tabs>
          <w:tab w:val="right" w:leader="dot" w:pos="9345"/>
        </w:tabs>
        <w:rPr>
          <w:rFonts w:asciiTheme="minorHAnsi" w:eastAsiaTheme="minorEastAsia" w:hAnsiTheme="minorHAnsi" w:cstheme="minorBidi"/>
          <w:bCs w:val="0"/>
          <w:iCs w:val="0"/>
          <w:noProof/>
          <w:sz w:val="22"/>
          <w:szCs w:val="22"/>
          <w:lang w:val="fr-FR"/>
        </w:rPr>
      </w:pPr>
      <w:hyperlink w:anchor="_Toc456011933" w:history="1">
        <w:r w:rsidRPr="008016BD">
          <w:rPr>
            <w:rStyle w:val="Lienhypertexte"/>
            <w:noProof/>
          </w:rPr>
          <w:t>9 List of References</w:t>
        </w:r>
        <w:r>
          <w:rPr>
            <w:noProof/>
            <w:webHidden/>
          </w:rPr>
          <w:tab/>
        </w:r>
        <w:r>
          <w:rPr>
            <w:noProof/>
            <w:webHidden/>
          </w:rPr>
          <w:fldChar w:fldCharType="begin"/>
        </w:r>
        <w:r>
          <w:rPr>
            <w:noProof/>
            <w:webHidden/>
          </w:rPr>
          <w:instrText xml:space="preserve"> PAGEREF _Toc456011933 \h </w:instrText>
        </w:r>
        <w:r>
          <w:rPr>
            <w:noProof/>
            <w:webHidden/>
          </w:rPr>
        </w:r>
        <w:r>
          <w:rPr>
            <w:noProof/>
            <w:webHidden/>
          </w:rPr>
          <w:fldChar w:fldCharType="separate"/>
        </w:r>
        <w:r w:rsidR="00173034">
          <w:rPr>
            <w:noProof/>
            <w:webHidden/>
          </w:rPr>
          <w:t>124</w:t>
        </w:r>
        <w:r>
          <w:rPr>
            <w:noProof/>
            <w:webHidden/>
          </w:rPr>
          <w:fldChar w:fldCharType="end"/>
        </w:r>
      </w:hyperlink>
    </w:p>
    <w:p w:rsidR="00615235" w:rsidRPr="00E055C6" w:rsidRDefault="00EA51A0">
      <w:r w:rsidRPr="00860D1D">
        <w:rPr>
          <w:rFonts w:ascii="Calibri" w:hAnsi="Calibri"/>
          <w:sz w:val="22"/>
          <w:szCs w:val="22"/>
        </w:rPr>
        <w:fldChar w:fldCharType="end"/>
      </w:r>
    </w:p>
    <w:p w:rsidR="009A1C44" w:rsidRDefault="00C464FF" w:rsidP="009A1C44">
      <w:pPr>
        <w:pStyle w:val="Titre1"/>
        <w:numPr>
          <w:ilvl w:val="0"/>
          <w:numId w:val="0"/>
        </w:numPr>
      </w:pPr>
      <w:bookmarkStart w:id="16" w:name="_Toc274673961"/>
      <w:r>
        <w:br w:type="page"/>
      </w:r>
      <w:bookmarkStart w:id="17" w:name="_Toc456011863"/>
      <w:r w:rsidR="009A1C44" w:rsidRPr="00E055C6">
        <w:lastRenderedPageBreak/>
        <w:t>G</w:t>
      </w:r>
      <w:r w:rsidR="00E03116">
        <w:t>lossary</w:t>
      </w:r>
      <w:bookmarkEnd w:id="16"/>
      <w:bookmarkEnd w:id="17"/>
    </w:p>
    <w:p w:rsidR="000A6F63" w:rsidRPr="000A6F63" w:rsidRDefault="000A6F63" w:rsidP="000A6F63"/>
    <w:tbl>
      <w:tblPr>
        <w:tblW w:w="8860" w:type="dxa"/>
        <w:tblInd w:w="118" w:type="dxa"/>
        <w:tblLook w:val="04A0" w:firstRow="1" w:lastRow="0" w:firstColumn="1" w:lastColumn="0" w:noHBand="0" w:noVBand="1"/>
      </w:tblPr>
      <w:tblGrid>
        <w:gridCol w:w="1184"/>
        <w:gridCol w:w="7676"/>
      </w:tblGrid>
      <w:tr w:rsidR="000A6F63" w:rsidRPr="00136FAE" w:rsidTr="00A63CAC">
        <w:trPr>
          <w:trHeight w:val="300"/>
        </w:trPr>
        <w:tc>
          <w:tcPr>
            <w:tcW w:w="11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AEP</w:t>
            </w:r>
          </w:p>
        </w:tc>
        <w:tc>
          <w:tcPr>
            <w:tcW w:w="7676" w:type="dxa"/>
            <w:tcBorders>
              <w:top w:val="single" w:sz="8" w:space="0" w:color="auto"/>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Annual Exceedance Probability</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 xml:space="preserve">AHEAD </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European Archive of Historical Earthquake Data</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ARP</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Alarm Response Procedure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CCF</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Common Cause Failure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CDF</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Core Damage Frequency</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CTM</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Centroid-Moment-Tensor (Earthquake)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DBE</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Design Basis Earthquake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DEC</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Design Extension Conditions</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DEC-A</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 xml:space="preserve">DEC without fuel damage </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DEC-B</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 xml:space="preserve">DEC with postulated fuel damage </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DEM</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Digital Elevation Model</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DG</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Diesel Generator</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DPD</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Discrete Probability Distributions</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DSG</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Design Safety Guide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DSHA</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Deterministic Seismic Hazard Assessment</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EMSC</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 xml:space="preserve">European-Mediterranean Seismological Centre </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szCs w:val="18"/>
                <w:lang w:eastAsia="en-GB"/>
              </w:rPr>
            </w:pPr>
            <w:r w:rsidRPr="00136FAE">
              <w:rPr>
                <w:szCs w:val="18"/>
                <w:lang w:eastAsia="en-GB"/>
              </w:rPr>
              <w:t>ENSREG</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European Nuclear Safety Regulators Group</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EOP</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Emergency Operating Procedure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EPRI</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Electric Power Research Institute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szCs w:val="18"/>
                <w:lang w:eastAsia="en-GB"/>
              </w:rPr>
            </w:pPr>
            <w:r w:rsidRPr="00136FAE">
              <w:rPr>
                <w:szCs w:val="18"/>
                <w:lang w:eastAsia="en-GB"/>
              </w:rPr>
              <w:t>EPRI</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Electric Power Research Institute (U.S.)</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EPZ</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Emergency Planning Zones</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ETL</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Event Tree Linking</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FDF</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Fuel Damage Frequency</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szCs w:val="18"/>
                <w:lang w:eastAsia="en-GB"/>
              </w:rPr>
            </w:pPr>
            <w:r w:rsidRPr="00136FAE">
              <w:rPr>
                <w:szCs w:val="18"/>
                <w:lang w:eastAsia="en-GB"/>
              </w:rPr>
              <w:t>FDSN</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International Federation of Digital Seismograph Networks</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FTL</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Fault Tree Linking</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GIS</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Geographical Informatiuon System</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GMPE</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Ground Motion Prediction Equation</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 xml:space="preserve">GPR </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Ground Penetrating Radar</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GPS</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Global Positioning System</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GR</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000000"/>
                <w:szCs w:val="18"/>
                <w:lang w:eastAsia="en-GB"/>
              </w:rPr>
            </w:pPr>
            <w:r w:rsidRPr="00136FAE">
              <w:rPr>
                <w:color w:val="000000"/>
                <w:szCs w:val="18"/>
                <w:lang w:eastAsia="en-GB"/>
              </w:rPr>
              <w:t>Gutenberg-Richter-Relation (Earthquake)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HCLPF</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High Confidence of Low Probability of Failure</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HEP</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Human Error Probability</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color w:val="AEAAAA"/>
                <w:szCs w:val="18"/>
                <w:lang w:eastAsia="en-GB"/>
              </w:rPr>
            </w:pPr>
            <w:r w:rsidRPr="00136FAE">
              <w:rPr>
                <w:color w:val="AEAAAA"/>
                <w:szCs w:val="18"/>
                <w:lang w:eastAsia="en-GB"/>
              </w:rPr>
              <w:t>HFE</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color w:val="AEAAAA"/>
                <w:szCs w:val="18"/>
                <w:lang w:eastAsia="en-GB"/>
              </w:rPr>
            </w:pPr>
            <w:r w:rsidRPr="00136FAE">
              <w:rPr>
                <w:color w:val="AEAAAA"/>
                <w:szCs w:val="18"/>
                <w:lang w:eastAsia="en-GB"/>
              </w:rPr>
              <w:t>Human Failure Events</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0A6F63" w:rsidRPr="00136FAE" w:rsidRDefault="000A6F63" w:rsidP="000A6F63">
            <w:pPr>
              <w:spacing w:line="240" w:lineRule="auto"/>
              <w:rPr>
                <w:szCs w:val="18"/>
                <w:lang w:eastAsia="en-GB"/>
              </w:rPr>
            </w:pPr>
            <w:r w:rsidRPr="00136FAE">
              <w:rPr>
                <w:szCs w:val="18"/>
                <w:lang w:eastAsia="en-GB"/>
              </w:rPr>
              <w:t>HRA</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Human Reliability Analysis</w:t>
            </w:r>
          </w:p>
        </w:tc>
      </w:tr>
      <w:tr w:rsidR="000A6F63"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0A6F63" w:rsidRPr="00136FAE" w:rsidRDefault="000A6F63" w:rsidP="000A6F63">
            <w:pPr>
              <w:spacing w:line="240" w:lineRule="auto"/>
              <w:jc w:val="left"/>
              <w:rPr>
                <w:szCs w:val="18"/>
                <w:lang w:eastAsia="en-GB"/>
              </w:rPr>
            </w:pPr>
            <w:r w:rsidRPr="00136FAE">
              <w:rPr>
                <w:szCs w:val="18"/>
                <w:lang w:eastAsia="en-GB"/>
              </w:rPr>
              <w:t>IAEA</w:t>
            </w:r>
          </w:p>
        </w:tc>
        <w:tc>
          <w:tcPr>
            <w:tcW w:w="7676" w:type="dxa"/>
            <w:tcBorders>
              <w:top w:val="nil"/>
              <w:left w:val="nil"/>
              <w:bottom w:val="single" w:sz="4" w:space="0" w:color="auto"/>
              <w:right w:val="single" w:sz="8" w:space="0" w:color="auto"/>
            </w:tcBorders>
            <w:shd w:val="clear" w:color="auto" w:fill="auto"/>
            <w:vAlign w:val="center"/>
            <w:hideMark/>
          </w:tcPr>
          <w:p w:rsidR="000A6F63" w:rsidRPr="00136FAE" w:rsidRDefault="000A6F63" w:rsidP="000A6F63">
            <w:pPr>
              <w:spacing w:line="240" w:lineRule="auto"/>
              <w:jc w:val="left"/>
              <w:rPr>
                <w:szCs w:val="18"/>
                <w:lang w:eastAsia="en-GB"/>
              </w:rPr>
            </w:pPr>
            <w:r w:rsidRPr="00136FAE">
              <w:rPr>
                <w:szCs w:val="18"/>
                <w:lang w:eastAsia="en-GB"/>
              </w:rPr>
              <w:t>International Atomic Energy Agency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tcPr>
          <w:p w:rsidR="00A63CAC" w:rsidRPr="00136FAE" w:rsidRDefault="00A63CAC" w:rsidP="00A63CAC">
            <w:pPr>
              <w:spacing w:line="240" w:lineRule="auto"/>
              <w:rPr>
                <w:szCs w:val="18"/>
                <w:lang w:eastAsia="en-GB"/>
              </w:rPr>
            </w:pPr>
            <w:r w:rsidRPr="00136FAE">
              <w:rPr>
                <w:szCs w:val="18"/>
                <w:lang w:eastAsia="en-GB"/>
              </w:rPr>
              <w:t>IEMS-98</w:t>
            </w:r>
          </w:p>
        </w:tc>
        <w:tc>
          <w:tcPr>
            <w:tcW w:w="7676" w:type="dxa"/>
            <w:tcBorders>
              <w:top w:val="nil"/>
              <w:left w:val="nil"/>
              <w:bottom w:val="single" w:sz="4" w:space="0" w:color="auto"/>
              <w:right w:val="single" w:sz="8" w:space="0" w:color="auto"/>
            </w:tcBorders>
            <w:shd w:val="clear" w:color="auto" w:fill="auto"/>
            <w:vAlign w:val="center"/>
          </w:tcPr>
          <w:p w:rsidR="00A63CAC" w:rsidRPr="00136FAE" w:rsidRDefault="00A63CAC" w:rsidP="00A63CAC">
            <w:pPr>
              <w:spacing w:line="240" w:lineRule="auto"/>
              <w:jc w:val="left"/>
              <w:rPr>
                <w:szCs w:val="18"/>
                <w:lang w:eastAsia="en-GB"/>
              </w:rPr>
            </w:pPr>
            <w:r w:rsidRPr="00136FAE">
              <w:rPr>
                <w:szCs w:val="18"/>
                <w:lang w:eastAsia="en-GB"/>
              </w:rPr>
              <w:t>Earthquake intensity measured by the European Macroseismic Scale 1998</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tcPr>
          <w:p w:rsidR="00A63CAC" w:rsidRPr="00136FAE" w:rsidRDefault="00A63CAC" w:rsidP="00A63CAC">
            <w:pPr>
              <w:spacing w:line="240" w:lineRule="auto"/>
              <w:rPr>
                <w:szCs w:val="18"/>
                <w:lang w:eastAsia="en-GB"/>
              </w:rPr>
            </w:pPr>
            <w:r w:rsidRPr="00136FAE">
              <w:rPr>
                <w:szCs w:val="18"/>
                <w:lang w:eastAsia="en-GB"/>
              </w:rPr>
              <w:t>IESI-2007</w:t>
            </w:r>
          </w:p>
        </w:tc>
        <w:tc>
          <w:tcPr>
            <w:tcW w:w="7676" w:type="dxa"/>
            <w:tcBorders>
              <w:top w:val="nil"/>
              <w:left w:val="nil"/>
              <w:bottom w:val="single" w:sz="4" w:space="0" w:color="auto"/>
              <w:right w:val="single" w:sz="8" w:space="0" w:color="auto"/>
            </w:tcBorders>
            <w:shd w:val="clear" w:color="auto" w:fill="auto"/>
            <w:vAlign w:val="center"/>
          </w:tcPr>
          <w:p w:rsidR="00A63CAC" w:rsidRPr="00136FAE" w:rsidRDefault="00A63CAC" w:rsidP="00A63CAC">
            <w:pPr>
              <w:spacing w:line="240" w:lineRule="auto"/>
              <w:jc w:val="left"/>
              <w:rPr>
                <w:szCs w:val="18"/>
                <w:lang w:eastAsia="en-GB"/>
              </w:rPr>
            </w:pPr>
            <w:r w:rsidRPr="00136FAE">
              <w:rPr>
                <w:szCs w:val="18"/>
                <w:lang w:eastAsia="en-GB"/>
              </w:rPr>
              <w:t>Earthquake intensity measured by the Environmental Intensity Scale ESI-2007</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IPEEE</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 xml:space="preserve">Individual Plant Examination of External Events </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ISRS</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In Structure Response Spectra</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ITC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Inrormed Technical Community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lastRenderedPageBreak/>
              <w:t>KTA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Kerntechnischer Ausschuss (Germany)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LBM</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Lower Bound Magnitude (=m0)</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LERF</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Large Early Release Frequency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LIDAR</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Light Detection And Ranging (producing DEM data)</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LOCA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Loss of Coolant Accidents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LOOP</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Loss of Off-Site Power</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MCS</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Monte Carlo Simulation</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Mmax</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Maximum Magnitude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Mw</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Moment Magnitude (Earthquake)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NDC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NPH Design Category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NPH</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Natural Phenomena Hazards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NPP</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Nuclear Power Plant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NPP</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Nuclear Power Plant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NR</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Near-region (25 km radius from NPP site)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NRC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(US) Nuclear Regulatory Commission</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NSC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Nuclear Safety Commission, Japan</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NUREG</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NUREG-Series Publications (U.S.NRC)</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OBE</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Operational Base Earthquake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OECD</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Organisation for Economic Co-operation and Development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OECD/NEA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Nuclear Energy Agency of OECD</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PDF</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Probability Density Functions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PFDHA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 xml:space="preserve">Probabilistic Fault Displacement Hazard Analysis </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 xml:space="preserve">PFDHA </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Probabilistic Fault Displacement Hazard Analysis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PGA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Peak Ground Acceleration</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PGAH</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Peak Ground Acceleration in horizontal direction</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PGAV</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Peak Ground Acceleration in vertical direction</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POS</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Plant Operational State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PSA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Probabilistic Safety Assessment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PSF</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Performance Shaping Factor</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PSHA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Probabilistic Seismic Hazard Analysis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PSR</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Periodic Safety Review</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 xml:space="preserve">PTDHA </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Probabilisitic Tectonic Deformation Hazard Analysis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 xml:space="preserve">PTDHA </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Probabilisitic Tectonic Deformation Hazard Analysis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RE</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Region (50 km radius from NPP site)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RHWG</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Reactor Harmonization Working Group</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tcPr>
          <w:p w:rsidR="00A63CAC" w:rsidRPr="00136FAE" w:rsidRDefault="00A63CAC" w:rsidP="00A63CAC">
            <w:pPr>
              <w:spacing w:line="240" w:lineRule="auto"/>
              <w:rPr>
                <w:szCs w:val="18"/>
                <w:lang w:eastAsia="en-GB"/>
              </w:rPr>
            </w:pPr>
            <w:r w:rsidRPr="00136FAE">
              <w:rPr>
                <w:szCs w:val="18"/>
                <w:lang w:eastAsia="en-GB"/>
              </w:rPr>
              <w:t>RS</w:t>
            </w:r>
          </w:p>
        </w:tc>
        <w:tc>
          <w:tcPr>
            <w:tcW w:w="7676" w:type="dxa"/>
            <w:tcBorders>
              <w:top w:val="nil"/>
              <w:left w:val="nil"/>
              <w:bottom w:val="single" w:sz="4" w:space="0" w:color="auto"/>
              <w:right w:val="single" w:sz="8" w:space="0" w:color="auto"/>
            </w:tcBorders>
            <w:shd w:val="clear" w:color="auto" w:fill="auto"/>
            <w:vAlign w:val="center"/>
          </w:tcPr>
          <w:p w:rsidR="00A63CAC" w:rsidRPr="00136FAE" w:rsidRDefault="00A63CAC" w:rsidP="00A63CAC">
            <w:pPr>
              <w:spacing w:line="240" w:lineRule="auto"/>
              <w:jc w:val="left"/>
              <w:rPr>
                <w:szCs w:val="18"/>
                <w:lang w:eastAsia="en-GB"/>
              </w:rPr>
            </w:pPr>
            <w:r w:rsidRPr="00136FAE">
              <w:rPr>
                <w:szCs w:val="18"/>
                <w:lang w:eastAsia="en-GB"/>
              </w:rPr>
              <w:t>Remote Sensing (satellite imagery)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SAM</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Severe Accident Management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SAR</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Safety Analysis Report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SBO</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Station Black Out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AEAAAA"/>
                <w:szCs w:val="18"/>
                <w:lang w:eastAsia="en-GB"/>
              </w:rPr>
            </w:pPr>
            <w:r w:rsidRPr="00136FAE">
              <w:rPr>
                <w:color w:val="AEAAAA"/>
                <w:szCs w:val="18"/>
                <w:lang w:eastAsia="en-GB"/>
              </w:rPr>
              <w:t>SFP</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AEAAAA"/>
                <w:szCs w:val="18"/>
                <w:lang w:eastAsia="en-GB"/>
              </w:rPr>
            </w:pPr>
            <w:r w:rsidRPr="00136FAE">
              <w:rPr>
                <w:color w:val="AEAAAA"/>
                <w:szCs w:val="18"/>
                <w:lang w:eastAsia="en-GB"/>
              </w:rPr>
              <w:t>Spent fuel Pool</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SHA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Seismic Hazard Analysis</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SHARE</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Seismic Hazard Harmonization in Europe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SI</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NPP site (area under contoll of the licenee)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lastRenderedPageBreak/>
              <w:t>SMA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Seismic Margin Assessment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SPSA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Seismic Probabilistic Safety Assessment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color w:val="000000"/>
                <w:szCs w:val="18"/>
                <w:lang w:eastAsia="en-GB"/>
              </w:rPr>
            </w:pPr>
            <w:r w:rsidRPr="00136FAE">
              <w:rPr>
                <w:color w:val="000000"/>
                <w:szCs w:val="18"/>
                <w:lang w:eastAsia="en-GB"/>
              </w:rPr>
              <w:t>SSC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Structure System and Component</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SSHAC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 xml:space="preserve">Senior Seismic Hazard Analysis Committee </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SV</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Site vicinity (5 km radius from NPP site)</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TC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 xml:space="preserve">Technical (or Scientific) Community </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 xml:space="preserve">TCEF </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Tempral Course of Earthquake Frequency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TFI</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Technical Facilitator / Integrator (SSHAC)</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TI</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Technical Integrator (SSHAC)</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U.S.NRC</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U.S. Nuclear Regulatory Commission</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USGS</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U.S. Geological Survey</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szCs w:val="18"/>
                <w:lang w:eastAsia="en-GB"/>
              </w:rPr>
            </w:pPr>
            <w:r w:rsidRPr="00136FAE">
              <w:rPr>
                <w:szCs w:val="18"/>
                <w:lang w:eastAsia="en-GB"/>
              </w:rPr>
              <w:t xml:space="preserve">VS30 </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Shear wave velocity in uppermost 30 m of soil/rock</w:t>
            </w:r>
          </w:p>
        </w:tc>
      </w:tr>
      <w:tr w:rsidR="00A63CAC" w:rsidRPr="00136FAE" w:rsidTr="00A63CAC">
        <w:trPr>
          <w:trHeight w:val="300"/>
        </w:trPr>
        <w:tc>
          <w:tcPr>
            <w:tcW w:w="1184" w:type="dxa"/>
            <w:tcBorders>
              <w:top w:val="nil"/>
              <w:left w:val="single" w:sz="8" w:space="0" w:color="auto"/>
              <w:bottom w:val="single" w:sz="4" w:space="0" w:color="auto"/>
              <w:right w:val="single" w:sz="4" w:space="0" w:color="auto"/>
            </w:tcBorders>
            <w:shd w:val="clear" w:color="auto" w:fill="auto"/>
            <w:vAlign w:val="center"/>
            <w:hideMark/>
          </w:tcPr>
          <w:p w:rsidR="00A63CAC" w:rsidRPr="00136FAE" w:rsidRDefault="00A63CAC" w:rsidP="00A63CAC">
            <w:pPr>
              <w:spacing w:line="240" w:lineRule="auto"/>
              <w:rPr>
                <w:szCs w:val="18"/>
                <w:lang w:eastAsia="en-GB"/>
              </w:rPr>
            </w:pPr>
            <w:r w:rsidRPr="00136FAE">
              <w:rPr>
                <w:szCs w:val="18"/>
                <w:lang w:eastAsia="en-GB"/>
              </w:rPr>
              <w:t>WENRA</w:t>
            </w:r>
          </w:p>
        </w:tc>
        <w:tc>
          <w:tcPr>
            <w:tcW w:w="7676" w:type="dxa"/>
            <w:tcBorders>
              <w:top w:val="nil"/>
              <w:left w:val="nil"/>
              <w:bottom w:val="single" w:sz="4" w:space="0" w:color="auto"/>
              <w:right w:val="single" w:sz="8" w:space="0" w:color="auto"/>
            </w:tcBorders>
            <w:shd w:val="clear" w:color="auto" w:fill="auto"/>
            <w:vAlign w:val="center"/>
            <w:hideMark/>
          </w:tcPr>
          <w:p w:rsidR="00A63CAC" w:rsidRPr="00136FAE" w:rsidRDefault="00A63CAC" w:rsidP="00A63CAC">
            <w:pPr>
              <w:spacing w:line="240" w:lineRule="auto"/>
              <w:jc w:val="left"/>
              <w:rPr>
                <w:szCs w:val="18"/>
                <w:lang w:eastAsia="en-GB"/>
              </w:rPr>
            </w:pPr>
            <w:r w:rsidRPr="00136FAE">
              <w:rPr>
                <w:szCs w:val="18"/>
                <w:lang w:eastAsia="en-GB"/>
              </w:rPr>
              <w:t>Western European Regulator's Association</w:t>
            </w:r>
          </w:p>
        </w:tc>
      </w:tr>
      <w:tr w:rsidR="00A63CAC" w:rsidRPr="00136FAE" w:rsidTr="00A63CAC">
        <w:trPr>
          <w:trHeight w:val="300"/>
        </w:trPr>
        <w:tc>
          <w:tcPr>
            <w:tcW w:w="1184" w:type="dxa"/>
            <w:tcBorders>
              <w:top w:val="nil"/>
              <w:left w:val="single" w:sz="8" w:space="0" w:color="auto"/>
              <w:bottom w:val="single" w:sz="8" w:space="0" w:color="auto"/>
              <w:right w:val="single" w:sz="4" w:space="0" w:color="auto"/>
            </w:tcBorders>
            <w:shd w:val="clear" w:color="auto" w:fill="auto"/>
            <w:noWrap/>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WSM</w:t>
            </w:r>
          </w:p>
        </w:tc>
        <w:tc>
          <w:tcPr>
            <w:tcW w:w="7676" w:type="dxa"/>
            <w:tcBorders>
              <w:top w:val="nil"/>
              <w:left w:val="nil"/>
              <w:bottom w:val="single" w:sz="8" w:space="0" w:color="auto"/>
              <w:right w:val="single" w:sz="8" w:space="0" w:color="auto"/>
            </w:tcBorders>
            <w:shd w:val="clear" w:color="auto" w:fill="auto"/>
            <w:vAlign w:val="center"/>
            <w:hideMark/>
          </w:tcPr>
          <w:p w:rsidR="00A63CAC" w:rsidRPr="00136FAE" w:rsidRDefault="00A63CAC" w:rsidP="00A63CAC">
            <w:pPr>
              <w:spacing w:line="240" w:lineRule="auto"/>
              <w:jc w:val="left"/>
              <w:rPr>
                <w:color w:val="000000"/>
                <w:szCs w:val="18"/>
                <w:lang w:eastAsia="en-GB"/>
              </w:rPr>
            </w:pPr>
            <w:r w:rsidRPr="00136FAE">
              <w:rPr>
                <w:color w:val="000000"/>
                <w:szCs w:val="18"/>
                <w:lang w:eastAsia="en-GB"/>
              </w:rPr>
              <w:t xml:space="preserve">World Stress Map </w:t>
            </w:r>
          </w:p>
        </w:tc>
      </w:tr>
    </w:tbl>
    <w:p w:rsidR="000A6F63" w:rsidRPr="00136FAE" w:rsidRDefault="000A6F63" w:rsidP="000A6F63">
      <w:pPr>
        <w:rPr>
          <w:szCs w:val="18"/>
        </w:rPr>
      </w:pPr>
    </w:p>
    <w:p w:rsidR="00753DFF" w:rsidRPr="00753DFF" w:rsidRDefault="006C51B3" w:rsidP="006D3E87">
      <w:pPr>
        <w:pStyle w:val="Titre1"/>
        <w:numPr>
          <w:ilvl w:val="0"/>
          <w:numId w:val="0"/>
        </w:numPr>
      </w:pPr>
      <w:r>
        <w:br w:type="page"/>
      </w:r>
      <w:bookmarkStart w:id="18" w:name="_Toc456011864"/>
      <w:r w:rsidR="006D3E87">
        <w:lastRenderedPageBreak/>
        <w:t>D</w:t>
      </w:r>
      <w:r w:rsidR="00E03116">
        <w:t>efinitions</w:t>
      </w:r>
      <w:bookmarkEnd w:id="18"/>
    </w:p>
    <w:p w:rsidR="000A6F63" w:rsidRDefault="000A6F63" w:rsidP="00961A7E">
      <w:pPr>
        <w:pStyle w:val="Corpsdetexte"/>
        <w:ind w:left="0"/>
      </w:pPr>
    </w:p>
    <w:p w:rsidR="00A8394B" w:rsidRDefault="00A8394B" w:rsidP="00961A7E">
      <w:pPr>
        <w:pStyle w:val="Corpsdetexte"/>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27"/>
      </w:tblGrid>
      <w:tr w:rsidR="00961A7E" w:rsidRPr="00CA5450" w:rsidTr="00EC412F">
        <w:tc>
          <w:tcPr>
            <w:tcW w:w="2268" w:type="dxa"/>
            <w:vAlign w:val="center"/>
          </w:tcPr>
          <w:p w:rsidR="00961A7E" w:rsidRPr="00E94F10" w:rsidRDefault="00961A7E" w:rsidP="007F622A">
            <w:pPr>
              <w:pStyle w:val="Corpsdetexte"/>
              <w:ind w:left="0"/>
              <w:rPr>
                <w:rFonts w:ascii="Trebuchet MS" w:hAnsi="Trebuchet MS" w:cs="TimesTen-BoldItalic"/>
                <w:b/>
                <w:bCs/>
                <w:iCs/>
                <w:color w:val="000000"/>
                <w:sz w:val="18"/>
                <w:szCs w:val="18"/>
                <w:lang w:eastAsia="sv-SE"/>
              </w:rPr>
            </w:pPr>
            <w:r w:rsidRPr="00E94F10">
              <w:rPr>
                <w:rFonts w:ascii="Trebuchet MS" w:hAnsi="Trebuchet MS" w:cs="TimesTen-BoldItalic"/>
                <w:b/>
                <w:bCs/>
                <w:iCs/>
                <w:color w:val="000000"/>
                <w:sz w:val="18"/>
                <w:szCs w:val="18"/>
                <w:lang w:eastAsia="sv-SE"/>
              </w:rPr>
              <w:t>Accident Sequence Ana</w:t>
            </w:r>
            <w:r w:rsidRPr="00E94F10">
              <w:rPr>
                <w:rFonts w:ascii="Trebuchet MS" w:hAnsi="Trebuchet MS" w:cs="TimesTen-BoldItalic"/>
                <w:b/>
                <w:bCs/>
                <w:iCs/>
                <w:color w:val="000000"/>
                <w:sz w:val="18"/>
                <w:szCs w:val="18"/>
                <w:lang w:eastAsia="sv-SE"/>
              </w:rPr>
              <w:t>l</w:t>
            </w:r>
            <w:r w:rsidRPr="00E94F10">
              <w:rPr>
                <w:rFonts w:ascii="Trebuchet MS" w:hAnsi="Trebuchet MS" w:cs="TimesTen-BoldItalic"/>
                <w:b/>
                <w:bCs/>
                <w:iCs/>
                <w:color w:val="000000"/>
                <w:sz w:val="18"/>
                <w:szCs w:val="18"/>
                <w:lang w:eastAsia="sv-SE"/>
              </w:rPr>
              <w:t>ysis</w:t>
            </w:r>
          </w:p>
        </w:tc>
        <w:tc>
          <w:tcPr>
            <w:tcW w:w="7227" w:type="dxa"/>
            <w:vAlign w:val="center"/>
          </w:tcPr>
          <w:p w:rsidR="00961A7E" w:rsidRPr="00CA5450" w:rsidRDefault="00961A7E" w:rsidP="007F622A">
            <w:pPr>
              <w:autoSpaceDE w:val="0"/>
              <w:autoSpaceDN w:val="0"/>
              <w:adjustRightInd w:val="0"/>
              <w:spacing w:line="240" w:lineRule="auto"/>
              <w:jc w:val="left"/>
              <w:rPr>
                <w:rFonts w:cs="TimesTen-Roman"/>
                <w:color w:val="000000"/>
                <w:szCs w:val="18"/>
                <w:lang w:val="en-US" w:eastAsia="sv-SE"/>
              </w:rPr>
            </w:pPr>
            <w:r>
              <w:rPr>
                <w:rFonts w:cs="TimesTen-Roman"/>
                <w:color w:val="000000"/>
                <w:szCs w:val="18"/>
                <w:lang w:val="en-US" w:eastAsia="sv-SE"/>
              </w:rPr>
              <w:t>The process to determine the combinations of initiating events, safety functions, and system failures and successes that may lead to core damage or large early release.</w:t>
            </w:r>
          </w:p>
        </w:tc>
      </w:tr>
      <w:tr w:rsidR="00E555C7" w:rsidRPr="00CA5450" w:rsidTr="00EC412F">
        <w:tc>
          <w:tcPr>
            <w:tcW w:w="2268" w:type="dxa"/>
            <w:vAlign w:val="center"/>
          </w:tcPr>
          <w:p w:rsidR="00E555C7" w:rsidRPr="00E94F10" w:rsidRDefault="00E555C7" w:rsidP="007F622A">
            <w:pPr>
              <w:pStyle w:val="Corpsdetexte"/>
              <w:ind w:left="0"/>
              <w:rPr>
                <w:rFonts w:ascii="Trebuchet MS" w:hAnsi="Trebuchet MS" w:cs="TimesTen-BoldItalic"/>
                <w:b/>
                <w:bCs/>
                <w:iCs/>
                <w:color w:val="000000"/>
                <w:sz w:val="18"/>
                <w:szCs w:val="18"/>
                <w:lang w:eastAsia="sv-SE"/>
              </w:rPr>
            </w:pPr>
            <w:r>
              <w:rPr>
                <w:rFonts w:ascii="Trebuchet MS" w:hAnsi="Trebuchet MS" w:cs="TimesTen-BoldItalic"/>
                <w:b/>
                <w:bCs/>
                <w:iCs/>
                <w:color w:val="000000"/>
                <w:sz w:val="18"/>
                <w:szCs w:val="18"/>
                <w:lang w:eastAsia="sv-SE"/>
              </w:rPr>
              <w:t xml:space="preserve">Aleatoric Uncertainty </w:t>
            </w:r>
          </w:p>
        </w:tc>
        <w:tc>
          <w:tcPr>
            <w:tcW w:w="7227" w:type="dxa"/>
            <w:vAlign w:val="center"/>
          </w:tcPr>
          <w:p w:rsidR="00E555C7" w:rsidRDefault="00E555C7" w:rsidP="00E555C7">
            <w:pPr>
              <w:autoSpaceDE w:val="0"/>
              <w:autoSpaceDN w:val="0"/>
              <w:adjustRightInd w:val="0"/>
              <w:spacing w:line="240" w:lineRule="auto"/>
              <w:jc w:val="left"/>
              <w:rPr>
                <w:rFonts w:cs="TimesTen-Roman"/>
                <w:color w:val="000000"/>
                <w:szCs w:val="18"/>
                <w:lang w:val="en-US" w:eastAsia="sv-SE"/>
              </w:rPr>
            </w:pPr>
            <w:r>
              <w:rPr>
                <w:rFonts w:cs="TimesTen-Roman"/>
                <w:color w:val="000000"/>
                <w:szCs w:val="18"/>
                <w:lang w:val="en-US" w:eastAsia="sv-SE"/>
              </w:rPr>
              <w:t xml:space="preserve">Uncertainty inherent in a random (stochastic) phenomenon reflected by modelling the phenomenon by a probabilistic approach. Aleatoric uncertainty cannot be reduced by additional information or data. </w:t>
            </w:r>
          </w:p>
        </w:tc>
      </w:tr>
      <w:tr w:rsidR="00961A7E" w:rsidRPr="00CA5450" w:rsidTr="00EC412F">
        <w:tc>
          <w:tcPr>
            <w:tcW w:w="2268" w:type="dxa"/>
            <w:vAlign w:val="center"/>
          </w:tcPr>
          <w:p w:rsidR="00961A7E" w:rsidRPr="00E94F10" w:rsidRDefault="00961A7E" w:rsidP="007F622A">
            <w:pPr>
              <w:pStyle w:val="Corpsdetexte"/>
              <w:ind w:left="0"/>
              <w:rPr>
                <w:rFonts w:ascii="Trebuchet MS" w:hAnsi="Trebuchet MS" w:cs="TimesTen-BoldItalic"/>
                <w:b/>
                <w:bCs/>
                <w:iCs/>
                <w:color w:val="000000"/>
                <w:sz w:val="18"/>
                <w:szCs w:val="18"/>
                <w:lang w:eastAsia="sv-SE"/>
              </w:rPr>
            </w:pPr>
            <w:r w:rsidRPr="00E94F10">
              <w:rPr>
                <w:rFonts w:ascii="Trebuchet MS" w:hAnsi="Trebuchet MS" w:cs="TimesTen-BoldItalic"/>
                <w:b/>
                <w:bCs/>
                <w:iCs/>
                <w:color w:val="000000"/>
                <w:sz w:val="18"/>
                <w:szCs w:val="18"/>
                <w:lang w:eastAsia="sv-SE"/>
              </w:rPr>
              <w:t>Bounding Analysis</w:t>
            </w:r>
          </w:p>
        </w:tc>
        <w:tc>
          <w:tcPr>
            <w:tcW w:w="7227" w:type="dxa"/>
            <w:vAlign w:val="center"/>
          </w:tcPr>
          <w:p w:rsidR="00961A7E" w:rsidRDefault="00961A7E" w:rsidP="007F622A">
            <w:pPr>
              <w:autoSpaceDE w:val="0"/>
              <w:autoSpaceDN w:val="0"/>
              <w:adjustRightInd w:val="0"/>
              <w:spacing w:line="240" w:lineRule="auto"/>
              <w:jc w:val="left"/>
              <w:rPr>
                <w:rFonts w:cs="TimesTen-Roman"/>
                <w:color w:val="000000"/>
                <w:szCs w:val="18"/>
                <w:lang w:val="en-US" w:eastAsia="sv-SE"/>
              </w:rPr>
            </w:pPr>
            <w:r>
              <w:rPr>
                <w:rFonts w:cs="TimesTen-Roman"/>
                <w:color w:val="000000"/>
                <w:szCs w:val="18"/>
                <w:lang w:val="en-US" w:eastAsia="sv-SE"/>
              </w:rPr>
              <w:t>Analysis that uses assumptions such that assessed outcome will meet or exceed the ma</w:t>
            </w:r>
            <w:r>
              <w:rPr>
                <w:rFonts w:cs="TimesTen-Roman"/>
                <w:color w:val="000000"/>
                <w:szCs w:val="18"/>
                <w:lang w:val="en-US" w:eastAsia="sv-SE"/>
              </w:rPr>
              <w:t>x</w:t>
            </w:r>
            <w:r>
              <w:rPr>
                <w:rFonts w:cs="TimesTen-Roman"/>
                <w:color w:val="000000"/>
                <w:szCs w:val="18"/>
                <w:lang w:val="en-US" w:eastAsia="sv-SE"/>
              </w:rPr>
              <w:t>imum severity of all credible outcomes.</w:t>
            </w:r>
          </w:p>
        </w:tc>
      </w:tr>
      <w:tr w:rsidR="00961A7E" w:rsidRPr="00CA5450" w:rsidTr="00EC412F">
        <w:tc>
          <w:tcPr>
            <w:tcW w:w="2268" w:type="dxa"/>
            <w:vAlign w:val="center"/>
          </w:tcPr>
          <w:p w:rsidR="00961A7E" w:rsidRPr="00E94F10" w:rsidRDefault="00961A7E" w:rsidP="007F622A">
            <w:pPr>
              <w:pStyle w:val="Corpsdetexte"/>
              <w:ind w:left="0"/>
              <w:rPr>
                <w:rFonts w:ascii="Trebuchet MS" w:hAnsi="Trebuchet MS"/>
                <w:b/>
                <w:color w:val="000000"/>
                <w:sz w:val="18"/>
                <w:szCs w:val="18"/>
              </w:rPr>
            </w:pPr>
            <w:r w:rsidRPr="00E94F10">
              <w:rPr>
                <w:rFonts w:ascii="Trebuchet MS" w:hAnsi="Trebuchet MS" w:cs="TimesTen-Bold"/>
                <w:b/>
                <w:bCs/>
                <w:color w:val="000000"/>
                <w:sz w:val="18"/>
                <w:szCs w:val="18"/>
                <w:lang w:val="sv-SE" w:eastAsia="sv-SE"/>
              </w:rPr>
              <w:t>Cliff Edge Effect</w:t>
            </w:r>
          </w:p>
        </w:tc>
        <w:tc>
          <w:tcPr>
            <w:tcW w:w="7227" w:type="dxa"/>
            <w:vAlign w:val="center"/>
          </w:tcPr>
          <w:p w:rsidR="00961A7E" w:rsidRPr="00CA5450" w:rsidRDefault="00961A7E" w:rsidP="007F622A">
            <w:pPr>
              <w:autoSpaceDE w:val="0"/>
              <w:autoSpaceDN w:val="0"/>
              <w:adjustRightInd w:val="0"/>
              <w:spacing w:line="240" w:lineRule="auto"/>
              <w:jc w:val="left"/>
              <w:rPr>
                <w:color w:val="000000"/>
                <w:szCs w:val="18"/>
                <w:lang w:val="en-US"/>
              </w:rPr>
            </w:pPr>
            <w:r w:rsidRPr="00CA5450">
              <w:rPr>
                <w:rFonts w:cs="TimesTen-Roman"/>
                <w:color w:val="000000"/>
                <w:szCs w:val="18"/>
                <w:lang w:val="en-US" w:eastAsia="sv-SE"/>
              </w:rPr>
              <w:t>In a nuclear power plant, an instance of severely abno</w:t>
            </w:r>
            <w:r w:rsidRPr="00CA5450">
              <w:rPr>
                <w:rFonts w:cs="TimesTen-Roman"/>
                <w:color w:val="000000"/>
                <w:szCs w:val="18"/>
                <w:lang w:val="en-US" w:eastAsia="sv-SE"/>
              </w:rPr>
              <w:t>r</w:t>
            </w:r>
            <w:r w:rsidRPr="00CA5450">
              <w:rPr>
                <w:rFonts w:cs="TimesTen-Roman"/>
                <w:color w:val="000000"/>
                <w:szCs w:val="18"/>
                <w:lang w:val="en-US" w:eastAsia="sv-SE"/>
              </w:rPr>
              <w:t xml:space="preserve">mal plant behaviour caused by an abrupt transition from one plant status to another following a small </w:t>
            </w:r>
            <w:r w:rsidRPr="00CA5450">
              <w:rPr>
                <w:rFonts w:cs="TimesTen-Italic"/>
                <w:i/>
                <w:iCs/>
                <w:color w:val="000000"/>
                <w:szCs w:val="18"/>
                <w:lang w:val="en-US" w:eastAsia="sv-SE"/>
              </w:rPr>
              <w:t xml:space="preserve">deviation </w:t>
            </w:r>
            <w:r w:rsidRPr="00CA5450">
              <w:rPr>
                <w:rFonts w:cs="TimesTen-Roman"/>
                <w:color w:val="000000"/>
                <w:szCs w:val="18"/>
                <w:lang w:val="en-US" w:eastAsia="sv-SE"/>
              </w:rPr>
              <w:t>in a plant parameter, and thus a sudden large variation in plant conditions in response to a small variation in an input.</w:t>
            </w:r>
          </w:p>
        </w:tc>
      </w:tr>
      <w:tr w:rsidR="00DD4760" w:rsidRPr="00CA5450" w:rsidTr="00F10FCA">
        <w:tc>
          <w:tcPr>
            <w:tcW w:w="2268" w:type="dxa"/>
            <w:vAlign w:val="center"/>
          </w:tcPr>
          <w:p w:rsidR="00DD4760" w:rsidRDefault="00DD4760" w:rsidP="00F10FCA">
            <w:pPr>
              <w:pStyle w:val="Corpsdetexte"/>
              <w:ind w:left="0"/>
              <w:jc w:val="left"/>
              <w:rPr>
                <w:rFonts w:ascii="Trebuchet MS" w:hAnsi="Trebuchet MS" w:cs="TimesTen-Bold"/>
                <w:b/>
                <w:bCs/>
                <w:color w:val="000000"/>
                <w:sz w:val="18"/>
                <w:szCs w:val="18"/>
                <w:lang w:eastAsia="sv-SE"/>
              </w:rPr>
            </w:pPr>
            <w:r>
              <w:rPr>
                <w:rFonts w:ascii="Trebuchet MS" w:hAnsi="Trebuchet MS" w:cs="TimesTen-Bold"/>
                <w:b/>
                <w:bCs/>
                <w:color w:val="000000"/>
                <w:sz w:val="18"/>
                <w:szCs w:val="18"/>
                <w:lang w:eastAsia="sv-SE"/>
              </w:rPr>
              <w:t>Dangerous Occurrence,</w:t>
            </w:r>
          </w:p>
          <w:p w:rsidR="00DD4760" w:rsidRPr="00E94F10" w:rsidRDefault="00DD4760" w:rsidP="00F10FCA">
            <w:pPr>
              <w:pStyle w:val="Corpsdetexte"/>
              <w:ind w:left="0"/>
              <w:jc w:val="left"/>
              <w:rPr>
                <w:rFonts w:ascii="Trebuchet MS" w:hAnsi="Trebuchet MS" w:cs="TimesTen-Bold"/>
                <w:b/>
                <w:bCs/>
                <w:color w:val="000000"/>
                <w:sz w:val="18"/>
                <w:szCs w:val="18"/>
                <w:lang w:eastAsia="sv-SE"/>
              </w:rPr>
            </w:pPr>
            <w:r>
              <w:rPr>
                <w:rFonts w:ascii="Trebuchet MS" w:hAnsi="Trebuchet MS" w:cs="TimesTen-Bold"/>
                <w:b/>
                <w:bCs/>
                <w:color w:val="000000"/>
                <w:sz w:val="18"/>
                <w:szCs w:val="18"/>
                <w:lang w:eastAsia="sv-SE"/>
              </w:rPr>
              <w:t>Incident</w:t>
            </w:r>
          </w:p>
        </w:tc>
        <w:tc>
          <w:tcPr>
            <w:tcW w:w="7227" w:type="dxa"/>
            <w:vAlign w:val="center"/>
          </w:tcPr>
          <w:p w:rsidR="00DD4760" w:rsidRPr="00C66E95" w:rsidRDefault="00DD4760" w:rsidP="00F10FCA">
            <w:pPr>
              <w:autoSpaceDE w:val="0"/>
              <w:autoSpaceDN w:val="0"/>
              <w:adjustRightInd w:val="0"/>
              <w:spacing w:line="240" w:lineRule="auto"/>
              <w:jc w:val="left"/>
              <w:rPr>
                <w:rFonts w:cs="Arial"/>
                <w:color w:val="000000"/>
                <w:szCs w:val="18"/>
                <w:lang w:val="en-US" w:eastAsia="sv-SE"/>
              </w:rPr>
            </w:pPr>
            <w:r w:rsidRPr="00C66E95">
              <w:rPr>
                <w:rFonts w:cs="Arial"/>
                <w:color w:val="000000"/>
                <w:szCs w:val="18"/>
                <w:lang w:val="en-US" w:eastAsia="sv-SE"/>
              </w:rPr>
              <w:t>A dangerous occurrence is an unplanned and undesired occurrence (incident) which has the potential to cause injury and which may or may not cause damage to prope</w:t>
            </w:r>
            <w:r w:rsidRPr="00C66E95">
              <w:rPr>
                <w:rFonts w:cs="Arial"/>
                <w:color w:val="000000"/>
                <w:szCs w:val="18"/>
                <w:lang w:val="en-US" w:eastAsia="sv-SE"/>
              </w:rPr>
              <w:t>r</w:t>
            </w:r>
            <w:r w:rsidRPr="00C66E95">
              <w:rPr>
                <w:rFonts w:cs="Arial"/>
                <w:color w:val="000000"/>
                <w:szCs w:val="18"/>
                <w:lang w:val="en-US" w:eastAsia="sv-SE"/>
              </w:rPr>
              <w:t>ty, equipment or the environment.</w:t>
            </w:r>
          </w:p>
        </w:tc>
      </w:tr>
      <w:tr w:rsidR="00961A7E" w:rsidRPr="00CA5450" w:rsidTr="00EC412F">
        <w:tc>
          <w:tcPr>
            <w:tcW w:w="2268" w:type="dxa"/>
            <w:vAlign w:val="center"/>
          </w:tcPr>
          <w:p w:rsidR="00961A7E" w:rsidRPr="00E94F10" w:rsidRDefault="00961A7E" w:rsidP="007F622A">
            <w:pPr>
              <w:pStyle w:val="Corpsdetexte"/>
              <w:ind w:left="0"/>
              <w:rPr>
                <w:rFonts w:ascii="Trebuchet MS" w:hAnsi="Trebuchet MS"/>
                <w:b/>
                <w:color w:val="000000"/>
                <w:sz w:val="18"/>
                <w:szCs w:val="18"/>
              </w:rPr>
            </w:pPr>
            <w:r w:rsidRPr="00E94F10">
              <w:rPr>
                <w:rFonts w:ascii="Trebuchet MS" w:hAnsi="Trebuchet MS" w:cs="TimesTen-Bold"/>
                <w:b/>
                <w:bCs/>
                <w:color w:val="000000"/>
                <w:sz w:val="18"/>
                <w:szCs w:val="18"/>
                <w:lang w:val="sv-SE" w:eastAsia="sv-SE"/>
              </w:rPr>
              <w:t>Design Basis</w:t>
            </w:r>
          </w:p>
        </w:tc>
        <w:tc>
          <w:tcPr>
            <w:tcW w:w="7227" w:type="dxa"/>
            <w:vAlign w:val="center"/>
          </w:tcPr>
          <w:p w:rsidR="00961A7E" w:rsidRPr="00E75EA8" w:rsidRDefault="00961A7E" w:rsidP="007F622A">
            <w:pPr>
              <w:autoSpaceDE w:val="0"/>
              <w:autoSpaceDN w:val="0"/>
              <w:adjustRightInd w:val="0"/>
              <w:spacing w:line="240" w:lineRule="auto"/>
              <w:jc w:val="left"/>
              <w:rPr>
                <w:rFonts w:cs="TimesTen-Roman"/>
                <w:color w:val="000000"/>
                <w:szCs w:val="18"/>
                <w:lang w:val="en-US" w:eastAsia="sv-SE"/>
              </w:rPr>
            </w:pPr>
            <w:r w:rsidRPr="00E75EA8">
              <w:rPr>
                <w:rFonts w:cs="TimesTen-Roman"/>
                <w:color w:val="000000"/>
                <w:szCs w:val="18"/>
                <w:lang w:val="en-US" w:eastAsia="sv-SE"/>
              </w:rPr>
              <w:t xml:space="preserve">The range of conditions and </w:t>
            </w:r>
            <w:r w:rsidRPr="00E75EA8">
              <w:rPr>
                <w:rFonts w:cs="TimesTen-Italic"/>
                <w:i/>
                <w:iCs/>
                <w:color w:val="000000"/>
                <w:szCs w:val="18"/>
                <w:lang w:val="en-US" w:eastAsia="sv-SE"/>
              </w:rPr>
              <w:t xml:space="preserve">events </w:t>
            </w:r>
            <w:r w:rsidRPr="00E75EA8">
              <w:rPr>
                <w:rFonts w:cs="TimesTen-Roman"/>
                <w:color w:val="000000"/>
                <w:szCs w:val="18"/>
                <w:lang w:val="en-US" w:eastAsia="sv-SE"/>
              </w:rPr>
              <w:t xml:space="preserve">taken explicitly into account in the </w:t>
            </w:r>
            <w:r w:rsidRPr="00E75EA8">
              <w:rPr>
                <w:rFonts w:cs="TimesTen-Italic"/>
                <w:i/>
                <w:iCs/>
                <w:color w:val="000000"/>
                <w:szCs w:val="18"/>
                <w:lang w:val="en-US" w:eastAsia="sv-SE"/>
              </w:rPr>
              <w:t xml:space="preserve">design </w:t>
            </w:r>
            <w:r w:rsidRPr="00E75EA8">
              <w:rPr>
                <w:rFonts w:cs="TimesTen-Roman"/>
                <w:color w:val="000000"/>
                <w:szCs w:val="18"/>
                <w:lang w:val="en-US" w:eastAsia="sv-SE"/>
              </w:rPr>
              <w:t xml:space="preserve">of a </w:t>
            </w:r>
            <w:r w:rsidRPr="00E75EA8">
              <w:rPr>
                <w:rFonts w:cs="TimesTen-Italic"/>
                <w:i/>
                <w:iCs/>
                <w:color w:val="000000"/>
                <w:szCs w:val="18"/>
                <w:lang w:val="en-US" w:eastAsia="sv-SE"/>
              </w:rPr>
              <w:t>facility</w:t>
            </w:r>
            <w:r w:rsidRPr="00E75EA8">
              <w:rPr>
                <w:rFonts w:cs="TimesTen-Roman"/>
                <w:color w:val="000000"/>
                <w:szCs w:val="18"/>
                <w:lang w:val="en-US" w:eastAsia="sv-SE"/>
              </w:rPr>
              <w:t>, according to esta</w:t>
            </w:r>
            <w:r w:rsidRPr="00E75EA8">
              <w:rPr>
                <w:rFonts w:cs="TimesTen-Roman"/>
                <w:color w:val="000000"/>
                <w:szCs w:val="18"/>
                <w:lang w:val="en-US" w:eastAsia="sv-SE"/>
              </w:rPr>
              <w:t>b</w:t>
            </w:r>
            <w:r w:rsidRPr="00E75EA8">
              <w:rPr>
                <w:rFonts w:cs="TimesTen-Roman"/>
                <w:color w:val="000000"/>
                <w:szCs w:val="18"/>
                <w:lang w:val="en-US" w:eastAsia="sv-SE"/>
              </w:rPr>
              <w:t xml:space="preserve">lished criteria, such that the </w:t>
            </w:r>
            <w:r w:rsidRPr="00E75EA8">
              <w:rPr>
                <w:rFonts w:cs="TimesTen-Italic"/>
                <w:i/>
                <w:iCs/>
                <w:color w:val="000000"/>
                <w:szCs w:val="18"/>
                <w:lang w:val="en-US" w:eastAsia="sv-SE"/>
              </w:rPr>
              <w:t xml:space="preserve">facility </w:t>
            </w:r>
            <w:r w:rsidRPr="00E75EA8">
              <w:rPr>
                <w:rFonts w:cs="TimesTen-Roman"/>
                <w:color w:val="000000"/>
                <w:szCs w:val="18"/>
                <w:lang w:val="en-US" w:eastAsia="sv-SE"/>
              </w:rPr>
              <w:t>can withstand them without excee</w:t>
            </w:r>
            <w:r w:rsidRPr="00E75EA8">
              <w:rPr>
                <w:rFonts w:cs="TimesTen-Roman"/>
                <w:color w:val="000000"/>
                <w:szCs w:val="18"/>
                <w:lang w:val="en-US" w:eastAsia="sv-SE"/>
              </w:rPr>
              <w:t>d</w:t>
            </w:r>
            <w:r w:rsidRPr="00E75EA8">
              <w:rPr>
                <w:rFonts w:cs="TimesTen-Roman"/>
                <w:color w:val="000000"/>
                <w:szCs w:val="18"/>
                <w:lang w:val="en-US" w:eastAsia="sv-SE"/>
              </w:rPr>
              <w:t xml:space="preserve">ing </w:t>
            </w:r>
            <w:r w:rsidRPr="00E75EA8">
              <w:rPr>
                <w:rFonts w:cs="TimesTen-Italic"/>
                <w:i/>
                <w:iCs/>
                <w:color w:val="000000"/>
                <w:szCs w:val="18"/>
                <w:lang w:val="en-US" w:eastAsia="sv-SE"/>
              </w:rPr>
              <w:t xml:space="preserve">authorized limits </w:t>
            </w:r>
            <w:r w:rsidRPr="00E75EA8">
              <w:rPr>
                <w:rFonts w:cs="TimesTen-Roman"/>
                <w:color w:val="000000"/>
                <w:szCs w:val="18"/>
                <w:lang w:val="en-US" w:eastAsia="sv-SE"/>
              </w:rPr>
              <w:t xml:space="preserve">by the planned </w:t>
            </w:r>
            <w:r w:rsidRPr="00E75EA8">
              <w:rPr>
                <w:rFonts w:cs="TimesTen-Italic"/>
                <w:i/>
                <w:iCs/>
                <w:color w:val="000000"/>
                <w:szCs w:val="18"/>
                <w:lang w:val="en-US" w:eastAsia="sv-SE"/>
              </w:rPr>
              <w:t xml:space="preserve">operation </w:t>
            </w:r>
            <w:r w:rsidRPr="00E75EA8">
              <w:rPr>
                <w:rFonts w:cs="TimesTen-Roman"/>
                <w:color w:val="000000"/>
                <w:szCs w:val="18"/>
                <w:lang w:val="en-US" w:eastAsia="sv-SE"/>
              </w:rPr>
              <w:t xml:space="preserve">of </w:t>
            </w:r>
            <w:r w:rsidRPr="00E75EA8">
              <w:rPr>
                <w:rFonts w:cs="TimesTen-Italic"/>
                <w:i/>
                <w:iCs/>
                <w:color w:val="000000"/>
                <w:szCs w:val="18"/>
                <w:lang w:val="en-US" w:eastAsia="sv-SE"/>
              </w:rPr>
              <w:t>safety systems</w:t>
            </w:r>
            <w:r w:rsidRPr="00E75EA8">
              <w:rPr>
                <w:rFonts w:cs="TimesTen-Roman"/>
                <w:color w:val="000000"/>
                <w:szCs w:val="18"/>
                <w:lang w:val="en-US" w:eastAsia="sv-SE"/>
              </w:rPr>
              <w:t>.</w:t>
            </w:r>
          </w:p>
          <w:p w:rsidR="00E75EA8" w:rsidRPr="00DD4760" w:rsidRDefault="00E75EA8" w:rsidP="000A6F63">
            <w:pPr>
              <w:autoSpaceDE w:val="0"/>
              <w:autoSpaceDN w:val="0"/>
              <w:adjustRightInd w:val="0"/>
              <w:spacing w:line="240" w:lineRule="auto"/>
              <w:jc w:val="left"/>
              <w:rPr>
                <w:rFonts w:cs="TimesTen-Roman"/>
                <w:color w:val="000000"/>
                <w:szCs w:val="18"/>
                <w:highlight w:val="yellow"/>
                <w:lang w:val="en-US" w:eastAsia="sv-SE"/>
              </w:rPr>
            </w:pPr>
            <w:r>
              <w:rPr>
                <w:rFonts w:cs="TimesTen-Roman"/>
                <w:color w:val="000000"/>
                <w:szCs w:val="18"/>
                <w:highlight w:val="yellow"/>
                <w:lang w:val="en-US" w:eastAsia="sv-SE"/>
              </w:rPr>
              <w:t xml:space="preserve">To be </w:t>
            </w:r>
            <w:r w:rsidR="000A6F63">
              <w:rPr>
                <w:rFonts w:cs="TimesTen-Roman"/>
                <w:color w:val="000000"/>
                <w:szCs w:val="18"/>
                <w:highlight w:val="yellow"/>
                <w:lang w:val="en-US" w:eastAsia="sv-SE"/>
              </w:rPr>
              <w:t>adjusted</w:t>
            </w:r>
            <w:r>
              <w:rPr>
                <w:rFonts w:cs="TimesTen-Roman"/>
                <w:color w:val="000000"/>
                <w:szCs w:val="18"/>
                <w:highlight w:val="yellow"/>
                <w:lang w:val="en-US" w:eastAsia="sv-SE"/>
              </w:rPr>
              <w:t xml:space="preserve"> to WENRA 2014</w:t>
            </w:r>
          </w:p>
        </w:tc>
      </w:tr>
      <w:tr w:rsidR="00961A7E" w:rsidRPr="00CA5450" w:rsidTr="00EC412F">
        <w:tc>
          <w:tcPr>
            <w:tcW w:w="2268" w:type="dxa"/>
            <w:vAlign w:val="center"/>
          </w:tcPr>
          <w:p w:rsidR="00961A7E" w:rsidRPr="00E94F10" w:rsidRDefault="00961A7E" w:rsidP="00174177">
            <w:pPr>
              <w:pStyle w:val="Corpsdetexte"/>
              <w:ind w:left="0"/>
              <w:jc w:val="left"/>
              <w:rPr>
                <w:rFonts w:ascii="Trebuchet MS" w:hAnsi="Trebuchet MS"/>
                <w:b/>
                <w:color w:val="000000"/>
                <w:sz w:val="18"/>
                <w:szCs w:val="18"/>
              </w:rPr>
            </w:pPr>
            <w:r w:rsidRPr="00E94F10">
              <w:rPr>
                <w:rFonts w:ascii="Trebuchet MS" w:hAnsi="Trebuchet MS" w:cs="TimesTen-Bold"/>
                <w:b/>
                <w:bCs/>
                <w:color w:val="000000"/>
                <w:sz w:val="18"/>
                <w:szCs w:val="18"/>
                <w:lang w:val="sv-SE" w:eastAsia="sv-SE"/>
              </w:rPr>
              <w:t>Design Basis Exte</w:t>
            </w:r>
            <w:r w:rsidRPr="00E94F10">
              <w:rPr>
                <w:rFonts w:ascii="Trebuchet MS" w:hAnsi="Trebuchet MS" w:cs="TimesTen-Bold"/>
                <w:b/>
                <w:bCs/>
                <w:color w:val="000000"/>
                <w:sz w:val="18"/>
                <w:szCs w:val="18"/>
                <w:lang w:val="sv-SE" w:eastAsia="sv-SE"/>
              </w:rPr>
              <w:t>r</w:t>
            </w:r>
            <w:r w:rsidRPr="00E94F10">
              <w:rPr>
                <w:rFonts w:ascii="Trebuchet MS" w:hAnsi="Trebuchet MS" w:cs="TimesTen-Bold"/>
                <w:b/>
                <w:bCs/>
                <w:color w:val="000000"/>
                <w:sz w:val="18"/>
                <w:szCs w:val="18"/>
                <w:lang w:val="sv-SE" w:eastAsia="sv-SE"/>
              </w:rPr>
              <w:t>nal Events</w:t>
            </w:r>
          </w:p>
        </w:tc>
        <w:tc>
          <w:tcPr>
            <w:tcW w:w="7227" w:type="dxa"/>
            <w:vAlign w:val="center"/>
          </w:tcPr>
          <w:p w:rsidR="00961A7E" w:rsidRDefault="00961A7E" w:rsidP="007F622A">
            <w:pPr>
              <w:autoSpaceDE w:val="0"/>
              <w:autoSpaceDN w:val="0"/>
              <w:adjustRightInd w:val="0"/>
              <w:spacing w:line="240" w:lineRule="auto"/>
              <w:jc w:val="left"/>
              <w:rPr>
                <w:rFonts w:cs="TimesTen-Roman"/>
                <w:color w:val="000000"/>
                <w:szCs w:val="18"/>
                <w:lang w:val="en-US" w:eastAsia="sv-SE"/>
              </w:rPr>
            </w:pPr>
            <w:r w:rsidRPr="00E75EA8">
              <w:rPr>
                <w:rFonts w:cs="TimesTen-Roman"/>
                <w:color w:val="000000"/>
                <w:szCs w:val="18"/>
                <w:lang w:val="en-US" w:eastAsia="sv-SE"/>
              </w:rPr>
              <w:t xml:space="preserve">The </w:t>
            </w:r>
            <w:r w:rsidRPr="00E75EA8">
              <w:rPr>
                <w:rFonts w:cs="TimesTen-Italic"/>
                <w:i/>
                <w:iCs/>
                <w:color w:val="000000"/>
                <w:szCs w:val="18"/>
                <w:lang w:val="en-US" w:eastAsia="sv-SE"/>
              </w:rPr>
              <w:t xml:space="preserve">external event(s) </w:t>
            </w:r>
            <w:r w:rsidRPr="00E75EA8">
              <w:rPr>
                <w:rFonts w:cs="TimesTen-Roman"/>
                <w:color w:val="000000"/>
                <w:szCs w:val="18"/>
                <w:lang w:val="en-US" w:eastAsia="sv-SE"/>
              </w:rPr>
              <w:t xml:space="preserve">or combination(s) of </w:t>
            </w:r>
            <w:r w:rsidRPr="00E75EA8">
              <w:rPr>
                <w:rFonts w:cs="TimesTen-Italic"/>
                <w:i/>
                <w:iCs/>
                <w:color w:val="000000"/>
                <w:szCs w:val="18"/>
                <w:lang w:val="en-US" w:eastAsia="sv-SE"/>
              </w:rPr>
              <w:t xml:space="preserve">external events </w:t>
            </w:r>
            <w:r w:rsidRPr="00E75EA8">
              <w:rPr>
                <w:rFonts w:cs="TimesTen-Roman"/>
                <w:color w:val="000000"/>
                <w:szCs w:val="18"/>
                <w:lang w:val="en-US" w:eastAsia="sv-SE"/>
              </w:rPr>
              <w:t xml:space="preserve">considered in the </w:t>
            </w:r>
            <w:r w:rsidRPr="00E75EA8">
              <w:rPr>
                <w:rFonts w:cs="TimesTen-Italic"/>
                <w:i/>
                <w:iCs/>
                <w:color w:val="000000"/>
                <w:szCs w:val="18"/>
                <w:lang w:val="en-US" w:eastAsia="sv-SE"/>
              </w:rPr>
              <w:t xml:space="preserve">design basis </w:t>
            </w:r>
            <w:r w:rsidRPr="00E75EA8">
              <w:rPr>
                <w:rFonts w:cs="TimesTen-Roman"/>
                <w:color w:val="000000"/>
                <w:szCs w:val="18"/>
                <w:lang w:val="en-US" w:eastAsia="sv-SE"/>
              </w:rPr>
              <w:t xml:space="preserve">of all or any part of a </w:t>
            </w:r>
            <w:r w:rsidRPr="00E75EA8">
              <w:rPr>
                <w:rFonts w:cs="TimesTen-Italic"/>
                <w:i/>
                <w:iCs/>
                <w:color w:val="000000"/>
                <w:szCs w:val="18"/>
                <w:lang w:val="en-US" w:eastAsia="sv-SE"/>
              </w:rPr>
              <w:t>facility</w:t>
            </w:r>
            <w:r w:rsidRPr="00E75EA8">
              <w:rPr>
                <w:rFonts w:cs="TimesTen-Roman"/>
                <w:color w:val="000000"/>
                <w:szCs w:val="18"/>
                <w:lang w:val="en-US" w:eastAsia="sv-SE"/>
              </w:rPr>
              <w:t>.</w:t>
            </w:r>
          </w:p>
          <w:p w:rsidR="00E75EA8" w:rsidRPr="00CA5450" w:rsidRDefault="00E75EA8" w:rsidP="000A6F63">
            <w:pPr>
              <w:autoSpaceDE w:val="0"/>
              <w:autoSpaceDN w:val="0"/>
              <w:adjustRightInd w:val="0"/>
              <w:spacing w:line="240" w:lineRule="auto"/>
              <w:jc w:val="left"/>
              <w:rPr>
                <w:color w:val="000000"/>
                <w:szCs w:val="18"/>
                <w:lang w:val="en-US"/>
              </w:rPr>
            </w:pPr>
            <w:r>
              <w:rPr>
                <w:rFonts w:cs="TimesTen-Roman"/>
                <w:color w:val="000000"/>
                <w:szCs w:val="18"/>
                <w:highlight w:val="yellow"/>
                <w:lang w:val="en-US" w:eastAsia="sv-SE"/>
              </w:rPr>
              <w:t xml:space="preserve">To be </w:t>
            </w:r>
            <w:r w:rsidR="000A6F63">
              <w:rPr>
                <w:rFonts w:cs="TimesTen-Roman"/>
                <w:color w:val="000000"/>
                <w:szCs w:val="18"/>
                <w:highlight w:val="yellow"/>
                <w:lang w:val="en-US" w:eastAsia="sv-SE"/>
              </w:rPr>
              <w:t>adjusted</w:t>
            </w:r>
            <w:r>
              <w:rPr>
                <w:rFonts w:cs="TimesTen-Roman"/>
                <w:color w:val="000000"/>
                <w:szCs w:val="18"/>
                <w:highlight w:val="yellow"/>
                <w:lang w:val="en-US" w:eastAsia="sv-SE"/>
              </w:rPr>
              <w:t xml:space="preserve"> to WENRA 2014</w:t>
            </w:r>
          </w:p>
        </w:tc>
      </w:tr>
      <w:tr w:rsidR="004919D6" w:rsidRPr="00CA5450" w:rsidTr="00F10FCA">
        <w:tc>
          <w:tcPr>
            <w:tcW w:w="2268" w:type="dxa"/>
            <w:vAlign w:val="center"/>
          </w:tcPr>
          <w:p w:rsidR="004919D6" w:rsidRPr="00E94F10" w:rsidRDefault="004919D6" w:rsidP="00F10FCA">
            <w:pPr>
              <w:pStyle w:val="Corpsdetexte"/>
              <w:ind w:left="0"/>
              <w:rPr>
                <w:rFonts w:ascii="Trebuchet MS" w:hAnsi="Trebuchet MS" w:cs="Arial"/>
                <w:b/>
                <w:color w:val="000000"/>
                <w:sz w:val="18"/>
                <w:szCs w:val="18"/>
                <w:lang w:eastAsia="sv-SE"/>
              </w:rPr>
            </w:pPr>
            <w:r>
              <w:rPr>
                <w:rFonts w:ascii="Trebuchet MS" w:hAnsi="Trebuchet MS" w:cs="Arial,Bold"/>
                <w:b/>
                <w:bCs/>
                <w:color w:val="000000"/>
                <w:sz w:val="18"/>
                <w:szCs w:val="18"/>
                <w:lang w:val="sv-SE" w:eastAsia="sv-SE"/>
              </w:rPr>
              <w:t>Epistemic u</w:t>
            </w:r>
            <w:r w:rsidRPr="00E94F10">
              <w:rPr>
                <w:rFonts w:ascii="Trebuchet MS" w:hAnsi="Trebuchet MS" w:cs="Arial,Bold"/>
                <w:b/>
                <w:bCs/>
                <w:color w:val="000000"/>
                <w:sz w:val="18"/>
                <w:szCs w:val="18"/>
                <w:lang w:val="sv-SE" w:eastAsia="sv-SE"/>
              </w:rPr>
              <w:t>ncertainty</w:t>
            </w:r>
          </w:p>
        </w:tc>
        <w:tc>
          <w:tcPr>
            <w:tcW w:w="7227" w:type="dxa"/>
            <w:vAlign w:val="center"/>
          </w:tcPr>
          <w:p w:rsidR="004919D6" w:rsidRDefault="004919D6" w:rsidP="00F10FCA">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Uncertainty that is attributed to incomplete knowledge about a process or phenom</w:t>
            </w:r>
            <w:r>
              <w:rPr>
                <w:rFonts w:cs="Arial"/>
                <w:color w:val="000000"/>
                <w:szCs w:val="18"/>
                <w:lang w:val="en-US" w:eastAsia="sv-SE"/>
              </w:rPr>
              <w:t>e</w:t>
            </w:r>
            <w:r>
              <w:rPr>
                <w:rFonts w:cs="Arial"/>
                <w:color w:val="000000"/>
                <w:szCs w:val="18"/>
                <w:lang w:val="en-US" w:eastAsia="sv-SE"/>
              </w:rPr>
              <w:t>non which effects the ability to model it. Epistemic uncertainty is due to a variety of va</w:t>
            </w:r>
            <w:r w:rsidR="00D13DD8">
              <w:rPr>
                <w:rFonts w:cs="Arial"/>
                <w:color w:val="000000"/>
                <w:szCs w:val="18"/>
                <w:lang w:val="en-US" w:eastAsia="sv-SE"/>
              </w:rPr>
              <w:t>r</w:t>
            </w:r>
            <w:r>
              <w:rPr>
                <w:rFonts w:cs="Arial"/>
                <w:color w:val="000000"/>
                <w:szCs w:val="18"/>
                <w:lang w:val="en-US" w:eastAsia="sv-SE"/>
              </w:rPr>
              <w:t xml:space="preserve">iable models to describe a phenomenon, diverging expert opinion, etc. It may be reduced by the acquisition of additional information and data. </w:t>
            </w:r>
          </w:p>
          <w:p w:rsidR="004919D6" w:rsidRPr="00E378E5" w:rsidRDefault="004919D6" w:rsidP="00F10FCA">
            <w:pPr>
              <w:autoSpaceDE w:val="0"/>
              <w:autoSpaceDN w:val="0"/>
              <w:adjustRightInd w:val="0"/>
              <w:spacing w:line="240" w:lineRule="auto"/>
              <w:jc w:val="left"/>
              <w:rPr>
                <w:rFonts w:cs="Arial"/>
                <w:color w:val="000000"/>
                <w:szCs w:val="18"/>
                <w:lang w:val="en-US" w:eastAsia="sv-SE"/>
              </w:rPr>
            </w:pPr>
          </w:p>
        </w:tc>
      </w:tr>
      <w:tr w:rsidR="00DD4760" w:rsidRPr="00CA5450" w:rsidTr="00F10FCA">
        <w:tc>
          <w:tcPr>
            <w:tcW w:w="2268" w:type="dxa"/>
            <w:vAlign w:val="center"/>
          </w:tcPr>
          <w:p w:rsidR="00DD4760" w:rsidRPr="00E94F10" w:rsidRDefault="00DD4760" w:rsidP="00F10FCA">
            <w:pPr>
              <w:pStyle w:val="Corpsdetexte"/>
              <w:ind w:left="0"/>
              <w:rPr>
                <w:rFonts w:ascii="Trebuchet MS" w:hAnsi="Trebuchet MS"/>
                <w:b/>
                <w:color w:val="000000"/>
                <w:sz w:val="18"/>
                <w:szCs w:val="18"/>
              </w:rPr>
            </w:pPr>
            <w:r w:rsidRPr="00E94F10">
              <w:rPr>
                <w:rFonts w:ascii="Trebuchet MS" w:hAnsi="Trebuchet MS" w:cs="TimesTen-BoldItalic"/>
                <w:b/>
                <w:bCs/>
                <w:iCs/>
                <w:color w:val="000000"/>
                <w:sz w:val="18"/>
                <w:szCs w:val="18"/>
                <w:lang w:val="sv-SE" w:eastAsia="sv-SE"/>
              </w:rPr>
              <w:t>Event Tree Anal</w:t>
            </w:r>
            <w:r w:rsidRPr="00E94F10">
              <w:rPr>
                <w:rFonts w:ascii="Trebuchet MS" w:hAnsi="Trebuchet MS" w:cs="TimesTen-BoldItalic"/>
                <w:b/>
                <w:bCs/>
                <w:iCs/>
                <w:color w:val="000000"/>
                <w:sz w:val="18"/>
                <w:szCs w:val="18"/>
                <w:lang w:val="sv-SE" w:eastAsia="sv-SE"/>
              </w:rPr>
              <w:t>y</w:t>
            </w:r>
            <w:r w:rsidRPr="00E94F10">
              <w:rPr>
                <w:rFonts w:ascii="Trebuchet MS" w:hAnsi="Trebuchet MS" w:cs="TimesTen-BoldItalic"/>
                <w:b/>
                <w:bCs/>
                <w:iCs/>
                <w:color w:val="000000"/>
                <w:sz w:val="18"/>
                <w:szCs w:val="18"/>
                <w:lang w:val="sv-SE" w:eastAsia="sv-SE"/>
              </w:rPr>
              <w:t>sis</w:t>
            </w:r>
          </w:p>
        </w:tc>
        <w:tc>
          <w:tcPr>
            <w:tcW w:w="7227" w:type="dxa"/>
            <w:vAlign w:val="center"/>
          </w:tcPr>
          <w:p w:rsidR="00DD4760" w:rsidRPr="00CA5450" w:rsidRDefault="00DD4760" w:rsidP="00F10FCA">
            <w:p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An inductive technique that starts by hypothesizing the occurrence of basic </w:t>
            </w:r>
            <w:r w:rsidRPr="00CA5450">
              <w:rPr>
                <w:rFonts w:cs="TimesTen-Italic"/>
                <w:iCs/>
                <w:color w:val="000000"/>
                <w:szCs w:val="18"/>
                <w:lang w:val="en-US" w:eastAsia="sv-SE"/>
              </w:rPr>
              <w:t xml:space="preserve">initiating events </w:t>
            </w:r>
            <w:r w:rsidRPr="00CA5450">
              <w:rPr>
                <w:rFonts w:cs="TimesTen-Roman"/>
                <w:color w:val="000000"/>
                <w:szCs w:val="18"/>
                <w:lang w:val="en-US" w:eastAsia="sv-SE"/>
              </w:rPr>
              <w:t xml:space="preserve">and proceeds through their logical propagation to </w:t>
            </w:r>
            <w:r w:rsidRPr="00CA5450">
              <w:rPr>
                <w:rFonts w:cs="TimesTen-Italic"/>
                <w:iCs/>
                <w:color w:val="000000"/>
                <w:szCs w:val="18"/>
                <w:lang w:val="en-US" w:eastAsia="sv-SE"/>
              </w:rPr>
              <w:t>system failure events</w:t>
            </w:r>
            <w:r w:rsidRPr="00CA5450">
              <w:rPr>
                <w:rFonts w:cs="TimesTen-Roman"/>
                <w:color w:val="000000"/>
                <w:szCs w:val="18"/>
                <w:lang w:val="en-US" w:eastAsia="sv-SE"/>
              </w:rPr>
              <w:t>.</w:t>
            </w:r>
          </w:p>
          <w:p w:rsidR="00DD4760" w:rsidRPr="00CA5450" w:rsidRDefault="00DD4760" w:rsidP="00F10FCA">
            <w:pPr>
              <w:numPr>
                <w:ilvl w:val="0"/>
                <w:numId w:val="12"/>
              </w:num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The </w:t>
            </w:r>
            <w:r w:rsidRPr="00CA5450">
              <w:rPr>
                <w:rFonts w:cs="TimesTen-Italic"/>
                <w:iCs/>
                <w:color w:val="000000"/>
                <w:szCs w:val="18"/>
                <w:lang w:val="en-US" w:eastAsia="sv-SE"/>
              </w:rPr>
              <w:t xml:space="preserve">event </w:t>
            </w:r>
            <w:r w:rsidRPr="00CA5450">
              <w:rPr>
                <w:rFonts w:cs="TimesTen-Roman"/>
                <w:color w:val="000000"/>
                <w:szCs w:val="18"/>
                <w:lang w:val="en-US" w:eastAsia="sv-SE"/>
              </w:rPr>
              <w:t>tree is the diagrammatic illustration of alternative outcomes of spec</w:t>
            </w:r>
            <w:r w:rsidRPr="00CA5450">
              <w:rPr>
                <w:rFonts w:cs="TimesTen-Roman"/>
                <w:color w:val="000000"/>
                <w:szCs w:val="18"/>
                <w:lang w:val="en-US" w:eastAsia="sv-SE"/>
              </w:rPr>
              <w:t>i</w:t>
            </w:r>
            <w:r w:rsidRPr="00CA5450">
              <w:rPr>
                <w:rFonts w:cs="TimesTen-Roman"/>
                <w:color w:val="000000"/>
                <w:szCs w:val="18"/>
                <w:lang w:val="en-US" w:eastAsia="sv-SE"/>
              </w:rPr>
              <w:t xml:space="preserve">fied </w:t>
            </w:r>
            <w:r w:rsidRPr="00CA5450">
              <w:rPr>
                <w:rFonts w:cs="TimesTen-Italic"/>
                <w:iCs/>
                <w:color w:val="000000"/>
                <w:szCs w:val="18"/>
                <w:lang w:val="en-US" w:eastAsia="sv-SE"/>
              </w:rPr>
              <w:t>initiating events</w:t>
            </w:r>
            <w:r w:rsidRPr="00CA5450">
              <w:rPr>
                <w:rFonts w:cs="TimesTen-Roman"/>
                <w:color w:val="000000"/>
                <w:szCs w:val="18"/>
                <w:lang w:val="en-US" w:eastAsia="sv-SE"/>
              </w:rPr>
              <w:t>.</w:t>
            </w:r>
          </w:p>
          <w:p w:rsidR="00DD4760" w:rsidRPr="00CA5450" w:rsidRDefault="00DD4760" w:rsidP="00F10FCA">
            <w:pPr>
              <w:numPr>
                <w:ilvl w:val="0"/>
                <w:numId w:val="12"/>
              </w:numPr>
              <w:autoSpaceDE w:val="0"/>
              <w:autoSpaceDN w:val="0"/>
              <w:adjustRightInd w:val="0"/>
              <w:spacing w:line="240" w:lineRule="auto"/>
              <w:jc w:val="left"/>
              <w:rPr>
                <w:color w:val="000000"/>
                <w:szCs w:val="18"/>
                <w:lang w:val="en-US"/>
              </w:rPr>
            </w:pPr>
            <w:r w:rsidRPr="00CA5450">
              <w:rPr>
                <w:rFonts w:cs="TimesTen-Italic"/>
                <w:iCs/>
                <w:color w:val="000000"/>
                <w:szCs w:val="18"/>
                <w:lang w:val="en-US" w:eastAsia="sv-SE"/>
              </w:rPr>
              <w:t xml:space="preserve">Fault tree analysis </w:t>
            </w:r>
            <w:r w:rsidRPr="00CA5450">
              <w:rPr>
                <w:rFonts w:cs="TimesTen-Roman"/>
                <w:color w:val="000000"/>
                <w:szCs w:val="18"/>
                <w:lang w:val="en-US" w:eastAsia="sv-SE"/>
              </w:rPr>
              <w:t xml:space="preserve">considers similar chains of </w:t>
            </w:r>
            <w:r w:rsidRPr="00CA5450">
              <w:rPr>
                <w:rFonts w:cs="TimesTen-Italic"/>
                <w:iCs/>
                <w:color w:val="000000"/>
                <w:szCs w:val="18"/>
                <w:lang w:val="en-US" w:eastAsia="sv-SE"/>
              </w:rPr>
              <w:t>events</w:t>
            </w:r>
            <w:r w:rsidRPr="00CA5450">
              <w:rPr>
                <w:rFonts w:cs="TimesTen-Roman"/>
                <w:color w:val="000000"/>
                <w:szCs w:val="18"/>
                <w:lang w:val="en-US" w:eastAsia="sv-SE"/>
              </w:rPr>
              <w:t xml:space="preserve">, but starts at the other end (i.e. with the ‘results’ rather than the ‘causes’). The completed </w:t>
            </w:r>
            <w:r w:rsidRPr="00CA5450">
              <w:rPr>
                <w:rFonts w:cs="TimesTen-Italic"/>
                <w:iCs/>
                <w:color w:val="000000"/>
                <w:szCs w:val="18"/>
                <w:lang w:val="en-US" w:eastAsia="sv-SE"/>
              </w:rPr>
              <w:t xml:space="preserve">event </w:t>
            </w:r>
            <w:r w:rsidRPr="00CA5450">
              <w:rPr>
                <w:rFonts w:cs="TimesTen-Roman"/>
                <w:color w:val="000000"/>
                <w:szCs w:val="18"/>
                <w:lang w:val="en-US" w:eastAsia="sv-SE"/>
              </w:rPr>
              <w:t xml:space="preserve">trees and fault trees for a given set of </w:t>
            </w:r>
            <w:r w:rsidRPr="00CA5450">
              <w:rPr>
                <w:rFonts w:cs="TimesTen-Italic"/>
                <w:iCs/>
                <w:color w:val="000000"/>
                <w:szCs w:val="18"/>
                <w:lang w:val="en-US" w:eastAsia="sv-SE"/>
              </w:rPr>
              <w:t xml:space="preserve">events </w:t>
            </w:r>
            <w:r w:rsidRPr="00CA5450">
              <w:rPr>
                <w:rFonts w:cs="TimesTen-Roman"/>
                <w:color w:val="000000"/>
                <w:szCs w:val="18"/>
                <w:lang w:val="en-US" w:eastAsia="sv-SE"/>
              </w:rPr>
              <w:t>would be similar to one another.</w:t>
            </w:r>
          </w:p>
        </w:tc>
      </w:tr>
      <w:tr w:rsidR="00DD4760" w:rsidRPr="00CA5450" w:rsidTr="00F10FCA">
        <w:tc>
          <w:tcPr>
            <w:tcW w:w="2268" w:type="dxa"/>
            <w:vAlign w:val="center"/>
          </w:tcPr>
          <w:p w:rsidR="00DD4760" w:rsidRPr="00E94F10" w:rsidRDefault="00DD4760" w:rsidP="00F10FCA">
            <w:pPr>
              <w:pStyle w:val="Corpsdetexte"/>
              <w:ind w:left="0"/>
              <w:jc w:val="left"/>
              <w:rPr>
                <w:rFonts w:ascii="Trebuchet MS" w:hAnsi="Trebuchet MS"/>
                <w:b/>
                <w:color w:val="000000"/>
                <w:sz w:val="18"/>
                <w:szCs w:val="18"/>
              </w:rPr>
            </w:pPr>
            <w:r w:rsidRPr="00E94F10">
              <w:rPr>
                <w:rFonts w:ascii="Trebuchet MS" w:hAnsi="Trebuchet MS" w:cs="TimesTen-Bold"/>
                <w:b/>
                <w:bCs/>
                <w:color w:val="000000"/>
                <w:sz w:val="18"/>
                <w:szCs w:val="18"/>
                <w:lang w:val="sv-SE" w:eastAsia="sv-SE"/>
              </w:rPr>
              <w:t>External Event</w:t>
            </w:r>
          </w:p>
        </w:tc>
        <w:tc>
          <w:tcPr>
            <w:tcW w:w="7227" w:type="dxa"/>
            <w:vAlign w:val="center"/>
          </w:tcPr>
          <w:p w:rsidR="00DD4760" w:rsidRDefault="00DD4760" w:rsidP="00F10FCA">
            <w:pPr>
              <w:autoSpaceDE w:val="0"/>
              <w:autoSpaceDN w:val="0"/>
              <w:adjustRightInd w:val="0"/>
              <w:spacing w:line="240" w:lineRule="auto"/>
              <w:jc w:val="left"/>
              <w:rPr>
                <w:rFonts w:cs="TimesTen-Italic"/>
                <w:iCs/>
                <w:color w:val="000000"/>
                <w:szCs w:val="18"/>
                <w:lang w:val="en-US" w:eastAsia="sv-SE"/>
              </w:rPr>
            </w:pPr>
            <w:r>
              <w:rPr>
                <w:rFonts w:cs="TimesTen-Italic"/>
                <w:iCs/>
                <w:color w:val="000000"/>
                <w:szCs w:val="18"/>
                <w:lang w:val="en-US" w:eastAsia="sv-SE"/>
              </w:rPr>
              <w:t>An event originated outside a nuclear power plant that directly or indirectly causes an initiating event and may cause safety system failures or operator errors that may lead to core damage or large early release. Events such as earthquakes, tornadoes, and floods from sources outside the plant and fires from sources inside or outside the plant are considered external events. By historical convention, LOOP not caused by another exte</w:t>
            </w:r>
            <w:r>
              <w:rPr>
                <w:rFonts w:cs="TimesTen-Italic"/>
                <w:iCs/>
                <w:color w:val="000000"/>
                <w:szCs w:val="18"/>
                <w:lang w:val="en-US" w:eastAsia="sv-SE"/>
              </w:rPr>
              <w:t>r</w:t>
            </w:r>
            <w:r>
              <w:rPr>
                <w:rFonts w:cs="TimesTen-Italic"/>
                <w:iCs/>
                <w:color w:val="000000"/>
                <w:szCs w:val="18"/>
                <w:lang w:val="en-US" w:eastAsia="sv-SE"/>
              </w:rPr>
              <w:t>nal event is considered to be an internal event.</w:t>
            </w:r>
          </w:p>
          <w:p w:rsidR="00DD4760" w:rsidRPr="00A17306" w:rsidRDefault="00DD4760" w:rsidP="00F10FCA">
            <w:pPr>
              <w:autoSpaceDE w:val="0"/>
              <w:autoSpaceDN w:val="0"/>
              <w:adjustRightInd w:val="0"/>
              <w:spacing w:line="240" w:lineRule="auto"/>
              <w:jc w:val="left"/>
              <w:rPr>
                <w:rFonts w:cs="TimesTen-Italic"/>
                <w:iCs/>
                <w:color w:val="000000"/>
                <w:szCs w:val="18"/>
                <w:lang w:val="en-US" w:eastAsia="sv-SE"/>
              </w:rPr>
            </w:pPr>
            <w:r w:rsidRPr="00CA5450">
              <w:rPr>
                <w:color w:val="000000"/>
                <w:szCs w:val="18"/>
                <w:shd w:val="clear" w:color="auto" w:fill="FFFFFF"/>
              </w:rPr>
              <w:t xml:space="preserve">According to NUREG 2122, </w:t>
            </w:r>
            <w:r w:rsidRPr="00CA5450">
              <w:rPr>
                <w:rFonts w:cs="Arial"/>
                <w:color w:val="000000"/>
                <w:szCs w:val="18"/>
                <w:lang w:val="en-US" w:eastAsia="sv-SE"/>
              </w:rPr>
              <w:t>the term external event is no longer used and has been r</w:t>
            </w:r>
            <w:r w:rsidRPr="00CA5450">
              <w:rPr>
                <w:rFonts w:cs="Arial"/>
                <w:color w:val="000000"/>
                <w:szCs w:val="18"/>
                <w:lang w:val="en-US" w:eastAsia="sv-SE"/>
              </w:rPr>
              <w:t>e</w:t>
            </w:r>
            <w:r w:rsidRPr="00CA5450">
              <w:rPr>
                <w:rFonts w:cs="Arial"/>
                <w:color w:val="000000"/>
                <w:szCs w:val="18"/>
                <w:lang w:val="en-US" w:eastAsia="sv-SE"/>
              </w:rPr>
              <w:t>placed by the term external hazard.</w:t>
            </w:r>
          </w:p>
        </w:tc>
      </w:tr>
      <w:tr w:rsidR="00DD4760" w:rsidRPr="00CA5450" w:rsidTr="00F10FCA">
        <w:tc>
          <w:tcPr>
            <w:tcW w:w="2268" w:type="dxa"/>
            <w:vAlign w:val="center"/>
          </w:tcPr>
          <w:p w:rsidR="00DD4760" w:rsidRPr="00E94F10" w:rsidRDefault="00DD4760" w:rsidP="00F10FCA">
            <w:pPr>
              <w:pStyle w:val="Corpsdetexte"/>
              <w:ind w:left="0"/>
              <w:rPr>
                <w:rFonts w:ascii="Trebuchet MS" w:hAnsi="Trebuchet MS"/>
                <w:b/>
                <w:color w:val="000000"/>
                <w:sz w:val="18"/>
                <w:szCs w:val="18"/>
              </w:rPr>
            </w:pPr>
            <w:r w:rsidRPr="00E94F10">
              <w:rPr>
                <w:rFonts w:ascii="Trebuchet MS" w:hAnsi="Trebuchet MS" w:cs="TimesTen-BoldItalic"/>
                <w:b/>
                <w:bCs/>
                <w:iCs/>
                <w:color w:val="000000"/>
                <w:sz w:val="18"/>
                <w:szCs w:val="18"/>
                <w:lang w:eastAsia="sv-SE"/>
              </w:rPr>
              <w:t>Fault Tree Anal</w:t>
            </w:r>
            <w:r w:rsidRPr="00E94F10">
              <w:rPr>
                <w:rFonts w:ascii="Trebuchet MS" w:hAnsi="Trebuchet MS" w:cs="TimesTen-BoldItalic"/>
                <w:b/>
                <w:bCs/>
                <w:iCs/>
                <w:color w:val="000000"/>
                <w:sz w:val="18"/>
                <w:szCs w:val="18"/>
                <w:lang w:eastAsia="sv-SE"/>
              </w:rPr>
              <w:t>y</w:t>
            </w:r>
            <w:r w:rsidRPr="00E94F10">
              <w:rPr>
                <w:rFonts w:ascii="Trebuchet MS" w:hAnsi="Trebuchet MS" w:cs="TimesTen-BoldItalic"/>
                <w:b/>
                <w:bCs/>
                <w:iCs/>
                <w:color w:val="000000"/>
                <w:sz w:val="18"/>
                <w:szCs w:val="18"/>
                <w:lang w:eastAsia="sv-SE"/>
              </w:rPr>
              <w:t>sis</w:t>
            </w:r>
          </w:p>
        </w:tc>
        <w:tc>
          <w:tcPr>
            <w:tcW w:w="7227" w:type="dxa"/>
            <w:vAlign w:val="center"/>
          </w:tcPr>
          <w:p w:rsidR="00DD4760" w:rsidRPr="00CA5450" w:rsidRDefault="00DD4760" w:rsidP="00F10FCA">
            <w:p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A deductive technique that starts by hypothesizing and defining </w:t>
            </w:r>
            <w:r w:rsidRPr="00CA5450">
              <w:rPr>
                <w:rFonts w:cs="TimesTen-Italic"/>
                <w:i/>
                <w:iCs/>
                <w:color w:val="000000"/>
                <w:szCs w:val="18"/>
                <w:lang w:val="en-US" w:eastAsia="sv-SE"/>
              </w:rPr>
              <w:t xml:space="preserve">failure events </w:t>
            </w:r>
            <w:r w:rsidRPr="00CA5450">
              <w:rPr>
                <w:rFonts w:cs="TimesTen-Roman"/>
                <w:color w:val="000000"/>
                <w:szCs w:val="18"/>
                <w:lang w:val="en-US" w:eastAsia="sv-SE"/>
              </w:rPr>
              <w:t>and sy</w:t>
            </w:r>
            <w:r w:rsidRPr="00CA5450">
              <w:rPr>
                <w:rFonts w:cs="TimesTen-Roman"/>
                <w:color w:val="000000"/>
                <w:szCs w:val="18"/>
                <w:lang w:val="en-US" w:eastAsia="sv-SE"/>
              </w:rPr>
              <w:t>s</w:t>
            </w:r>
            <w:r w:rsidRPr="00CA5450">
              <w:rPr>
                <w:rFonts w:cs="TimesTen-Roman"/>
                <w:color w:val="000000"/>
                <w:szCs w:val="18"/>
                <w:lang w:val="en-US" w:eastAsia="sv-SE"/>
              </w:rPr>
              <w:t xml:space="preserve">tematically deduces the </w:t>
            </w:r>
            <w:r w:rsidRPr="00CA5450">
              <w:rPr>
                <w:rFonts w:cs="TimesTen-Italic"/>
                <w:i/>
                <w:iCs/>
                <w:color w:val="000000"/>
                <w:szCs w:val="18"/>
                <w:lang w:val="en-US" w:eastAsia="sv-SE"/>
              </w:rPr>
              <w:t xml:space="preserve">events </w:t>
            </w:r>
            <w:r w:rsidRPr="00CA5450">
              <w:rPr>
                <w:rFonts w:cs="TimesTen-Roman"/>
                <w:color w:val="000000"/>
                <w:szCs w:val="18"/>
                <w:lang w:val="en-US" w:eastAsia="sv-SE"/>
              </w:rPr>
              <w:t xml:space="preserve">or combinations of </w:t>
            </w:r>
            <w:r w:rsidRPr="00CA5450">
              <w:rPr>
                <w:rFonts w:cs="TimesTen-Italic"/>
                <w:i/>
                <w:iCs/>
                <w:color w:val="000000"/>
                <w:szCs w:val="18"/>
                <w:lang w:val="en-US" w:eastAsia="sv-SE"/>
              </w:rPr>
              <w:t xml:space="preserve">events </w:t>
            </w:r>
            <w:r w:rsidRPr="00CA5450">
              <w:rPr>
                <w:rFonts w:cs="TimesTen-Roman"/>
                <w:color w:val="000000"/>
                <w:szCs w:val="18"/>
                <w:lang w:val="en-US" w:eastAsia="sv-SE"/>
              </w:rPr>
              <w:t xml:space="preserve">that caused the </w:t>
            </w:r>
            <w:r w:rsidRPr="00CA5450">
              <w:rPr>
                <w:rFonts w:cs="TimesTen-Italic"/>
                <w:i/>
                <w:iCs/>
                <w:color w:val="000000"/>
                <w:szCs w:val="18"/>
                <w:lang w:val="en-US" w:eastAsia="sv-SE"/>
              </w:rPr>
              <w:t xml:space="preserve">failure events </w:t>
            </w:r>
            <w:r w:rsidRPr="00CA5450">
              <w:rPr>
                <w:rFonts w:cs="TimesTen-Roman"/>
                <w:color w:val="000000"/>
                <w:szCs w:val="18"/>
                <w:lang w:val="en-US" w:eastAsia="sv-SE"/>
              </w:rPr>
              <w:t>to occur.</w:t>
            </w:r>
          </w:p>
          <w:p w:rsidR="00DD4760" w:rsidRPr="00CA5450" w:rsidRDefault="00DD4760" w:rsidP="00F10FCA">
            <w:pPr>
              <w:numPr>
                <w:ilvl w:val="0"/>
                <w:numId w:val="13"/>
              </w:num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The fault tree is the diagrammatic illustration of the </w:t>
            </w:r>
            <w:r w:rsidRPr="00CA5450">
              <w:rPr>
                <w:rFonts w:cs="TimesTen-Italic"/>
                <w:i/>
                <w:iCs/>
                <w:color w:val="000000"/>
                <w:szCs w:val="18"/>
                <w:lang w:val="en-US" w:eastAsia="sv-SE"/>
              </w:rPr>
              <w:t>events</w:t>
            </w:r>
            <w:r w:rsidRPr="00CA5450">
              <w:rPr>
                <w:rFonts w:cs="TimesTen-Roman"/>
                <w:color w:val="000000"/>
                <w:szCs w:val="18"/>
                <w:lang w:val="en-US" w:eastAsia="sv-SE"/>
              </w:rPr>
              <w:t>.</w:t>
            </w:r>
          </w:p>
          <w:p w:rsidR="00DD4760" w:rsidRPr="00CA5450" w:rsidRDefault="00DD4760" w:rsidP="00F10FCA">
            <w:pPr>
              <w:numPr>
                <w:ilvl w:val="0"/>
                <w:numId w:val="13"/>
              </w:numPr>
              <w:autoSpaceDE w:val="0"/>
              <w:autoSpaceDN w:val="0"/>
              <w:adjustRightInd w:val="0"/>
              <w:spacing w:line="240" w:lineRule="auto"/>
              <w:jc w:val="left"/>
              <w:rPr>
                <w:color w:val="000000"/>
                <w:szCs w:val="18"/>
                <w:lang w:val="en-US"/>
              </w:rPr>
            </w:pPr>
            <w:r w:rsidRPr="00CA5450">
              <w:rPr>
                <w:rFonts w:cs="TimesTen-Italic"/>
                <w:i/>
                <w:iCs/>
                <w:color w:val="000000"/>
                <w:szCs w:val="18"/>
                <w:lang w:val="en-US" w:eastAsia="sv-SE"/>
              </w:rPr>
              <w:t xml:space="preserve">Event tree analysis </w:t>
            </w:r>
            <w:r w:rsidRPr="00CA5450">
              <w:rPr>
                <w:rFonts w:cs="TimesTen-Roman"/>
                <w:color w:val="000000"/>
                <w:szCs w:val="18"/>
                <w:lang w:val="en-US" w:eastAsia="sv-SE"/>
              </w:rPr>
              <w:t xml:space="preserve">considers similar chains of </w:t>
            </w:r>
            <w:r w:rsidRPr="00CA5450">
              <w:rPr>
                <w:rFonts w:cs="TimesTen-Italic"/>
                <w:i/>
                <w:iCs/>
                <w:color w:val="000000"/>
                <w:szCs w:val="18"/>
                <w:lang w:val="en-US" w:eastAsia="sv-SE"/>
              </w:rPr>
              <w:t>events</w:t>
            </w:r>
            <w:r w:rsidRPr="00CA5450">
              <w:rPr>
                <w:rFonts w:cs="TimesTen-Roman"/>
                <w:color w:val="000000"/>
                <w:szCs w:val="18"/>
                <w:lang w:val="en-US" w:eastAsia="sv-SE"/>
              </w:rPr>
              <w:t xml:space="preserve">, but starts at the other end (i.e. with the ‘causes’ rather than the ‘results’). The completed </w:t>
            </w:r>
            <w:r w:rsidRPr="00CA5450">
              <w:rPr>
                <w:rFonts w:cs="TimesTen-Italic"/>
                <w:i/>
                <w:iCs/>
                <w:color w:val="000000"/>
                <w:szCs w:val="18"/>
                <w:lang w:val="en-US" w:eastAsia="sv-SE"/>
              </w:rPr>
              <w:t xml:space="preserve">event </w:t>
            </w:r>
            <w:r w:rsidRPr="00CA5450">
              <w:rPr>
                <w:rFonts w:cs="TimesTen-Roman"/>
                <w:color w:val="000000"/>
                <w:szCs w:val="18"/>
                <w:lang w:val="en-US" w:eastAsia="sv-SE"/>
              </w:rPr>
              <w:t xml:space="preserve">trees and fault trees for a given set of </w:t>
            </w:r>
            <w:r w:rsidRPr="00CA5450">
              <w:rPr>
                <w:rFonts w:cs="TimesTen-Italic"/>
                <w:i/>
                <w:iCs/>
                <w:color w:val="000000"/>
                <w:szCs w:val="18"/>
                <w:lang w:val="en-US" w:eastAsia="sv-SE"/>
              </w:rPr>
              <w:t xml:space="preserve">events </w:t>
            </w:r>
            <w:r w:rsidRPr="00CA5450">
              <w:rPr>
                <w:rFonts w:cs="TimesTen-Roman"/>
                <w:color w:val="000000"/>
                <w:szCs w:val="18"/>
                <w:lang w:val="en-US" w:eastAsia="sv-SE"/>
              </w:rPr>
              <w:t>would be similar to one another.</w:t>
            </w:r>
          </w:p>
        </w:tc>
      </w:tr>
      <w:tr w:rsidR="00961A7E" w:rsidRPr="00CA5450" w:rsidTr="00EC412F">
        <w:tc>
          <w:tcPr>
            <w:tcW w:w="2268" w:type="dxa"/>
            <w:vAlign w:val="center"/>
          </w:tcPr>
          <w:p w:rsidR="00961A7E" w:rsidRPr="00E94F10" w:rsidRDefault="00961A7E" w:rsidP="00174177">
            <w:pPr>
              <w:pStyle w:val="Corpsdetexte"/>
              <w:ind w:left="0"/>
              <w:jc w:val="left"/>
              <w:rPr>
                <w:rFonts w:ascii="Trebuchet MS" w:hAnsi="Trebuchet MS" w:cs="Arial,Bold"/>
                <w:b/>
                <w:bCs/>
                <w:color w:val="000000"/>
                <w:sz w:val="18"/>
                <w:szCs w:val="18"/>
                <w:lang w:val="sv-SE" w:eastAsia="sv-SE"/>
              </w:rPr>
            </w:pPr>
            <w:r w:rsidRPr="00E94F10">
              <w:rPr>
                <w:rFonts w:ascii="Trebuchet MS" w:hAnsi="Trebuchet MS" w:cs="Arial,Bold"/>
                <w:b/>
                <w:bCs/>
                <w:color w:val="000000"/>
                <w:sz w:val="18"/>
                <w:szCs w:val="18"/>
                <w:lang w:val="sv-SE" w:eastAsia="sv-SE"/>
              </w:rPr>
              <w:t>External Hazard Analysis</w:t>
            </w:r>
          </w:p>
        </w:tc>
        <w:tc>
          <w:tcPr>
            <w:tcW w:w="7227" w:type="dxa"/>
            <w:vAlign w:val="center"/>
          </w:tcPr>
          <w:p w:rsidR="00961A7E" w:rsidRPr="00CA5450" w:rsidRDefault="00961A7E" w:rsidP="007F622A">
            <w:pPr>
              <w:autoSpaceDE w:val="0"/>
              <w:autoSpaceDN w:val="0"/>
              <w:adjustRightInd w:val="0"/>
              <w:spacing w:line="240" w:lineRule="auto"/>
              <w:jc w:val="left"/>
              <w:rPr>
                <w:rFonts w:cs="Arial"/>
                <w:color w:val="000000"/>
                <w:szCs w:val="18"/>
                <w:lang w:val="en-US" w:eastAsia="sv-SE"/>
              </w:rPr>
            </w:pPr>
            <w:r w:rsidRPr="00CA5450">
              <w:rPr>
                <w:rFonts w:cs="Arial"/>
                <w:color w:val="000000"/>
                <w:szCs w:val="18"/>
                <w:lang w:val="en-US" w:eastAsia="sv-SE"/>
              </w:rPr>
              <w:t>The objective is to evaluate the frequency of occurrence of different severities or inte</w:t>
            </w:r>
            <w:r w:rsidRPr="00CA5450">
              <w:rPr>
                <w:rFonts w:cs="Arial"/>
                <w:color w:val="000000"/>
                <w:szCs w:val="18"/>
                <w:lang w:val="en-US" w:eastAsia="sv-SE"/>
              </w:rPr>
              <w:t>n</w:t>
            </w:r>
            <w:r w:rsidRPr="00CA5450">
              <w:rPr>
                <w:rFonts w:cs="Arial"/>
                <w:color w:val="000000"/>
                <w:szCs w:val="18"/>
                <w:lang w:val="en-US" w:eastAsia="sv-SE"/>
              </w:rPr>
              <w:t>sities of external events or natural phenomena (e.g., external floods or high winds).</w:t>
            </w:r>
          </w:p>
        </w:tc>
      </w:tr>
      <w:tr w:rsidR="00961A7E" w:rsidRPr="00CA5450" w:rsidTr="00EC412F">
        <w:tc>
          <w:tcPr>
            <w:tcW w:w="2268" w:type="dxa"/>
            <w:vAlign w:val="center"/>
          </w:tcPr>
          <w:p w:rsidR="00961A7E" w:rsidRPr="00E94F10" w:rsidRDefault="00174177" w:rsidP="00C66E95">
            <w:pPr>
              <w:pStyle w:val="Corpsdetexte"/>
              <w:ind w:left="0"/>
              <w:jc w:val="left"/>
              <w:rPr>
                <w:rFonts w:ascii="Trebuchet MS" w:hAnsi="Trebuchet MS" w:cs="Arial,Bold"/>
                <w:b/>
                <w:bCs/>
                <w:color w:val="000000"/>
                <w:sz w:val="18"/>
                <w:szCs w:val="18"/>
                <w:lang w:val="sv-SE" w:eastAsia="sv-SE"/>
              </w:rPr>
            </w:pPr>
            <w:r>
              <w:rPr>
                <w:rFonts w:ascii="Trebuchet MS" w:hAnsi="Trebuchet MS" w:cs="Arial,Bold"/>
                <w:b/>
                <w:bCs/>
                <w:color w:val="000000"/>
                <w:sz w:val="18"/>
                <w:szCs w:val="18"/>
                <w:lang w:val="sv-SE" w:eastAsia="sv-SE"/>
              </w:rPr>
              <w:t xml:space="preserve">Probabilistic Seismic Hazard </w:t>
            </w:r>
            <w:r w:rsidR="00961A7E" w:rsidRPr="00E94F10">
              <w:rPr>
                <w:rFonts w:ascii="Trebuchet MS" w:hAnsi="Trebuchet MS" w:cs="Arial,Bold"/>
                <w:b/>
                <w:bCs/>
                <w:color w:val="000000"/>
                <w:sz w:val="18"/>
                <w:szCs w:val="18"/>
                <w:lang w:val="sv-SE" w:eastAsia="sv-SE"/>
              </w:rPr>
              <w:t xml:space="preserve"> Analysis</w:t>
            </w:r>
            <w:r w:rsidR="00C66E95">
              <w:rPr>
                <w:rFonts w:ascii="Trebuchet MS" w:hAnsi="Trebuchet MS" w:cs="Arial,Bold"/>
                <w:b/>
                <w:bCs/>
                <w:color w:val="000000"/>
                <w:sz w:val="18"/>
                <w:szCs w:val="18"/>
                <w:lang w:val="sv-SE" w:eastAsia="sv-SE"/>
              </w:rPr>
              <w:t xml:space="preserve"> (PSHA)</w:t>
            </w:r>
          </w:p>
        </w:tc>
        <w:tc>
          <w:tcPr>
            <w:tcW w:w="7227" w:type="dxa"/>
            <w:vAlign w:val="center"/>
          </w:tcPr>
          <w:p w:rsidR="00961A7E" w:rsidRPr="00CA5450" w:rsidRDefault="00C66E95" w:rsidP="00174177">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PSHA determines the</w:t>
            </w:r>
            <w:r w:rsidRPr="00CA5450">
              <w:rPr>
                <w:rFonts w:cs="Arial"/>
                <w:color w:val="000000"/>
                <w:szCs w:val="18"/>
                <w:lang w:val="en-US" w:eastAsia="sv-SE"/>
              </w:rPr>
              <w:t xml:space="preserve"> </w:t>
            </w:r>
            <w:r>
              <w:rPr>
                <w:rFonts w:cs="Arial"/>
                <w:color w:val="000000"/>
                <w:szCs w:val="18"/>
                <w:lang w:val="en-US" w:eastAsia="sv-SE"/>
              </w:rPr>
              <w:t xml:space="preserve">probability </w:t>
            </w:r>
            <w:r w:rsidRPr="00CA5450">
              <w:rPr>
                <w:rFonts w:cs="Arial"/>
                <w:color w:val="000000"/>
                <w:szCs w:val="18"/>
                <w:lang w:val="en-US" w:eastAsia="sv-SE"/>
              </w:rPr>
              <w:t>of a</w:t>
            </w:r>
            <w:r>
              <w:rPr>
                <w:rFonts w:cs="Arial"/>
                <w:color w:val="000000"/>
                <w:szCs w:val="18"/>
                <w:lang w:val="en-US" w:eastAsia="sv-SE"/>
              </w:rPr>
              <w:t xml:space="preserve"> seismic event that exceeds a certain ground motion (defined as horizontal / vertical acceleration and / or spectal accelerations) </w:t>
            </w:r>
            <w:r w:rsidRPr="00CA5450">
              <w:rPr>
                <w:rFonts w:cs="Arial"/>
                <w:color w:val="000000"/>
                <w:szCs w:val="18"/>
                <w:lang w:val="en-US" w:eastAsia="sv-SE"/>
              </w:rPr>
              <w:t>is d</w:t>
            </w:r>
            <w:r w:rsidRPr="00CA5450">
              <w:rPr>
                <w:rFonts w:cs="Arial"/>
                <w:color w:val="000000"/>
                <w:szCs w:val="18"/>
                <w:lang w:val="en-US" w:eastAsia="sv-SE"/>
              </w:rPr>
              <w:t>e</w:t>
            </w:r>
            <w:r w:rsidRPr="00CA5450">
              <w:rPr>
                <w:rFonts w:cs="Arial"/>
                <w:color w:val="000000"/>
                <w:szCs w:val="18"/>
                <w:lang w:val="en-US" w:eastAsia="sv-SE"/>
              </w:rPr>
              <w:t>termined through a</w:t>
            </w:r>
            <w:r>
              <w:rPr>
                <w:rFonts w:cs="Arial"/>
                <w:color w:val="000000"/>
                <w:szCs w:val="18"/>
                <w:lang w:val="en-US" w:eastAsia="sv-SE"/>
              </w:rPr>
              <w:t xml:space="preserve"> probabilistic assessment.</w:t>
            </w:r>
          </w:p>
        </w:tc>
      </w:tr>
      <w:tr w:rsidR="00961A7E" w:rsidRPr="00CA5450" w:rsidTr="00EC412F">
        <w:tc>
          <w:tcPr>
            <w:tcW w:w="2268" w:type="dxa"/>
            <w:vAlign w:val="center"/>
          </w:tcPr>
          <w:p w:rsidR="00961A7E" w:rsidRPr="00E94F10" w:rsidRDefault="00961A7E" w:rsidP="007F622A">
            <w:pPr>
              <w:pStyle w:val="Corpsdetexte"/>
              <w:ind w:left="0"/>
              <w:rPr>
                <w:rFonts w:ascii="Trebuchet MS" w:hAnsi="Trebuchet MS" w:cs="Arial,Bold"/>
                <w:b/>
                <w:bCs/>
                <w:color w:val="000000"/>
                <w:sz w:val="18"/>
                <w:szCs w:val="18"/>
                <w:lang w:val="sv-SE" w:eastAsia="sv-SE"/>
              </w:rPr>
            </w:pPr>
            <w:r w:rsidRPr="00E94F10">
              <w:rPr>
                <w:rFonts w:ascii="Trebuchet MS" w:hAnsi="Trebuchet MS" w:cs="Arial,Bold"/>
                <w:b/>
                <w:bCs/>
                <w:color w:val="000000"/>
                <w:sz w:val="18"/>
                <w:szCs w:val="18"/>
                <w:lang w:val="sv-SE" w:eastAsia="sv-SE"/>
              </w:rPr>
              <w:t>Fragility</w:t>
            </w:r>
          </w:p>
        </w:tc>
        <w:tc>
          <w:tcPr>
            <w:tcW w:w="7227" w:type="dxa"/>
            <w:vAlign w:val="center"/>
          </w:tcPr>
          <w:p w:rsidR="00961A7E" w:rsidRPr="00CA5450" w:rsidRDefault="00961A7E" w:rsidP="00174177">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 xml:space="preserve">The </w:t>
            </w:r>
            <w:r w:rsidRPr="00CA5450">
              <w:rPr>
                <w:rFonts w:cs="Arial"/>
                <w:color w:val="000000"/>
                <w:szCs w:val="18"/>
                <w:lang w:val="en-US" w:eastAsia="sv-SE"/>
              </w:rPr>
              <w:t>fragility of a structure, system or component (SSC) is the conditional probabi</w:t>
            </w:r>
            <w:r w:rsidRPr="00CA5450">
              <w:rPr>
                <w:rFonts w:cs="Arial"/>
                <w:color w:val="000000"/>
                <w:szCs w:val="18"/>
                <w:lang w:val="en-US" w:eastAsia="sv-SE"/>
              </w:rPr>
              <w:t>l</w:t>
            </w:r>
            <w:r w:rsidRPr="00CA5450">
              <w:rPr>
                <w:rFonts w:cs="Arial"/>
                <w:color w:val="000000"/>
                <w:szCs w:val="18"/>
                <w:lang w:val="en-US" w:eastAsia="sv-SE"/>
              </w:rPr>
              <w:t xml:space="preserve">ity of its failure at a given hazard input level. </w:t>
            </w:r>
            <w:r w:rsidR="00174177">
              <w:rPr>
                <w:rFonts w:cs="Arial"/>
                <w:color w:val="000000"/>
                <w:szCs w:val="18"/>
                <w:lang w:val="en-US" w:eastAsia="sv-SE"/>
              </w:rPr>
              <w:t xml:space="preserve">In seismic hazard analysis the </w:t>
            </w:r>
            <w:r w:rsidRPr="00CA5450">
              <w:rPr>
                <w:rFonts w:cs="Arial"/>
                <w:color w:val="000000"/>
                <w:szCs w:val="18"/>
                <w:lang w:val="en-US" w:eastAsia="sv-SE"/>
              </w:rPr>
              <w:t xml:space="preserve">input </w:t>
            </w:r>
            <w:r w:rsidR="00174177">
              <w:rPr>
                <w:rFonts w:cs="Arial"/>
                <w:color w:val="000000"/>
                <w:szCs w:val="18"/>
                <w:lang w:val="en-US" w:eastAsia="sv-SE"/>
              </w:rPr>
              <w:t>is the severity of ground shaking induced by an earthquake.</w:t>
            </w:r>
          </w:p>
        </w:tc>
      </w:tr>
      <w:tr w:rsidR="00961A7E" w:rsidRPr="00CA5450" w:rsidTr="00EC412F">
        <w:tc>
          <w:tcPr>
            <w:tcW w:w="2268" w:type="dxa"/>
            <w:vAlign w:val="center"/>
          </w:tcPr>
          <w:p w:rsidR="00961A7E" w:rsidRPr="00E94F10" w:rsidRDefault="00961A7E" w:rsidP="007F622A">
            <w:pPr>
              <w:pStyle w:val="Corpsdetexte"/>
              <w:ind w:left="0"/>
              <w:rPr>
                <w:rFonts w:ascii="Trebuchet MS" w:hAnsi="Trebuchet MS" w:cs="Arial,Bold"/>
                <w:b/>
                <w:bCs/>
                <w:color w:val="000000"/>
                <w:sz w:val="18"/>
                <w:szCs w:val="18"/>
                <w:lang w:eastAsia="sv-SE"/>
              </w:rPr>
            </w:pPr>
            <w:r w:rsidRPr="00E94F10">
              <w:rPr>
                <w:rFonts w:ascii="Trebuchet MS" w:hAnsi="Trebuchet MS" w:cs="Arial,Bold"/>
                <w:b/>
                <w:bCs/>
                <w:color w:val="000000"/>
                <w:sz w:val="18"/>
                <w:szCs w:val="18"/>
                <w:lang w:eastAsia="sv-SE"/>
              </w:rPr>
              <w:lastRenderedPageBreak/>
              <w:t>Fragility Anal</w:t>
            </w:r>
            <w:r w:rsidRPr="00E94F10">
              <w:rPr>
                <w:rFonts w:ascii="Trebuchet MS" w:hAnsi="Trebuchet MS" w:cs="Arial,Bold"/>
                <w:b/>
                <w:bCs/>
                <w:color w:val="000000"/>
                <w:sz w:val="18"/>
                <w:szCs w:val="18"/>
                <w:lang w:eastAsia="sv-SE"/>
              </w:rPr>
              <w:t>y</w:t>
            </w:r>
            <w:r w:rsidRPr="00E94F10">
              <w:rPr>
                <w:rFonts w:ascii="Trebuchet MS" w:hAnsi="Trebuchet MS" w:cs="Arial,Bold"/>
                <w:b/>
                <w:bCs/>
                <w:color w:val="000000"/>
                <w:sz w:val="18"/>
                <w:szCs w:val="18"/>
                <w:lang w:eastAsia="sv-SE"/>
              </w:rPr>
              <w:t xml:space="preserve">sis </w:t>
            </w:r>
          </w:p>
        </w:tc>
        <w:tc>
          <w:tcPr>
            <w:tcW w:w="7227" w:type="dxa"/>
            <w:vAlign w:val="center"/>
          </w:tcPr>
          <w:p w:rsidR="00961A7E" w:rsidRPr="00E555C7" w:rsidRDefault="00961A7E" w:rsidP="007F622A">
            <w:pPr>
              <w:autoSpaceDE w:val="0"/>
              <w:autoSpaceDN w:val="0"/>
              <w:adjustRightInd w:val="0"/>
              <w:spacing w:line="240" w:lineRule="auto"/>
              <w:jc w:val="left"/>
              <w:rPr>
                <w:rFonts w:cs="Arial"/>
                <w:color w:val="000000"/>
                <w:szCs w:val="18"/>
                <w:lang w:val="en-US" w:eastAsia="sv-SE"/>
              </w:rPr>
            </w:pPr>
            <w:r w:rsidRPr="00E555C7">
              <w:rPr>
                <w:rFonts w:cs="Arial"/>
                <w:color w:val="000000"/>
                <w:szCs w:val="18"/>
                <w:lang w:val="en-US" w:eastAsia="sv-SE"/>
              </w:rPr>
              <w:t>Estimation of the likelihood that a given component, system, or structure will cease to fun</w:t>
            </w:r>
            <w:r w:rsidRPr="00E555C7">
              <w:rPr>
                <w:rFonts w:cs="Arial"/>
                <w:color w:val="000000"/>
                <w:szCs w:val="18"/>
                <w:lang w:val="en-US" w:eastAsia="sv-SE"/>
              </w:rPr>
              <w:t>c</w:t>
            </w:r>
            <w:r w:rsidRPr="00E555C7">
              <w:rPr>
                <w:rFonts w:cs="Arial"/>
                <w:color w:val="000000"/>
                <w:szCs w:val="18"/>
                <w:lang w:val="en-US" w:eastAsia="sv-SE"/>
              </w:rPr>
              <w:t xml:space="preserve">tion </w:t>
            </w:r>
            <w:r w:rsidR="00E555C7" w:rsidRPr="00E555C7">
              <w:rPr>
                <w:rFonts w:cs="Arial"/>
                <w:color w:val="000000"/>
                <w:szCs w:val="18"/>
                <w:lang w:val="en-US" w:eastAsia="sv-SE"/>
              </w:rPr>
              <w:t>at</w:t>
            </w:r>
            <w:r w:rsidRPr="00E555C7">
              <w:rPr>
                <w:rFonts w:cs="Arial"/>
                <w:color w:val="000000"/>
                <w:szCs w:val="18"/>
                <w:lang w:val="en-US" w:eastAsia="sv-SE"/>
              </w:rPr>
              <w:t xml:space="preserve"> the occurrence of a </w:t>
            </w:r>
            <w:r w:rsidR="00E555C7" w:rsidRPr="00E555C7">
              <w:rPr>
                <w:rFonts w:cs="Arial"/>
                <w:color w:val="000000"/>
                <w:szCs w:val="18"/>
                <w:lang w:val="en-US" w:eastAsia="sv-SE"/>
              </w:rPr>
              <w:t xml:space="preserve">dangerous occurrence </w:t>
            </w:r>
            <w:r w:rsidRPr="00E555C7">
              <w:rPr>
                <w:rFonts w:cs="Arial"/>
                <w:color w:val="000000"/>
                <w:szCs w:val="18"/>
                <w:lang w:val="en-US" w:eastAsia="sv-SE"/>
              </w:rPr>
              <w:t xml:space="preserve">of a certain </w:t>
            </w:r>
            <w:r w:rsidR="00E555C7" w:rsidRPr="00E555C7">
              <w:rPr>
                <w:rFonts w:cs="Arial"/>
                <w:color w:val="000000"/>
                <w:szCs w:val="18"/>
                <w:lang w:val="en-US" w:eastAsia="sv-SE"/>
              </w:rPr>
              <w:t>severity</w:t>
            </w:r>
            <w:r w:rsidRPr="00E555C7">
              <w:rPr>
                <w:rFonts w:cs="Arial"/>
                <w:color w:val="000000"/>
                <w:szCs w:val="18"/>
                <w:lang w:val="en-US" w:eastAsia="sv-SE"/>
              </w:rPr>
              <w:t>.</w:t>
            </w:r>
          </w:p>
          <w:p w:rsidR="00961A7E" w:rsidRPr="00E555C7" w:rsidRDefault="00961A7E" w:rsidP="00797706">
            <w:pPr>
              <w:numPr>
                <w:ilvl w:val="0"/>
                <w:numId w:val="17"/>
              </w:numPr>
              <w:autoSpaceDE w:val="0"/>
              <w:autoSpaceDN w:val="0"/>
              <w:adjustRightInd w:val="0"/>
              <w:spacing w:line="240" w:lineRule="auto"/>
              <w:jc w:val="left"/>
              <w:rPr>
                <w:rFonts w:cs="Arial"/>
                <w:color w:val="000000"/>
                <w:szCs w:val="18"/>
                <w:lang w:val="en-US" w:eastAsia="sv-SE"/>
              </w:rPr>
            </w:pPr>
            <w:r w:rsidRPr="00E555C7">
              <w:rPr>
                <w:rFonts w:cs="Arial"/>
                <w:color w:val="000000"/>
                <w:szCs w:val="18"/>
                <w:lang w:val="en-US" w:eastAsia="sv-SE"/>
              </w:rPr>
              <w:t>In a PRA, fragility analysis identifies the components, systems, and structures susceptible to the effects of an external hazard and estimates their fragility p</w:t>
            </w:r>
            <w:r w:rsidRPr="00E555C7">
              <w:rPr>
                <w:rFonts w:cs="Arial"/>
                <w:color w:val="000000"/>
                <w:szCs w:val="18"/>
                <w:lang w:val="en-US" w:eastAsia="sv-SE"/>
              </w:rPr>
              <w:t>a</w:t>
            </w:r>
            <w:r w:rsidRPr="00E555C7">
              <w:rPr>
                <w:rFonts w:cs="Arial"/>
                <w:color w:val="000000"/>
                <w:szCs w:val="18"/>
                <w:lang w:val="en-US" w:eastAsia="sv-SE"/>
              </w:rPr>
              <w:t>rameters. Those parameters are then used to calculate fragility (conditional probability of failure) of the component, system, or structure at a certain inte</w:t>
            </w:r>
            <w:r w:rsidRPr="00E555C7">
              <w:rPr>
                <w:rFonts w:cs="Arial"/>
                <w:color w:val="000000"/>
                <w:szCs w:val="18"/>
                <w:lang w:val="en-US" w:eastAsia="sv-SE"/>
              </w:rPr>
              <w:t>n</w:t>
            </w:r>
            <w:r w:rsidRPr="00E555C7">
              <w:rPr>
                <w:rFonts w:cs="Arial"/>
                <w:color w:val="000000"/>
                <w:szCs w:val="18"/>
                <w:lang w:val="en-US" w:eastAsia="sv-SE"/>
              </w:rPr>
              <w:t xml:space="preserve">sity level of the hazard event. </w:t>
            </w:r>
          </w:p>
          <w:p w:rsidR="00961A7E" w:rsidRPr="00E555C7" w:rsidRDefault="00961A7E" w:rsidP="00797706">
            <w:pPr>
              <w:numPr>
                <w:ilvl w:val="0"/>
                <w:numId w:val="17"/>
              </w:numPr>
              <w:autoSpaceDE w:val="0"/>
              <w:autoSpaceDN w:val="0"/>
              <w:adjustRightInd w:val="0"/>
              <w:spacing w:line="240" w:lineRule="auto"/>
              <w:jc w:val="left"/>
              <w:rPr>
                <w:rFonts w:cs="Arial"/>
                <w:color w:val="000000"/>
                <w:szCs w:val="18"/>
                <w:lang w:val="en-US" w:eastAsia="sv-SE"/>
              </w:rPr>
            </w:pPr>
            <w:r w:rsidRPr="00E555C7">
              <w:rPr>
                <w:rFonts w:cs="Arial"/>
                <w:color w:val="000000"/>
                <w:szCs w:val="18"/>
                <w:lang w:val="en-US" w:eastAsia="sv-SE"/>
              </w:rPr>
              <w:t>Fragility analysis considers all failure mechanisms due to the occurrence of an external hazard event and calculates fragility parameters for each mechanism. This is true whether the fragility analysis is used for an external flood hazard, fire hazard, high wind hazard, seismic hazard, or other external hazards. For exa</w:t>
            </w:r>
            <w:r w:rsidRPr="00E555C7">
              <w:rPr>
                <w:rFonts w:cs="Arial"/>
                <w:color w:val="000000"/>
                <w:szCs w:val="18"/>
                <w:lang w:val="en-US" w:eastAsia="sv-SE"/>
              </w:rPr>
              <w:t>m</w:t>
            </w:r>
            <w:r w:rsidRPr="00E555C7">
              <w:rPr>
                <w:rFonts w:cs="Arial"/>
                <w:color w:val="000000"/>
                <w:szCs w:val="18"/>
                <w:lang w:val="en-US" w:eastAsia="sv-SE"/>
              </w:rPr>
              <w:t>ple, for seismic events, anchor failure, structural failure, and systems intera</w:t>
            </w:r>
            <w:r w:rsidRPr="00E555C7">
              <w:rPr>
                <w:rFonts w:cs="Arial"/>
                <w:color w:val="000000"/>
                <w:szCs w:val="18"/>
                <w:lang w:val="en-US" w:eastAsia="sv-SE"/>
              </w:rPr>
              <w:t>c</w:t>
            </w:r>
            <w:r w:rsidRPr="00E555C7">
              <w:rPr>
                <w:rFonts w:cs="Arial"/>
                <w:color w:val="000000"/>
                <w:szCs w:val="18"/>
                <w:lang w:val="en-US" w:eastAsia="sv-SE"/>
              </w:rPr>
              <w:t>tions are some of the failure m</w:t>
            </w:r>
            <w:r w:rsidRPr="00E555C7">
              <w:rPr>
                <w:rFonts w:cs="Arial"/>
                <w:color w:val="000000"/>
                <w:szCs w:val="18"/>
                <w:lang w:val="en-US" w:eastAsia="sv-SE"/>
              </w:rPr>
              <w:t>e</w:t>
            </w:r>
            <w:r w:rsidRPr="00E555C7">
              <w:rPr>
                <w:rFonts w:cs="Arial"/>
                <w:color w:val="000000"/>
                <w:szCs w:val="18"/>
                <w:lang w:val="en-US" w:eastAsia="sv-SE"/>
              </w:rPr>
              <w:t>chanisms that would be considered.</w:t>
            </w:r>
          </w:p>
        </w:tc>
      </w:tr>
      <w:tr w:rsidR="00961A7E" w:rsidRPr="000A6F63" w:rsidTr="00EC412F">
        <w:tc>
          <w:tcPr>
            <w:tcW w:w="2268" w:type="dxa"/>
            <w:vAlign w:val="center"/>
          </w:tcPr>
          <w:p w:rsidR="00961A7E" w:rsidRPr="000A6F63" w:rsidRDefault="00961A7E" w:rsidP="007F622A">
            <w:pPr>
              <w:pStyle w:val="Corpsdetexte"/>
              <w:ind w:left="0"/>
              <w:rPr>
                <w:rFonts w:ascii="Trebuchet MS" w:hAnsi="Trebuchet MS" w:cs="Arial,Bold"/>
                <w:b/>
                <w:bCs/>
                <w:color w:val="000000"/>
                <w:sz w:val="18"/>
                <w:szCs w:val="18"/>
                <w:lang w:eastAsia="sv-SE"/>
              </w:rPr>
            </w:pPr>
            <w:r w:rsidRPr="000A6F63">
              <w:rPr>
                <w:rFonts w:ascii="Trebuchet MS" w:hAnsi="Trebuchet MS" w:cs="Arial,Bold"/>
                <w:b/>
                <w:bCs/>
                <w:color w:val="000000"/>
                <w:sz w:val="18"/>
                <w:szCs w:val="18"/>
                <w:lang w:val="sv-SE" w:eastAsia="sv-SE"/>
              </w:rPr>
              <w:t>Fragility Curve</w:t>
            </w:r>
          </w:p>
        </w:tc>
        <w:tc>
          <w:tcPr>
            <w:tcW w:w="7227" w:type="dxa"/>
            <w:vAlign w:val="center"/>
          </w:tcPr>
          <w:p w:rsidR="00961A7E" w:rsidRPr="000A6F63" w:rsidRDefault="00961A7E" w:rsidP="007F622A">
            <w:pPr>
              <w:autoSpaceDE w:val="0"/>
              <w:autoSpaceDN w:val="0"/>
              <w:adjustRightInd w:val="0"/>
              <w:spacing w:line="240" w:lineRule="auto"/>
              <w:jc w:val="left"/>
              <w:rPr>
                <w:rFonts w:cs="Arial"/>
                <w:color w:val="000000"/>
                <w:szCs w:val="18"/>
                <w:lang w:val="en-US" w:eastAsia="sv-SE"/>
              </w:rPr>
            </w:pPr>
            <w:r w:rsidRPr="000A6F63">
              <w:rPr>
                <w:rFonts w:cs="Arial"/>
                <w:color w:val="000000"/>
                <w:szCs w:val="18"/>
                <w:lang w:val="en-US" w:eastAsia="sv-SE"/>
              </w:rPr>
              <w:t>A graph that plots the likelihood that a component, system, or structure will fail ve</w:t>
            </w:r>
            <w:r w:rsidRPr="000A6F63">
              <w:rPr>
                <w:rFonts w:cs="Arial"/>
                <w:color w:val="000000"/>
                <w:szCs w:val="18"/>
                <w:lang w:val="en-US" w:eastAsia="sv-SE"/>
              </w:rPr>
              <w:t>r</w:t>
            </w:r>
            <w:r w:rsidRPr="000A6F63">
              <w:rPr>
                <w:rFonts w:cs="Arial"/>
                <w:color w:val="000000"/>
                <w:szCs w:val="18"/>
                <w:lang w:val="en-US" w:eastAsia="sv-SE"/>
              </w:rPr>
              <w:t>sus the increasing intensity of a hazard event.</w:t>
            </w:r>
          </w:p>
          <w:p w:rsidR="00961A7E" w:rsidRPr="000A6F63" w:rsidRDefault="00961A7E" w:rsidP="00797706">
            <w:pPr>
              <w:numPr>
                <w:ilvl w:val="0"/>
                <w:numId w:val="18"/>
              </w:numPr>
              <w:autoSpaceDE w:val="0"/>
              <w:autoSpaceDN w:val="0"/>
              <w:adjustRightInd w:val="0"/>
              <w:spacing w:line="240" w:lineRule="auto"/>
              <w:jc w:val="left"/>
              <w:rPr>
                <w:rFonts w:cs="Arial"/>
                <w:color w:val="000000"/>
                <w:szCs w:val="18"/>
                <w:lang w:val="en-US" w:eastAsia="sv-SE"/>
              </w:rPr>
            </w:pPr>
            <w:r w:rsidRPr="000A6F63">
              <w:rPr>
                <w:rFonts w:cs="Arial"/>
                <w:color w:val="000000"/>
                <w:szCs w:val="18"/>
                <w:lang w:val="en-US" w:eastAsia="sv-SE"/>
              </w:rPr>
              <w:t>In a PRA, fragility curves generally are used in seismic analyses and provide the conditional frequency of failure for structures, systems, or components as a fun</w:t>
            </w:r>
            <w:r w:rsidRPr="000A6F63">
              <w:rPr>
                <w:rFonts w:cs="Arial"/>
                <w:color w:val="000000"/>
                <w:szCs w:val="18"/>
                <w:lang w:val="en-US" w:eastAsia="sv-SE"/>
              </w:rPr>
              <w:t>c</w:t>
            </w:r>
            <w:r w:rsidRPr="000A6F63">
              <w:rPr>
                <w:rFonts w:cs="Arial"/>
                <w:color w:val="000000"/>
                <w:szCs w:val="18"/>
                <w:lang w:val="en-US" w:eastAsia="sv-SE"/>
              </w:rPr>
              <w:t>tion of an earthquake-intensity parameter, such as peak ground acceler</w:t>
            </w:r>
            <w:r w:rsidRPr="000A6F63">
              <w:rPr>
                <w:rFonts w:cs="Arial"/>
                <w:color w:val="000000"/>
                <w:szCs w:val="18"/>
                <w:lang w:val="en-US" w:eastAsia="sv-SE"/>
              </w:rPr>
              <w:t>a</w:t>
            </w:r>
            <w:r w:rsidRPr="000A6F63">
              <w:rPr>
                <w:rFonts w:cs="Arial"/>
                <w:color w:val="000000"/>
                <w:szCs w:val="18"/>
                <w:lang w:val="en-US" w:eastAsia="sv-SE"/>
              </w:rPr>
              <w:t xml:space="preserve">tion. </w:t>
            </w:r>
          </w:p>
          <w:p w:rsidR="00961A7E" w:rsidRPr="000A6F63" w:rsidRDefault="00961A7E" w:rsidP="00797706">
            <w:pPr>
              <w:numPr>
                <w:ilvl w:val="0"/>
                <w:numId w:val="18"/>
              </w:numPr>
              <w:autoSpaceDE w:val="0"/>
              <w:autoSpaceDN w:val="0"/>
              <w:adjustRightInd w:val="0"/>
              <w:spacing w:line="240" w:lineRule="auto"/>
              <w:jc w:val="left"/>
              <w:rPr>
                <w:rFonts w:cs="Arial"/>
                <w:color w:val="000000"/>
                <w:szCs w:val="18"/>
                <w:lang w:val="en-US" w:eastAsia="sv-SE"/>
              </w:rPr>
            </w:pPr>
            <w:r w:rsidRPr="000A6F63">
              <w:rPr>
                <w:rFonts w:cs="Arial"/>
                <w:color w:val="000000"/>
                <w:szCs w:val="18"/>
                <w:lang w:val="en-US" w:eastAsia="sv-SE"/>
              </w:rPr>
              <w:t>Fragility curves also can be used in PRAs examining other hazards, such as high winds or external floods.</w:t>
            </w:r>
          </w:p>
        </w:tc>
      </w:tr>
      <w:tr w:rsidR="00961A7E" w:rsidRPr="00CA5450" w:rsidTr="00EC412F">
        <w:tc>
          <w:tcPr>
            <w:tcW w:w="2268" w:type="dxa"/>
            <w:vAlign w:val="center"/>
          </w:tcPr>
          <w:p w:rsidR="00961A7E" w:rsidRPr="000A6F63" w:rsidRDefault="00961A7E" w:rsidP="007F622A">
            <w:pPr>
              <w:pStyle w:val="Corpsdetexte"/>
              <w:ind w:left="0"/>
              <w:rPr>
                <w:rFonts w:ascii="Trebuchet MS" w:hAnsi="Trebuchet MS" w:cs="TimesTen-Bold"/>
                <w:b/>
                <w:bCs/>
                <w:color w:val="000000"/>
                <w:sz w:val="18"/>
                <w:szCs w:val="18"/>
                <w:lang w:eastAsia="sv-SE"/>
              </w:rPr>
            </w:pPr>
            <w:r w:rsidRPr="000A6F63">
              <w:rPr>
                <w:rFonts w:ascii="Trebuchet MS" w:hAnsi="Trebuchet MS" w:cs="TimesTen-Bold"/>
                <w:b/>
                <w:bCs/>
                <w:color w:val="000000"/>
                <w:sz w:val="18"/>
                <w:szCs w:val="18"/>
                <w:lang w:eastAsia="sv-SE"/>
              </w:rPr>
              <w:t>Hazard</w:t>
            </w:r>
          </w:p>
        </w:tc>
        <w:tc>
          <w:tcPr>
            <w:tcW w:w="7227" w:type="dxa"/>
            <w:vAlign w:val="center"/>
          </w:tcPr>
          <w:p w:rsidR="00961A7E" w:rsidRPr="000A6F63" w:rsidRDefault="00A96C5E" w:rsidP="007F622A">
            <w:pPr>
              <w:autoSpaceDE w:val="0"/>
              <w:autoSpaceDN w:val="0"/>
              <w:adjustRightInd w:val="0"/>
              <w:spacing w:line="240" w:lineRule="auto"/>
              <w:jc w:val="left"/>
              <w:rPr>
                <w:rFonts w:cs="Arial"/>
                <w:color w:val="000000"/>
                <w:szCs w:val="18"/>
                <w:lang w:val="en-US" w:eastAsia="sv-SE"/>
              </w:rPr>
            </w:pPr>
            <w:r w:rsidRPr="000A6F63">
              <w:rPr>
                <w:rFonts w:cs="Arial"/>
                <w:color w:val="000000"/>
                <w:szCs w:val="18"/>
                <w:lang w:val="en-US" w:eastAsia="sv-SE"/>
              </w:rPr>
              <w:t>In the current context h</w:t>
            </w:r>
            <w:r w:rsidR="00961A7E" w:rsidRPr="000A6F63">
              <w:rPr>
                <w:rFonts w:cs="Arial"/>
                <w:color w:val="000000"/>
                <w:szCs w:val="18"/>
                <w:lang w:val="en-US" w:eastAsia="sv-SE"/>
              </w:rPr>
              <w:t xml:space="preserve">azard </w:t>
            </w:r>
            <w:r w:rsidR="00E555C7" w:rsidRPr="000A6F63">
              <w:rPr>
                <w:rFonts w:cs="Arial"/>
                <w:color w:val="000000"/>
                <w:szCs w:val="18"/>
                <w:lang w:val="en-US" w:eastAsia="sv-SE"/>
              </w:rPr>
              <w:t xml:space="preserve">is </w:t>
            </w:r>
            <w:r w:rsidRPr="000A6F63">
              <w:rPr>
                <w:rFonts w:cs="Arial"/>
                <w:color w:val="000000"/>
                <w:szCs w:val="18"/>
                <w:lang w:val="en-US" w:eastAsia="sv-SE"/>
              </w:rPr>
              <w:t>referred to as a situation that poses a threat to n</w:t>
            </w:r>
            <w:r w:rsidRPr="000A6F63">
              <w:rPr>
                <w:rFonts w:cs="Arial"/>
                <w:color w:val="000000"/>
                <w:szCs w:val="18"/>
                <w:lang w:val="en-US" w:eastAsia="sv-SE"/>
              </w:rPr>
              <w:t>u</w:t>
            </w:r>
            <w:r w:rsidRPr="000A6F63">
              <w:rPr>
                <w:rFonts w:cs="Arial"/>
                <w:color w:val="000000"/>
                <w:szCs w:val="18"/>
                <w:lang w:val="en-US" w:eastAsia="sv-SE"/>
              </w:rPr>
              <w:t>clear instal</w:t>
            </w:r>
            <w:r w:rsidR="00136FAE">
              <w:rPr>
                <w:rFonts w:cs="Arial"/>
                <w:color w:val="000000"/>
                <w:szCs w:val="18"/>
                <w:lang w:val="en-US" w:eastAsia="sv-SE"/>
              </w:rPr>
              <w:t>l</w:t>
            </w:r>
            <w:r w:rsidRPr="000A6F63">
              <w:rPr>
                <w:rFonts w:cs="Arial"/>
                <w:color w:val="000000"/>
                <w:szCs w:val="18"/>
                <w:lang w:val="en-US" w:eastAsia="sv-SE"/>
              </w:rPr>
              <w:t>ations, life or health of humans in the installation, or the environment.</w:t>
            </w:r>
          </w:p>
          <w:p w:rsidR="00961A7E" w:rsidRPr="000A6F63" w:rsidRDefault="00961A7E" w:rsidP="00797706">
            <w:pPr>
              <w:numPr>
                <w:ilvl w:val="0"/>
                <w:numId w:val="16"/>
              </w:numPr>
              <w:autoSpaceDE w:val="0"/>
              <w:autoSpaceDN w:val="0"/>
              <w:adjustRightInd w:val="0"/>
              <w:spacing w:line="240" w:lineRule="auto"/>
              <w:jc w:val="left"/>
              <w:rPr>
                <w:rFonts w:cs="Arial"/>
                <w:color w:val="000000"/>
                <w:szCs w:val="18"/>
                <w:lang w:val="en-US" w:eastAsia="sv-SE"/>
              </w:rPr>
            </w:pPr>
            <w:r w:rsidRPr="000A6F63">
              <w:rPr>
                <w:rFonts w:cs="Arial"/>
                <w:color w:val="000000"/>
                <w:szCs w:val="18"/>
                <w:lang w:val="en-US" w:eastAsia="sv-SE"/>
              </w:rPr>
              <w:t xml:space="preserve">Internal hazards include equipment failures, human failures, flooding and fires internal to the plant. </w:t>
            </w:r>
          </w:p>
          <w:p w:rsidR="00961A7E" w:rsidRPr="000A6F63" w:rsidRDefault="00961A7E" w:rsidP="00797706">
            <w:pPr>
              <w:numPr>
                <w:ilvl w:val="0"/>
                <w:numId w:val="16"/>
              </w:numPr>
              <w:autoSpaceDE w:val="0"/>
              <w:autoSpaceDN w:val="0"/>
              <w:adjustRightInd w:val="0"/>
              <w:spacing w:line="240" w:lineRule="auto"/>
              <w:jc w:val="left"/>
              <w:rPr>
                <w:color w:val="000000"/>
                <w:szCs w:val="18"/>
                <w:shd w:val="clear" w:color="auto" w:fill="FFFFFF"/>
              </w:rPr>
            </w:pPr>
            <w:r w:rsidRPr="000A6F63">
              <w:rPr>
                <w:rFonts w:cs="Arial"/>
                <w:color w:val="000000"/>
                <w:szCs w:val="18"/>
                <w:lang w:val="en-US" w:eastAsia="sv-SE"/>
              </w:rPr>
              <w:t>External hazards include events such as flooding and fires external to the plant, torn</w:t>
            </w:r>
            <w:r w:rsidRPr="000A6F63">
              <w:rPr>
                <w:rFonts w:cs="Arial"/>
                <w:color w:val="000000"/>
                <w:szCs w:val="18"/>
                <w:lang w:val="en-US" w:eastAsia="sv-SE"/>
              </w:rPr>
              <w:t>a</w:t>
            </w:r>
            <w:r w:rsidRPr="000A6F63">
              <w:rPr>
                <w:rFonts w:cs="Arial"/>
                <w:color w:val="000000"/>
                <w:szCs w:val="18"/>
                <w:lang w:val="en-US" w:eastAsia="sv-SE"/>
              </w:rPr>
              <w:t>does, earthquakes, and aircraft crashes.”</w:t>
            </w:r>
          </w:p>
        </w:tc>
      </w:tr>
      <w:tr w:rsidR="00961A7E" w:rsidRPr="00CA5450" w:rsidTr="00EC412F">
        <w:tc>
          <w:tcPr>
            <w:tcW w:w="2268" w:type="dxa"/>
            <w:vAlign w:val="center"/>
          </w:tcPr>
          <w:p w:rsidR="00961A7E" w:rsidRPr="00E94F10" w:rsidRDefault="00961A7E" w:rsidP="007F622A">
            <w:pPr>
              <w:autoSpaceDE w:val="0"/>
              <w:autoSpaceDN w:val="0"/>
              <w:adjustRightInd w:val="0"/>
              <w:spacing w:line="240" w:lineRule="auto"/>
              <w:jc w:val="left"/>
              <w:rPr>
                <w:rFonts w:cs="TimesTen-Bold"/>
                <w:b/>
                <w:bCs/>
                <w:color w:val="000000"/>
                <w:szCs w:val="18"/>
                <w:lang w:eastAsia="sv-SE"/>
              </w:rPr>
            </w:pPr>
            <w:r w:rsidRPr="00E94F10">
              <w:rPr>
                <w:rFonts w:cs="Arial,Bold"/>
                <w:b/>
                <w:bCs/>
                <w:color w:val="000000"/>
                <w:szCs w:val="18"/>
                <w:lang w:val="en-US" w:eastAsia="sv-SE"/>
              </w:rPr>
              <w:t xml:space="preserve">Hazard Analysis </w:t>
            </w:r>
          </w:p>
          <w:p w:rsidR="00961A7E" w:rsidRPr="00E94F10" w:rsidRDefault="00961A7E" w:rsidP="007F622A">
            <w:pPr>
              <w:pStyle w:val="Corpsdetexte"/>
              <w:ind w:left="0"/>
              <w:rPr>
                <w:rFonts w:ascii="Trebuchet MS" w:hAnsi="Trebuchet MS" w:cs="TimesTen-Bold"/>
                <w:b/>
                <w:bCs/>
                <w:color w:val="000000"/>
                <w:sz w:val="18"/>
                <w:szCs w:val="18"/>
                <w:lang w:eastAsia="sv-SE"/>
              </w:rPr>
            </w:pPr>
          </w:p>
        </w:tc>
        <w:tc>
          <w:tcPr>
            <w:tcW w:w="7227" w:type="dxa"/>
            <w:vAlign w:val="center"/>
          </w:tcPr>
          <w:p w:rsidR="00961A7E" w:rsidRPr="00CA5450" w:rsidRDefault="00961A7E" w:rsidP="007F622A">
            <w:pPr>
              <w:autoSpaceDE w:val="0"/>
              <w:autoSpaceDN w:val="0"/>
              <w:adjustRightInd w:val="0"/>
              <w:spacing w:line="240" w:lineRule="auto"/>
              <w:jc w:val="left"/>
              <w:rPr>
                <w:color w:val="000000"/>
                <w:szCs w:val="18"/>
                <w:shd w:val="clear" w:color="auto" w:fill="FFFFFF"/>
                <w:lang w:val="en-US"/>
              </w:rPr>
            </w:pPr>
            <w:r w:rsidRPr="00CA5450">
              <w:rPr>
                <w:rFonts w:cs="Arial"/>
                <w:color w:val="000000"/>
                <w:szCs w:val="18"/>
                <w:lang w:val="en-US" w:eastAsia="sv-SE"/>
              </w:rPr>
              <w:t>The process to dete</w:t>
            </w:r>
            <w:r w:rsidRPr="00CA5450">
              <w:rPr>
                <w:rFonts w:cs="Arial"/>
                <w:color w:val="000000"/>
                <w:szCs w:val="18"/>
                <w:lang w:val="en-US" w:eastAsia="sv-SE"/>
              </w:rPr>
              <w:t>r</w:t>
            </w:r>
            <w:r w:rsidRPr="00CA5450">
              <w:rPr>
                <w:rFonts w:cs="Arial"/>
                <w:color w:val="000000"/>
                <w:szCs w:val="18"/>
                <w:lang w:val="en-US" w:eastAsia="sv-SE"/>
              </w:rPr>
              <w:t>mine an estimate of the expected frequency of exceedance (over some specified time inte</w:t>
            </w:r>
            <w:r w:rsidRPr="00CA5450">
              <w:rPr>
                <w:rFonts w:cs="Arial"/>
                <w:color w:val="000000"/>
                <w:szCs w:val="18"/>
                <w:lang w:val="en-US" w:eastAsia="sv-SE"/>
              </w:rPr>
              <w:t>r</w:t>
            </w:r>
            <w:r w:rsidRPr="00CA5450">
              <w:rPr>
                <w:rFonts w:cs="Arial"/>
                <w:color w:val="000000"/>
                <w:szCs w:val="18"/>
                <w:lang w:val="en-US" w:eastAsia="sv-SE"/>
              </w:rPr>
              <w:t>val) of various levels of some characteristic measure of the intensity of a hazard (e.g., peak ground acceleration to characterize ground sha</w:t>
            </w:r>
            <w:r w:rsidRPr="00CA5450">
              <w:rPr>
                <w:rFonts w:cs="Arial"/>
                <w:color w:val="000000"/>
                <w:szCs w:val="18"/>
                <w:lang w:val="en-US" w:eastAsia="sv-SE"/>
              </w:rPr>
              <w:t>k</w:t>
            </w:r>
            <w:r w:rsidRPr="00CA5450">
              <w:rPr>
                <w:rFonts w:cs="Arial"/>
                <w:color w:val="000000"/>
                <w:szCs w:val="18"/>
                <w:lang w:val="en-US" w:eastAsia="sv-SE"/>
              </w:rPr>
              <w:t>ing from an earthquake). The time period of interest is often taken as 1 year, in which case the estimate is called the annual frequency of exceedance</w:t>
            </w:r>
            <w:r>
              <w:rPr>
                <w:rFonts w:cs="Arial"/>
                <w:color w:val="000000"/>
                <w:szCs w:val="18"/>
                <w:lang w:val="en-US" w:eastAsia="sv-SE"/>
              </w:rPr>
              <w:t>.</w:t>
            </w:r>
          </w:p>
        </w:tc>
      </w:tr>
      <w:tr w:rsidR="00E04647" w:rsidRPr="00CA5450" w:rsidTr="00EC412F">
        <w:tc>
          <w:tcPr>
            <w:tcW w:w="2268" w:type="dxa"/>
            <w:vAlign w:val="center"/>
          </w:tcPr>
          <w:p w:rsidR="00E04647" w:rsidRPr="000A6F63" w:rsidRDefault="00E04647" w:rsidP="004919D6">
            <w:pPr>
              <w:pStyle w:val="Corpsdetexte"/>
              <w:ind w:left="0"/>
              <w:jc w:val="left"/>
              <w:rPr>
                <w:rFonts w:ascii="Trebuchet MS" w:hAnsi="Trebuchet MS" w:cs="Arial,Bold"/>
                <w:b/>
                <w:bCs/>
                <w:color w:val="000000"/>
                <w:sz w:val="18"/>
                <w:szCs w:val="18"/>
                <w:lang w:eastAsia="sv-SE"/>
              </w:rPr>
            </w:pPr>
            <w:r w:rsidRPr="000A6F63">
              <w:rPr>
                <w:rFonts w:ascii="Trebuchet MS" w:hAnsi="Trebuchet MS" w:cs="Arial,Bold"/>
                <w:b/>
                <w:bCs/>
                <w:color w:val="000000"/>
                <w:sz w:val="18"/>
                <w:szCs w:val="18"/>
                <w:lang w:eastAsia="sv-SE"/>
              </w:rPr>
              <w:t>Hazard Curve</w:t>
            </w:r>
          </w:p>
        </w:tc>
        <w:tc>
          <w:tcPr>
            <w:tcW w:w="7227" w:type="dxa"/>
            <w:vAlign w:val="center"/>
          </w:tcPr>
          <w:p w:rsidR="00E04647" w:rsidRPr="00CA5450" w:rsidRDefault="00E04647" w:rsidP="007F622A">
            <w:pPr>
              <w:autoSpaceDE w:val="0"/>
              <w:autoSpaceDN w:val="0"/>
              <w:adjustRightInd w:val="0"/>
              <w:spacing w:line="240" w:lineRule="auto"/>
              <w:jc w:val="left"/>
              <w:rPr>
                <w:rFonts w:cs="Arial"/>
                <w:color w:val="000000"/>
                <w:szCs w:val="18"/>
                <w:lang w:val="en-US" w:eastAsia="sv-SE"/>
              </w:rPr>
            </w:pPr>
            <w:r w:rsidRPr="000A6F63">
              <w:rPr>
                <w:rFonts w:cs="Arial"/>
                <w:color w:val="000000"/>
                <w:szCs w:val="18"/>
                <w:lang w:val="en-US" w:eastAsia="sv-SE"/>
              </w:rPr>
              <w:t>See seismic hazard curve</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TimesTen-Bold"/>
                <w:b/>
                <w:bCs/>
                <w:color w:val="000000"/>
                <w:sz w:val="18"/>
                <w:szCs w:val="18"/>
                <w:lang w:eastAsia="sv-SE"/>
              </w:rPr>
            </w:pPr>
            <w:r w:rsidRPr="00E94F10">
              <w:rPr>
                <w:rFonts w:ascii="Trebuchet MS" w:hAnsi="Trebuchet MS" w:cs="Arial,Bold"/>
                <w:b/>
                <w:bCs/>
                <w:color w:val="000000"/>
                <w:sz w:val="18"/>
                <w:szCs w:val="18"/>
                <w:lang w:eastAsia="sv-SE"/>
              </w:rPr>
              <w:t>Human Reliability Ana</w:t>
            </w:r>
            <w:r w:rsidRPr="00E94F10">
              <w:rPr>
                <w:rFonts w:ascii="Trebuchet MS" w:hAnsi="Trebuchet MS" w:cs="Arial,Bold"/>
                <w:b/>
                <w:bCs/>
                <w:color w:val="000000"/>
                <w:sz w:val="18"/>
                <w:szCs w:val="18"/>
                <w:lang w:eastAsia="sv-SE"/>
              </w:rPr>
              <w:t>l</w:t>
            </w:r>
            <w:r w:rsidRPr="00E94F10">
              <w:rPr>
                <w:rFonts w:ascii="Trebuchet MS" w:hAnsi="Trebuchet MS" w:cs="Arial,Bold"/>
                <w:b/>
                <w:bCs/>
                <w:color w:val="000000"/>
                <w:sz w:val="18"/>
                <w:szCs w:val="18"/>
                <w:lang w:eastAsia="sv-SE"/>
              </w:rPr>
              <w:t>ysis</w:t>
            </w:r>
          </w:p>
        </w:tc>
        <w:tc>
          <w:tcPr>
            <w:tcW w:w="7227" w:type="dxa"/>
            <w:vAlign w:val="center"/>
          </w:tcPr>
          <w:p w:rsidR="00961A7E" w:rsidRPr="00CA5450" w:rsidRDefault="00961A7E" w:rsidP="007F622A">
            <w:pPr>
              <w:autoSpaceDE w:val="0"/>
              <w:autoSpaceDN w:val="0"/>
              <w:adjustRightInd w:val="0"/>
              <w:spacing w:line="240" w:lineRule="auto"/>
              <w:jc w:val="left"/>
              <w:rPr>
                <w:color w:val="000000"/>
                <w:szCs w:val="18"/>
                <w:shd w:val="clear" w:color="auto" w:fill="FFFFFF"/>
              </w:rPr>
            </w:pPr>
            <w:r w:rsidRPr="00CA5450">
              <w:rPr>
                <w:rFonts w:cs="Arial"/>
                <w:color w:val="000000"/>
                <w:szCs w:val="18"/>
                <w:lang w:val="en-US" w:eastAsia="sv-SE"/>
              </w:rPr>
              <w:t>A structured</w:t>
            </w:r>
            <w:r>
              <w:rPr>
                <w:rFonts w:cs="Arial"/>
                <w:color w:val="000000"/>
                <w:szCs w:val="18"/>
                <w:lang w:val="en-US" w:eastAsia="sv-SE"/>
              </w:rPr>
              <w:t xml:space="preserve"> </w:t>
            </w:r>
            <w:r w:rsidRPr="00CA5450">
              <w:rPr>
                <w:rFonts w:cs="Arial"/>
                <w:color w:val="000000"/>
                <w:szCs w:val="18"/>
                <w:lang w:val="en-US" w:eastAsia="sv-SE"/>
              </w:rPr>
              <w:t>approach used to</w:t>
            </w:r>
            <w:r>
              <w:rPr>
                <w:rFonts w:cs="Arial"/>
                <w:color w:val="000000"/>
                <w:szCs w:val="18"/>
                <w:lang w:val="en-US" w:eastAsia="sv-SE"/>
              </w:rPr>
              <w:t xml:space="preserve"> </w:t>
            </w:r>
            <w:r w:rsidRPr="00CA5450">
              <w:rPr>
                <w:rFonts w:cs="Arial"/>
                <w:color w:val="000000"/>
                <w:szCs w:val="18"/>
                <w:lang w:val="en-US" w:eastAsia="sv-SE"/>
              </w:rPr>
              <w:t>identify potential</w:t>
            </w:r>
            <w:r>
              <w:rPr>
                <w:rFonts w:cs="Arial"/>
                <w:color w:val="000000"/>
                <w:szCs w:val="18"/>
                <w:lang w:val="en-US" w:eastAsia="sv-SE"/>
              </w:rPr>
              <w:t xml:space="preserve"> </w:t>
            </w:r>
            <w:r w:rsidRPr="00CA5450">
              <w:rPr>
                <w:rFonts w:cs="Arial"/>
                <w:color w:val="000000"/>
                <w:szCs w:val="18"/>
                <w:lang w:val="en-US" w:eastAsia="sv-SE"/>
              </w:rPr>
              <w:t>human failure</w:t>
            </w:r>
            <w:r>
              <w:rPr>
                <w:rFonts w:cs="Arial"/>
                <w:color w:val="000000"/>
                <w:szCs w:val="18"/>
                <w:lang w:val="en-US" w:eastAsia="sv-SE"/>
              </w:rPr>
              <w:t xml:space="preserve"> </w:t>
            </w:r>
            <w:r w:rsidRPr="00CA5450">
              <w:rPr>
                <w:rFonts w:cs="Arial"/>
                <w:color w:val="000000"/>
                <w:szCs w:val="18"/>
                <w:lang w:val="en-US" w:eastAsia="sv-SE"/>
              </w:rPr>
              <w:t>events and to</w:t>
            </w:r>
            <w:r>
              <w:rPr>
                <w:rFonts w:cs="Arial"/>
                <w:color w:val="000000"/>
                <w:szCs w:val="18"/>
                <w:lang w:val="en-US" w:eastAsia="sv-SE"/>
              </w:rPr>
              <w:t xml:space="preserve"> </w:t>
            </w:r>
            <w:r w:rsidRPr="00CA5450">
              <w:rPr>
                <w:rFonts w:cs="Arial"/>
                <w:color w:val="000000"/>
                <w:szCs w:val="18"/>
                <w:lang w:val="en-US" w:eastAsia="sv-SE"/>
              </w:rPr>
              <w:t>syste</w:t>
            </w:r>
            <w:r w:rsidRPr="00CA5450">
              <w:rPr>
                <w:rFonts w:cs="Arial"/>
                <w:color w:val="000000"/>
                <w:szCs w:val="18"/>
                <w:lang w:val="en-US" w:eastAsia="sv-SE"/>
              </w:rPr>
              <w:t>m</w:t>
            </w:r>
            <w:r w:rsidRPr="00CA5450">
              <w:rPr>
                <w:rFonts w:cs="Arial"/>
                <w:color w:val="000000"/>
                <w:szCs w:val="18"/>
                <w:lang w:val="en-US" w:eastAsia="sv-SE"/>
              </w:rPr>
              <w:t>atically</w:t>
            </w:r>
            <w:r>
              <w:rPr>
                <w:rFonts w:cs="Arial"/>
                <w:color w:val="000000"/>
                <w:szCs w:val="18"/>
                <w:lang w:val="en-US" w:eastAsia="sv-SE"/>
              </w:rPr>
              <w:t xml:space="preserve"> </w:t>
            </w:r>
            <w:r w:rsidRPr="00CA5450">
              <w:rPr>
                <w:rFonts w:cs="Arial"/>
                <w:color w:val="000000"/>
                <w:szCs w:val="18"/>
                <w:lang w:val="en-US" w:eastAsia="sv-SE"/>
              </w:rPr>
              <w:t>estimate the</w:t>
            </w:r>
            <w:r>
              <w:rPr>
                <w:rFonts w:cs="Arial"/>
                <w:color w:val="000000"/>
                <w:szCs w:val="18"/>
                <w:lang w:val="en-US" w:eastAsia="sv-SE"/>
              </w:rPr>
              <w:t xml:space="preserve"> </w:t>
            </w:r>
            <w:r w:rsidRPr="00CA5450">
              <w:rPr>
                <w:rFonts w:cs="Arial"/>
                <w:color w:val="000000"/>
                <w:szCs w:val="18"/>
                <w:lang w:val="en-US" w:eastAsia="sv-SE"/>
              </w:rPr>
              <w:t>probability of those</w:t>
            </w:r>
            <w:r>
              <w:rPr>
                <w:rFonts w:cs="Arial"/>
                <w:color w:val="000000"/>
                <w:szCs w:val="18"/>
                <w:lang w:val="en-US" w:eastAsia="sv-SE"/>
              </w:rPr>
              <w:t xml:space="preserve"> </w:t>
            </w:r>
            <w:r w:rsidRPr="00CA5450">
              <w:rPr>
                <w:rFonts w:cs="Arial"/>
                <w:color w:val="000000"/>
                <w:szCs w:val="18"/>
                <w:lang w:val="en-US" w:eastAsia="sv-SE"/>
              </w:rPr>
              <w:t>events using data,</w:t>
            </w:r>
            <w:r>
              <w:rPr>
                <w:rFonts w:cs="Arial"/>
                <w:color w:val="000000"/>
                <w:szCs w:val="18"/>
                <w:lang w:val="en-US" w:eastAsia="sv-SE"/>
              </w:rPr>
              <w:t xml:space="preserve"> </w:t>
            </w:r>
            <w:r w:rsidRPr="00632EEF">
              <w:rPr>
                <w:rFonts w:cs="Arial"/>
                <w:color w:val="000000"/>
                <w:szCs w:val="18"/>
                <w:lang w:val="en-US" w:eastAsia="sv-SE"/>
              </w:rPr>
              <w:t>models, or expert</w:t>
            </w:r>
            <w:r>
              <w:rPr>
                <w:rFonts w:cs="Arial"/>
                <w:color w:val="000000"/>
                <w:szCs w:val="18"/>
                <w:lang w:val="en-US" w:eastAsia="sv-SE"/>
              </w:rPr>
              <w:t xml:space="preserve"> </w:t>
            </w:r>
            <w:r w:rsidRPr="00632EEF">
              <w:rPr>
                <w:rFonts w:cs="Arial"/>
                <w:color w:val="000000"/>
                <w:szCs w:val="18"/>
                <w:lang w:val="en-US" w:eastAsia="sv-SE"/>
              </w:rPr>
              <w:t>jud</w:t>
            </w:r>
            <w:r w:rsidRPr="00632EEF">
              <w:rPr>
                <w:rFonts w:cs="Arial"/>
                <w:color w:val="000000"/>
                <w:szCs w:val="18"/>
                <w:lang w:val="en-US" w:eastAsia="sv-SE"/>
              </w:rPr>
              <w:t>g</w:t>
            </w:r>
            <w:r w:rsidRPr="00632EEF">
              <w:rPr>
                <w:rFonts w:cs="Arial"/>
                <w:color w:val="000000"/>
                <w:szCs w:val="18"/>
                <w:lang w:val="en-US" w:eastAsia="sv-SE"/>
              </w:rPr>
              <w:t>ment.</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TimesTen-Bold"/>
                <w:b/>
                <w:bCs/>
                <w:color w:val="000000"/>
                <w:sz w:val="18"/>
                <w:szCs w:val="18"/>
                <w:lang w:eastAsia="sv-SE"/>
              </w:rPr>
            </w:pPr>
            <w:r w:rsidRPr="00E94F10">
              <w:rPr>
                <w:rFonts w:ascii="Trebuchet MS" w:hAnsi="Trebuchet MS" w:cs="TimesTen-Bold"/>
                <w:b/>
                <w:bCs/>
                <w:color w:val="000000"/>
                <w:sz w:val="18"/>
                <w:szCs w:val="18"/>
                <w:lang w:eastAsia="sv-SE"/>
              </w:rPr>
              <w:t>Individual plant eamin</w:t>
            </w:r>
            <w:r w:rsidRPr="00E94F10">
              <w:rPr>
                <w:rFonts w:ascii="Trebuchet MS" w:hAnsi="Trebuchet MS" w:cs="TimesTen-Bold"/>
                <w:b/>
                <w:bCs/>
                <w:color w:val="000000"/>
                <w:sz w:val="18"/>
                <w:szCs w:val="18"/>
                <w:lang w:eastAsia="sv-SE"/>
              </w:rPr>
              <w:t>a</w:t>
            </w:r>
            <w:r w:rsidRPr="00E94F10">
              <w:rPr>
                <w:rFonts w:ascii="Trebuchet MS" w:hAnsi="Trebuchet MS" w:cs="TimesTen-Bold"/>
                <w:b/>
                <w:bCs/>
                <w:color w:val="000000"/>
                <w:sz w:val="18"/>
                <w:szCs w:val="18"/>
                <w:lang w:eastAsia="sv-SE"/>
              </w:rPr>
              <w:t>tion for external events (IPEEE)</w:t>
            </w:r>
          </w:p>
        </w:tc>
        <w:tc>
          <w:tcPr>
            <w:tcW w:w="7227" w:type="dxa"/>
            <w:vAlign w:val="center"/>
          </w:tcPr>
          <w:p w:rsidR="00961A7E" w:rsidRPr="00CA5450" w:rsidRDefault="00961A7E" w:rsidP="007F622A">
            <w:pPr>
              <w:autoSpaceDE w:val="0"/>
              <w:autoSpaceDN w:val="0"/>
              <w:adjustRightInd w:val="0"/>
              <w:spacing w:line="240" w:lineRule="auto"/>
              <w:jc w:val="left"/>
              <w:rPr>
                <w:rFonts w:cs="TimesTen-Roman"/>
                <w:color w:val="000000"/>
                <w:szCs w:val="18"/>
                <w:lang w:val="en-US" w:eastAsia="sv-SE"/>
              </w:rPr>
            </w:pPr>
            <w:r w:rsidRPr="00CA5450">
              <w:rPr>
                <w:color w:val="000000"/>
                <w:szCs w:val="18"/>
                <w:shd w:val="clear" w:color="auto" w:fill="FFFFFF"/>
              </w:rPr>
              <w:t>While the "individual plant examination" takes into account events that could cha</w:t>
            </w:r>
            <w:r w:rsidRPr="00CA5450">
              <w:rPr>
                <w:color w:val="000000"/>
                <w:szCs w:val="18"/>
                <w:shd w:val="clear" w:color="auto" w:fill="FFFFFF"/>
              </w:rPr>
              <w:t>l</w:t>
            </w:r>
            <w:r w:rsidRPr="00CA5450">
              <w:rPr>
                <w:color w:val="000000"/>
                <w:szCs w:val="18"/>
                <w:shd w:val="clear" w:color="auto" w:fill="FFFFFF"/>
              </w:rPr>
              <w:t>lenge the design from things that could go awry internally (in the sense that equi</w:t>
            </w:r>
            <w:r w:rsidRPr="00CA5450">
              <w:rPr>
                <w:color w:val="000000"/>
                <w:szCs w:val="18"/>
                <w:shd w:val="clear" w:color="auto" w:fill="FFFFFF"/>
              </w:rPr>
              <w:t>p</w:t>
            </w:r>
            <w:r w:rsidRPr="00CA5450">
              <w:rPr>
                <w:color w:val="000000"/>
                <w:szCs w:val="18"/>
                <w:shd w:val="clear" w:color="auto" w:fill="FFFFFF"/>
              </w:rPr>
              <w:t>ment might fail because components do not work as expected), the "individual plant examin</w:t>
            </w:r>
            <w:r w:rsidRPr="00CA5450">
              <w:rPr>
                <w:color w:val="000000"/>
                <w:szCs w:val="18"/>
                <w:shd w:val="clear" w:color="auto" w:fill="FFFFFF"/>
              </w:rPr>
              <w:t>a</w:t>
            </w:r>
            <w:r w:rsidRPr="00CA5450">
              <w:rPr>
                <w:color w:val="000000"/>
                <w:szCs w:val="18"/>
                <w:shd w:val="clear" w:color="auto" w:fill="FFFFFF"/>
              </w:rPr>
              <w:t>tion for external events" considers challenges such as earthquakes, internal fires, and high winds.</w:t>
            </w:r>
          </w:p>
        </w:tc>
      </w:tr>
      <w:tr w:rsidR="00961A7E" w:rsidRPr="00CA5450" w:rsidTr="00EC412F">
        <w:tc>
          <w:tcPr>
            <w:tcW w:w="2268" w:type="dxa"/>
            <w:vAlign w:val="center"/>
          </w:tcPr>
          <w:p w:rsidR="00961A7E" w:rsidRPr="00E94F10" w:rsidRDefault="00961A7E" w:rsidP="007F622A">
            <w:pPr>
              <w:pStyle w:val="Corpsdetexte"/>
              <w:ind w:left="0"/>
              <w:rPr>
                <w:rFonts w:ascii="Trebuchet MS" w:hAnsi="Trebuchet MS" w:cs="TimesTen-Bold"/>
                <w:b/>
                <w:bCs/>
                <w:color w:val="000000"/>
                <w:sz w:val="18"/>
                <w:szCs w:val="18"/>
                <w:lang w:val="sv-SE" w:eastAsia="sv-SE"/>
              </w:rPr>
            </w:pPr>
            <w:r w:rsidRPr="00E94F10">
              <w:rPr>
                <w:rFonts w:ascii="Trebuchet MS" w:hAnsi="Trebuchet MS" w:cs="TimesTen-Bold"/>
                <w:b/>
                <w:bCs/>
                <w:color w:val="000000"/>
                <w:sz w:val="18"/>
                <w:szCs w:val="18"/>
                <w:lang w:val="sv-SE" w:eastAsia="sv-SE"/>
              </w:rPr>
              <w:t>Initiating Event</w:t>
            </w:r>
          </w:p>
        </w:tc>
        <w:tc>
          <w:tcPr>
            <w:tcW w:w="7227" w:type="dxa"/>
            <w:vAlign w:val="center"/>
          </w:tcPr>
          <w:p w:rsidR="00961A7E" w:rsidRPr="00CA5450" w:rsidRDefault="00961A7E" w:rsidP="007F622A">
            <w:p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An identified </w:t>
            </w:r>
            <w:r w:rsidRPr="00CA5450">
              <w:rPr>
                <w:rFonts w:cs="TimesTen-Italic"/>
                <w:i/>
                <w:iCs/>
                <w:color w:val="000000"/>
                <w:szCs w:val="18"/>
                <w:lang w:val="en-US" w:eastAsia="sv-SE"/>
              </w:rPr>
              <w:t xml:space="preserve">event </w:t>
            </w:r>
            <w:r w:rsidRPr="00CA5450">
              <w:rPr>
                <w:rFonts w:cs="TimesTen-Roman"/>
                <w:color w:val="000000"/>
                <w:szCs w:val="18"/>
                <w:lang w:val="en-US" w:eastAsia="sv-SE"/>
              </w:rPr>
              <w:t xml:space="preserve">that leads to </w:t>
            </w:r>
            <w:r w:rsidRPr="00CA5450">
              <w:rPr>
                <w:rFonts w:cs="TimesTen-Italic"/>
                <w:i/>
                <w:iCs/>
                <w:color w:val="000000"/>
                <w:szCs w:val="18"/>
                <w:lang w:val="en-US" w:eastAsia="sv-SE"/>
              </w:rPr>
              <w:t xml:space="preserve">anticipated operational occurrences </w:t>
            </w:r>
            <w:r w:rsidRPr="00CA5450">
              <w:rPr>
                <w:rFonts w:cs="TimesTen-Roman"/>
                <w:color w:val="000000"/>
                <w:szCs w:val="18"/>
                <w:lang w:val="en-US" w:eastAsia="sv-SE"/>
              </w:rPr>
              <w:t xml:space="preserve">or </w:t>
            </w:r>
            <w:r w:rsidRPr="00CA5450">
              <w:rPr>
                <w:rFonts w:cs="TimesTen-Italic"/>
                <w:i/>
                <w:iCs/>
                <w:color w:val="000000"/>
                <w:szCs w:val="18"/>
                <w:lang w:val="en-US" w:eastAsia="sv-SE"/>
              </w:rPr>
              <w:t>accident cond</w:t>
            </w:r>
            <w:r w:rsidRPr="00CA5450">
              <w:rPr>
                <w:rFonts w:cs="TimesTen-Italic"/>
                <w:i/>
                <w:iCs/>
                <w:color w:val="000000"/>
                <w:szCs w:val="18"/>
                <w:lang w:val="en-US" w:eastAsia="sv-SE"/>
              </w:rPr>
              <w:t>i</w:t>
            </w:r>
            <w:r w:rsidRPr="00CA5450">
              <w:rPr>
                <w:rFonts w:cs="TimesTen-Italic"/>
                <w:i/>
                <w:iCs/>
                <w:color w:val="000000"/>
                <w:szCs w:val="18"/>
                <w:lang w:val="en-US" w:eastAsia="sv-SE"/>
              </w:rPr>
              <w:t>tions</w:t>
            </w:r>
            <w:r w:rsidRPr="00CA5450">
              <w:rPr>
                <w:rFonts w:cs="TimesTen-Roman"/>
                <w:color w:val="000000"/>
                <w:szCs w:val="18"/>
                <w:lang w:val="en-US" w:eastAsia="sv-SE"/>
              </w:rPr>
              <w:t>.</w:t>
            </w:r>
          </w:p>
          <w:p w:rsidR="00961A7E" w:rsidRPr="00CA5450" w:rsidRDefault="00961A7E" w:rsidP="00797706">
            <w:pPr>
              <w:numPr>
                <w:ilvl w:val="0"/>
                <w:numId w:val="15"/>
              </w:num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This term (often shortened to </w:t>
            </w:r>
            <w:r w:rsidRPr="00CA5450">
              <w:rPr>
                <w:rFonts w:cs="TimesTen-BoldItalic"/>
                <w:b/>
                <w:bCs/>
                <w:i/>
                <w:iCs/>
                <w:color w:val="000000"/>
                <w:szCs w:val="18"/>
                <w:lang w:val="en-US" w:eastAsia="sv-SE"/>
              </w:rPr>
              <w:t>initiator</w:t>
            </w:r>
            <w:r w:rsidRPr="00CA5450">
              <w:rPr>
                <w:rFonts w:cs="TimesTen-Roman"/>
                <w:color w:val="000000"/>
                <w:szCs w:val="18"/>
                <w:lang w:val="en-US" w:eastAsia="sv-SE"/>
              </w:rPr>
              <w:t xml:space="preserve">) is used in relation to </w:t>
            </w:r>
            <w:r w:rsidRPr="00CA5450">
              <w:rPr>
                <w:rFonts w:cs="TimesTen-Italic"/>
                <w:i/>
                <w:iCs/>
                <w:color w:val="000000"/>
                <w:szCs w:val="18"/>
                <w:lang w:val="en-US" w:eastAsia="sv-SE"/>
              </w:rPr>
              <w:t xml:space="preserve">event </w:t>
            </w:r>
            <w:r w:rsidRPr="00CA5450">
              <w:rPr>
                <w:rFonts w:cs="TimesTen-Roman"/>
                <w:color w:val="000000"/>
                <w:szCs w:val="18"/>
                <w:lang w:val="en-US" w:eastAsia="sv-SE"/>
              </w:rPr>
              <w:t xml:space="preserve">reporting and </w:t>
            </w:r>
            <w:r w:rsidRPr="00CA5450">
              <w:rPr>
                <w:rFonts w:cs="TimesTen-Italic"/>
                <w:i/>
                <w:iCs/>
                <w:color w:val="000000"/>
                <w:szCs w:val="18"/>
                <w:lang w:val="en-US" w:eastAsia="sv-SE"/>
              </w:rPr>
              <w:t>analysis</w:t>
            </w:r>
            <w:r w:rsidRPr="00CA5450">
              <w:rPr>
                <w:rFonts w:cs="TimesTen-Roman"/>
                <w:color w:val="000000"/>
                <w:szCs w:val="18"/>
                <w:lang w:val="en-US" w:eastAsia="sv-SE"/>
              </w:rPr>
              <w:t xml:space="preserve">, i.e. when such </w:t>
            </w:r>
            <w:r w:rsidRPr="00CA5450">
              <w:rPr>
                <w:rFonts w:cs="TimesTen-Italic"/>
                <w:i/>
                <w:iCs/>
                <w:color w:val="000000"/>
                <w:szCs w:val="18"/>
                <w:lang w:val="en-US" w:eastAsia="sv-SE"/>
              </w:rPr>
              <w:t xml:space="preserve">events </w:t>
            </w:r>
            <w:r w:rsidRPr="00CA5450">
              <w:rPr>
                <w:rFonts w:cs="TimesTen-Roman"/>
                <w:color w:val="000000"/>
                <w:szCs w:val="18"/>
                <w:lang w:val="en-US" w:eastAsia="sv-SE"/>
              </w:rPr>
              <w:t>have occurred. For the consideration of hypothe</w:t>
            </w:r>
            <w:r w:rsidRPr="00CA5450">
              <w:rPr>
                <w:rFonts w:cs="TimesTen-Roman"/>
                <w:color w:val="000000"/>
                <w:szCs w:val="18"/>
                <w:lang w:val="en-US" w:eastAsia="sv-SE"/>
              </w:rPr>
              <w:t>t</w:t>
            </w:r>
            <w:r w:rsidRPr="00CA5450">
              <w:rPr>
                <w:rFonts w:cs="TimesTen-Roman"/>
                <w:color w:val="000000"/>
                <w:szCs w:val="18"/>
                <w:lang w:val="en-US" w:eastAsia="sv-SE"/>
              </w:rPr>
              <w:t xml:space="preserve">ical </w:t>
            </w:r>
            <w:r w:rsidRPr="00CA5450">
              <w:rPr>
                <w:rFonts w:cs="TimesTen-Italic"/>
                <w:i/>
                <w:iCs/>
                <w:color w:val="000000"/>
                <w:szCs w:val="18"/>
                <w:lang w:val="en-US" w:eastAsia="sv-SE"/>
              </w:rPr>
              <w:t xml:space="preserve">events </w:t>
            </w:r>
            <w:r w:rsidRPr="00CA5450">
              <w:rPr>
                <w:rFonts w:cs="TimesTen-Roman"/>
                <w:color w:val="000000"/>
                <w:szCs w:val="18"/>
                <w:lang w:val="en-US" w:eastAsia="sv-SE"/>
              </w:rPr>
              <w:t xml:space="preserve">considered at the </w:t>
            </w:r>
            <w:r w:rsidRPr="00CA5450">
              <w:rPr>
                <w:rFonts w:cs="TimesTen-Italic"/>
                <w:i/>
                <w:iCs/>
                <w:color w:val="000000"/>
                <w:szCs w:val="18"/>
                <w:lang w:val="en-US" w:eastAsia="sv-SE"/>
              </w:rPr>
              <w:t xml:space="preserve">design </w:t>
            </w:r>
            <w:r w:rsidRPr="00CA5450">
              <w:rPr>
                <w:rFonts w:cs="TimesTen-Roman"/>
                <w:color w:val="000000"/>
                <w:szCs w:val="18"/>
                <w:lang w:val="en-US" w:eastAsia="sv-SE"/>
              </w:rPr>
              <w:t xml:space="preserve">stage, the term </w:t>
            </w:r>
            <w:r w:rsidRPr="00CA5450">
              <w:rPr>
                <w:rFonts w:cs="TimesTen-Italic"/>
                <w:i/>
                <w:iCs/>
                <w:color w:val="000000"/>
                <w:szCs w:val="18"/>
                <w:lang w:val="en-US" w:eastAsia="sv-SE"/>
              </w:rPr>
              <w:t xml:space="preserve">postulated initiating event </w:t>
            </w:r>
            <w:r w:rsidRPr="00CA5450">
              <w:rPr>
                <w:rFonts w:cs="TimesTen-Roman"/>
                <w:color w:val="000000"/>
                <w:szCs w:val="18"/>
                <w:lang w:val="en-US" w:eastAsia="sv-SE"/>
              </w:rPr>
              <w:t>is used.</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Arial,Bold"/>
                <w:b/>
                <w:bCs/>
                <w:color w:val="000000"/>
                <w:sz w:val="18"/>
                <w:szCs w:val="18"/>
                <w:lang w:val="sv-SE" w:eastAsia="sv-SE"/>
              </w:rPr>
            </w:pPr>
            <w:r w:rsidRPr="00E94F10">
              <w:rPr>
                <w:rFonts w:ascii="Trebuchet MS" w:hAnsi="Trebuchet MS" w:cs="Arial,Bold"/>
                <w:b/>
                <w:bCs/>
                <w:color w:val="000000"/>
                <w:sz w:val="18"/>
                <w:szCs w:val="18"/>
                <w:lang w:val="sv-SE" w:eastAsia="sv-SE"/>
              </w:rPr>
              <w:t>Large early release</w:t>
            </w:r>
          </w:p>
        </w:tc>
        <w:tc>
          <w:tcPr>
            <w:tcW w:w="7227" w:type="dxa"/>
            <w:vAlign w:val="center"/>
          </w:tcPr>
          <w:p w:rsidR="00961A7E" w:rsidRDefault="00961A7E" w:rsidP="007F622A">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The rapid, unmitigated release of air-borne fission products from the containment to the environment occurring before the effective implementation of off-site emergency r</w:t>
            </w:r>
            <w:r>
              <w:rPr>
                <w:rFonts w:cs="Arial"/>
                <w:color w:val="000000"/>
                <w:szCs w:val="18"/>
                <w:lang w:val="en-US" w:eastAsia="sv-SE"/>
              </w:rPr>
              <w:t>e</w:t>
            </w:r>
            <w:r>
              <w:rPr>
                <w:rFonts w:cs="Arial"/>
                <w:color w:val="000000"/>
                <w:szCs w:val="18"/>
                <w:lang w:val="en-US" w:eastAsia="sv-SE"/>
              </w:rPr>
              <w:t>sponse and protective actions such that there is a potential for early health effects.</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Arial,Bold"/>
                <w:b/>
                <w:bCs/>
                <w:color w:val="000000"/>
                <w:sz w:val="18"/>
                <w:szCs w:val="18"/>
                <w:lang w:eastAsia="sv-SE"/>
              </w:rPr>
            </w:pPr>
            <w:r w:rsidRPr="00E94F10">
              <w:rPr>
                <w:rFonts w:ascii="Trebuchet MS" w:hAnsi="Trebuchet MS" w:cs="Arial,Bold"/>
                <w:b/>
                <w:bCs/>
                <w:color w:val="000000"/>
                <w:sz w:val="18"/>
                <w:szCs w:val="18"/>
                <w:lang w:eastAsia="sv-SE"/>
              </w:rPr>
              <w:t>Large early release fr</w:t>
            </w:r>
            <w:r w:rsidRPr="00E94F10">
              <w:rPr>
                <w:rFonts w:ascii="Trebuchet MS" w:hAnsi="Trebuchet MS" w:cs="Arial,Bold"/>
                <w:b/>
                <w:bCs/>
                <w:color w:val="000000"/>
                <w:sz w:val="18"/>
                <w:szCs w:val="18"/>
                <w:lang w:eastAsia="sv-SE"/>
              </w:rPr>
              <w:t>e</w:t>
            </w:r>
            <w:r w:rsidRPr="00E94F10">
              <w:rPr>
                <w:rFonts w:ascii="Trebuchet MS" w:hAnsi="Trebuchet MS" w:cs="Arial,Bold"/>
                <w:b/>
                <w:bCs/>
                <w:color w:val="000000"/>
                <w:sz w:val="18"/>
                <w:szCs w:val="18"/>
                <w:lang w:eastAsia="sv-SE"/>
              </w:rPr>
              <w:t>quency (LERF)</w:t>
            </w:r>
          </w:p>
        </w:tc>
        <w:tc>
          <w:tcPr>
            <w:tcW w:w="7227" w:type="dxa"/>
            <w:vAlign w:val="center"/>
          </w:tcPr>
          <w:p w:rsidR="00961A7E" w:rsidRDefault="00961A7E" w:rsidP="007F622A">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Expected number of large early releases per unit of time.</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TimesTen-Bold"/>
                <w:b/>
                <w:bCs/>
                <w:color w:val="000000"/>
                <w:sz w:val="18"/>
                <w:szCs w:val="18"/>
                <w:lang w:eastAsia="sv-SE"/>
              </w:rPr>
            </w:pPr>
            <w:r w:rsidRPr="00E94F10">
              <w:rPr>
                <w:rFonts w:ascii="Trebuchet MS" w:hAnsi="Trebuchet MS" w:cs="TimesTen-Bold"/>
                <w:b/>
                <w:bCs/>
                <w:color w:val="000000"/>
                <w:sz w:val="18"/>
                <w:szCs w:val="18"/>
                <w:lang w:eastAsia="sv-SE"/>
              </w:rPr>
              <w:t>Loss of coolant acc</w:t>
            </w:r>
            <w:r w:rsidRPr="00E94F10">
              <w:rPr>
                <w:rFonts w:ascii="Trebuchet MS" w:hAnsi="Trebuchet MS" w:cs="TimesTen-Bold"/>
                <w:b/>
                <w:bCs/>
                <w:color w:val="000000"/>
                <w:sz w:val="18"/>
                <w:szCs w:val="18"/>
                <w:lang w:eastAsia="sv-SE"/>
              </w:rPr>
              <w:t>i</w:t>
            </w:r>
            <w:r w:rsidRPr="00E94F10">
              <w:rPr>
                <w:rFonts w:ascii="Trebuchet MS" w:hAnsi="Trebuchet MS" w:cs="TimesTen-Bold"/>
                <w:b/>
                <w:bCs/>
                <w:color w:val="000000"/>
                <w:sz w:val="18"/>
                <w:szCs w:val="18"/>
                <w:lang w:eastAsia="sv-SE"/>
              </w:rPr>
              <w:t>dent (LOCA)</w:t>
            </w:r>
          </w:p>
        </w:tc>
        <w:tc>
          <w:tcPr>
            <w:tcW w:w="7227" w:type="dxa"/>
            <w:vAlign w:val="center"/>
          </w:tcPr>
          <w:p w:rsidR="00961A7E" w:rsidRPr="00CA5450" w:rsidRDefault="00961A7E" w:rsidP="007F622A">
            <w:pPr>
              <w:autoSpaceDE w:val="0"/>
              <w:autoSpaceDN w:val="0"/>
              <w:adjustRightInd w:val="0"/>
              <w:spacing w:line="240" w:lineRule="auto"/>
              <w:jc w:val="left"/>
              <w:rPr>
                <w:color w:val="000000"/>
                <w:szCs w:val="18"/>
                <w:shd w:val="clear" w:color="auto" w:fill="FFFFFF"/>
                <w:lang w:val="en-US"/>
              </w:rPr>
            </w:pPr>
            <w:r w:rsidRPr="00CA5450">
              <w:rPr>
                <w:color w:val="000000"/>
                <w:szCs w:val="18"/>
                <w:shd w:val="clear" w:color="auto" w:fill="FFFFFF"/>
              </w:rPr>
              <w:t>Those postulated accidents that result in a loss of</w:t>
            </w:r>
            <w:r w:rsidRPr="00CA5450">
              <w:rPr>
                <w:rStyle w:val="apple-converted-space"/>
                <w:color w:val="000000"/>
                <w:szCs w:val="18"/>
                <w:shd w:val="clear" w:color="auto" w:fill="FFFFFF"/>
              </w:rPr>
              <w:t> </w:t>
            </w:r>
            <w:r w:rsidRPr="00CA5450">
              <w:rPr>
                <w:color w:val="000000"/>
                <w:szCs w:val="18"/>
                <w:bdr w:val="none" w:sz="0" w:space="0" w:color="auto" w:frame="1"/>
                <w:shd w:val="clear" w:color="auto" w:fill="FFFFFF"/>
              </w:rPr>
              <w:t>reactor coolant</w:t>
            </w:r>
            <w:r w:rsidRPr="00CA5450">
              <w:rPr>
                <w:rStyle w:val="apple-converted-space"/>
                <w:color w:val="000000"/>
                <w:szCs w:val="18"/>
                <w:shd w:val="clear" w:color="auto" w:fill="FFFFFF"/>
              </w:rPr>
              <w:t> </w:t>
            </w:r>
            <w:r w:rsidRPr="00CA5450">
              <w:rPr>
                <w:color w:val="000000"/>
                <w:szCs w:val="18"/>
                <w:shd w:val="clear" w:color="auto" w:fill="FFFFFF"/>
              </w:rPr>
              <w:t>at a rate in excess of the capability of the reactor makeup system from breaks in the reactor coolant pressure boundary, up to and including a break equivalent in size to the double-ended rupture of the largest pipe of the</w:t>
            </w:r>
            <w:r w:rsidRPr="00CA5450">
              <w:rPr>
                <w:rStyle w:val="apple-converted-space"/>
                <w:color w:val="000000"/>
                <w:szCs w:val="18"/>
                <w:shd w:val="clear" w:color="auto" w:fill="FFFFFF"/>
              </w:rPr>
              <w:t> </w:t>
            </w:r>
            <w:r w:rsidRPr="00CA5450">
              <w:rPr>
                <w:color w:val="000000"/>
                <w:szCs w:val="18"/>
                <w:bdr w:val="none" w:sz="0" w:space="0" w:color="auto" w:frame="1"/>
                <w:shd w:val="clear" w:color="auto" w:fill="FFFFFF"/>
              </w:rPr>
              <w:t>reactor coolant system</w:t>
            </w:r>
            <w:r w:rsidRPr="00CA5450">
              <w:rPr>
                <w:color w:val="000000"/>
                <w:szCs w:val="18"/>
                <w:shd w:val="clear" w:color="auto" w:fill="FFFFFF"/>
              </w:rPr>
              <w:t>.</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TimesTen-Bold"/>
                <w:b/>
                <w:bCs/>
                <w:color w:val="000000"/>
                <w:sz w:val="18"/>
                <w:szCs w:val="18"/>
                <w:lang w:eastAsia="sv-SE"/>
              </w:rPr>
            </w:pPr>
            <w:r w:rsidRPr="00E94F10">
              <w:rPr>
                <w:rFonts w:ascii="Trebuchet MS" w:hAnsi="Trebuchet MS" w:cs="Arial,Bold"/>
                <w:b/>
                <w:bCs/>
                <w:color w:val="000000"/>
                <w:sz w:val="18"/>
                <w:szCs w:val="18"/>
                <w:lang w:eastAsia="sv-SE"/>
              </w:rPr>
              <w:t>Loss of Offsite Power (LOOP)</w:t>
            </w:r>
          </w:p>
        </w:tc>
        <w:tc>
          <w:tcPr>
            <w:tcW w:w="7227" w:type="dxa"/>
            <w:vAlign w:val="center"/>
          </w:tcPr>
          <w:p w:rsidR="00961A7E" w:rsidRPr="00CA5450" w:rsidRDefault="00961A7E" w:rsidP="007F622A">
            <w:pPr>
              <w:autoSpaceDE w:val="0"/>
              <w:autoSpaceDN w:val="0"/>
              <w:adjustRightInd w:val="0"/>
              <w:spacing w:line="240" w:lineRule="auto"/>
              <w:jc w:val="left"/>
              <w:rPr>
                <w:rFonts w:cs="Arial"/>
                <w:color w:val="000000"/>
                <w:szCs w:val="18"/>
                <w:lang w:val="en-US" w:eastAsia="sv-SE"/>
              </w:rPr>
            </w:pPr>
            <w:r w:rsidRPr="00CA5450">
              <w:rPr>
                <w:rFonts w:cs="Arial"/>
                <w:color w:val="000000"/>
                <w:szCs w:val="18"/>
                <w:lang w:val="en-US" w:eastAsia="sv-SE"/>
              </w:rPr>
              <w:t>The loss of all power from the electrical grid to the plant.</w:t>
            </w:r>
          </w:p>
          <w:p w:rsidR="00961A7E" w:rsidRPr="00CA5450" w:rsidRDefault="00961A7E" w:rsidP="007F622A">
            <w:pPr>
              <w:autoSpaceDE w:val="0"/>
              <w:autoSpaceDN w:val="0"/>
              <w:adjustRightInd w:val="0"/>
              <w:spacing w:line="240" w:lineRule="auto"/>
              <w:jc w:val="left"/>
              <w:rPr>
                <w:color w:val="000000"/>
                <w:szCs w:val="18"/>
                <w:shd w:val="clear" w:color="auto" w:fill="FFFFFF"/>
              </w:rPr>
            </w:pPr>
            <w:r w:rsidRPr="00CA5450">
              <w:rPr>
                <w:rFonts w:cs="Arial"/>
                <w:color w:val="000000"/>
                <w:szCs w:val="18"/>
                <w:lang w:val="en-US" w:eastAsia="sv-SE"/>
              </w:rPr>
              <w:t>In a PSA/PRA, loss of offsite power (LOOP) is referred to as both an initiating event and an accident sequence class. As an initiating event, LOOP to the plant can be a result of a weather-related fault, a grid-centered fault, or a plant-centered fault. During an accident sequence, LOOP can be a random failure. Generally, LOOP is co</w:t>
            </w:r>
            <w:r w:rsidRPr="00CA5450">
              <w:rPr>
                <w:rFonts w:cs="Arial"/>
                <w:color w:val="000000"/>
                <w:szCs w:val="18"/>
                <w:lang w:val="en-US" w:eastAsia="sv-SE"/>
              </w:rPr>
              <w:t>n</w:t>
            </w:r>
            <w:r w:rsidRPr="00CA5450">
              <w:rPr>
                <w:rFonts w:cs="Arial"/>
                <w:color w:val="000000"/>
                <w:szCs w:val="18"/>
                <w:lang w:val="en-US" w:eastAsia="sv-SE"/>
              </w:rPr>
              <w:t>sidered to be a tra</w:t>
            </w:r>
            <w:r w:rsidRPr="00CA5450">
              <w:rPr>
                <w:rFonts w:cs="Arial"/>
                <w:color w:val="000000"/>
                <w:szCs w:val="18"/>
                <w:lang w:val="en-US" w:eastAsia="sv-SE"/>
              </w:rPr>
              <w:t>n</w:t>
            </w:r>
            <w:r w:rsidRPr="00CA5450">
              <w:rPr>
                <w:rFonts w:cs="Arial"/>
                <w:color w:val="000000"/>
                <w:szCs w:val="18"/>
                <w:lang w:val="en-US" w:eastAsia="sv-SE"/>
              </w:rPr>
              <w:t>sient initiating event.</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TimesTen-Bold"/>
                <w:b/>
                <w:bCs/>
                <w:color w:val="000000"/>
                <w:sz w:val="18"/>
                <w:szCs w:val="18"/>
                <w:lang w:val="sv-SE" w:eastAsia="sv-SE"/>
              </w:rPr>
            </w:pPr>
            <w:r w:rsidRPr="00E94F10">
              <w:rPr>
                <w:rFonts w:ascii="Trebuchet MS" w:hAnsi="Trebuchet MS" w:cs="TimesTen-BoldItalic"/>
                <w:b/>
                <w:bCs/>
                <w:iCs/>
                <w:color w:val="000000"/>
                <w:sz w:val="18"/>
                <w:szCs w:val="18"/>
                <w:lang w:eastAsia="sv-SE"/>
              </w:rPr>
              <w:t>Postulated Initia</w:t>
            </w:r>
            <w:r w:rsidRPr="00E94F10">
              <w:rPr>
                <w:rFonts w:ascii="Trebuchet MS" w:hAnsi="Trebuchet MS" w:cs="TimesTen-BoldItalic"/>
                <w:b/>
                <w:bCs/>
                <w:iCs/>
                <w:color w:val="000000"/>
                <w:sz w:val="18"/>
                <w:szCs w:val="18"/>
                <w:lang w:eastAsia="sv-SE"/>
              </w:rPr>
              <w:t>t</w:t>
            </w:r>
            <w:r w:rsidRPr="00E94F10">
              <w:rPr>
                <w:rFonts w:ascii="Trebuchet MS" w:hAnsi="Trebuchet MS" w:cs="TimesTen-BoldItalic"/>
                <w:b/>
                <w:bCs/>
                <w:iCs/>
                <w:color w:val="000000"/>
                <w:sz w:val="18"/>
                <w:szCs w:val="18"/>
                <w:lang w:eastAsia="sv-SE"/>
              </w:rPr>
              <w:t>ing Event (PIE)</w:t>
            </w:r>
          </w:p>
        </w:tc>
        <w:tc>
          <w:tcPr>
            <w:tcW w:w="7227" w:type="dxa"/>
            <w:vAlign w:val="center"/>
          </w:tcPr>
          <w:p w:rsidR="00961A7E" w:rsidRPr="00CA5450" w:rsidRDefault="00961A7E" w:rsidP="007F622A">
            <w:p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An </w:t>
            </w:r>
            <w:r w:rsidRPr="00CA5450">
              <w:rPr>
                <w:rFonts w:cs="TimesTen-Italic"/>
                <w:i/>
                <w:iCs/>
                <w:color w:val="000000"/>
                <w:szCs w:val="18"/>
                <w:lang w:val="en-US" w:eastAsia="sv-SE"/>
              </w:rPr>
              <w:t xml:space="preserve">event </w:t>
            </w:r>
            <w:r w:rsidRPr="00CA5450">
              <w:rPr>
                <w:rFonts w:cs="TimesTen-Roman"/>
                <w:color w:val="000000"/>
                <w:szCs w:val="18"/>
                <w:lang w:val="en-US" w:eastAsia="sv-SE"/>
              </w:rPr>
              <w:t xml:space="preserve">identified during </w:t>
            </w:r>
            <w:r w:rsidRPr="00CA5450">
              <w:rPr>
                <w:rFonts w:cs="TimesTen-Italic"/>
                <w:i/>
                <w:iCs/>
                <w:color w:val="000000"/>
                <w:szCs w:val="18"/>
                <w:lang w:val="en-US" w:eastAsia="sv-SE"/>
              </w:rPr>
              <w:t xml:space="preserve">design </w:t>
            </w:r>
            <w:r w:rsidRPr="00CA5450">
              <w:rPr>
                <w:rFonts w:cs="TimesTen-Roman"/>
                <w:color w:val="000000"/>
                <w:szCs w:val="18"/>
                <w:lang w:val="en-US" w:eastAsia="sv-SE"/>
              </w:rPr>
              <w:t xml:space="preserve">as capable of leading to </w:t>
            </w:r>
            <w:r w:rsidRPr="00CA5450">
              <w:rPr>
                <w:rFonts w:cs="TimesTen-Italic"/>
                <w:i/>
                <w:iCs/>
                <w:color w:val="000000"/>
                <w:szCs w:val="18"/>
                <w:lang w:val="en-US" w:eastAsia="sv-SE"/>
              </w:rPr>
              <w:t xml:space="preserve">anticipated operational occurrences </w:t>
            </w:r>
            <w:r w:rsidRPr="00CA5450">
              <w:rPr>
                <w:rFonts w:cs="TimesTen-Roman"/>
                <w:color w:val="000000"/>
                <w:szCs w:val="18"/>
                <w:lang w:val="en-US" w:eastAsia="sv-SE"/>
              </w:rPr>
              <w:t xml:space="preserve">or </w:t>
            </w:r>
            <w:r w:rsidRPr="00CA5450">
              <w:rPr>
                <w:rFonts w:cs="TimesTen-Italic"/>
                <w:i/>
                <w:iCs/>
                <w:color w:val="000000"/>
                <w:szCs w:val="18"/>
                <w:lang w:val="en-US" w:eastAsia="sv-SE"/>
              </w:rPr>
              <w:t>accident co</w:t>
            </w:r>
            <w:r w:rsidRPr="00CA5450">
              <w:rPr>
                <w:rFonts w:cs="TimesTen-Italic"/>
                <w:i/>
                <w:iCs/>
                <w:color w:val="000000"/>
                <w:szCs w:val="18"/>
                <w:lang w:val="en-US" w:eastAsia="sv-SE"/>
              </w:rPr>
              <w:t>n</w:t>
            </w:r>
            <w:r w:rsidRPr="00CA5450">
              <w:rPr>
                <w:rFonts w:cs="TimesTen-Italic"/>
                <w:i/>
                <w:iCs/>
                <w:color w:val="000000"/>
                <w:szCs w:val="18"/>
                <w:lang w:val="en-US" w:eastAsia="sv-SE"/>
              </w:rPr>
              <w:t>ditions</w:t>
            </w:r>
            <w:r w:rsidRPr="00CA5450">
              <w:rPr>
                <w:rFonts w:cs="TimesTen-Roman"/>
                <w:color w:val="000000"/>
                <w:szCs w:val="18"/>
                <w:lang w:val="en-US" w:eastAsia="sv-SE"/>
              </w:rPr>
              <w:t>.</w:t>
            </w:r>
          </w:p>
          <w:p w:rsidR="00961A7E" w:rsidRPr="00CA5450" w:rsidRDefault="00961A7E" w:rsidP="00797706">
            <w:pPr>
              <w:numPr>
                <w:ilvl w:val="0"/>
                <w:numId w:val="15"/>
              </w:num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lastRenderedPageBreak/>
              <w:t xml:space="preserve">The primary causes of </w:t>
            </w:r>
            <w:r w:rsidRPr="00CA5450">
              <w:rPr>
                <w:rFonts w:cs="TimesTen-Italic"/>
                <w:i/>
                <w:iCs/>
                <w:color w:val="000000"/>
                <w:szCs w:val="18"/>
                <w:lang w:val="en-US" w:eastAsia="sv-SE"/>
              </w:rPr>
              <w:t xml:space="preserve">postulated initiating events </w:t>
            </w:r>
            <w:r w:rsidRPr="00CA5450">
              <w:rPr>
                <w:rFonts w:cs="TimesTen-Roman"/>
                <w:color w:val="000000"/>
                <w:szCs w:val="18"/>
                <w:lang w:val="en-US" w:eastAsia="sv-SE"/>
              </w:rPr>
              <w:t>may be credible equi</w:t>
            </w:r>
            <w:r w:rsidRPr="00CA5450">
              <w:rPr>
                <w:rFonts w:cs="TimesTen-Roman"/>
                <w:color w:val="000000"/>
                <w:szCs w:val="18"/>
                <w:lang w:val="en-US" w:eastAsia="sv-SE"/>
              </w:rPr>
              <w:t>p</w:t>
            </w:r>
            <w:r w:rsidRPr="00CA5450">
              <w:rPr>
                <w:rFonts w:cs="TimesTen-Roman"/>
                <w:color w:val="000000"/>
                <w:szCs w:val="18"/>
                <w:lang w:val="en-US" w:eastAsia="sv-SE"/>
              </w:rPr>
              <w:t>ment</w:t>
            </w:r>
            <w:r w:rsidRPr="00CA5450">
              <w:rPr>
                <w:rFonts w:cs="TimesTen-Italic"/>
                <w:i/>
                <w:iCs/>
                <w:color w:val="000000"/>
                <w:szCs w:val="18"/>
                <w:lang w:val="en-US" w:eastAsia="sv-SE"/>
              </w:rPr>
              <w:t xml:space="preserve">failures </w:t>
            </w:r>
            <w:r w:rsidRPr="00CA5450">
              <w:rPr>
                <w:rFonts w:cs="TimesTen-Roman"/>
                <w:color w:val="000000"/>
                <w:szCs w:val="18"/>
                <w:lang w:val="en-US" w:eastAsia="sv-SE"/>
              </w:rPr>
              <w:t xml:space="preserve">and </w:t>
            </w:r>
            <w:r w:rsidRPr="00CA5450">
              <w:rPr>
                <w:rFonts w:cs="TimesTen-Italic"/>
                <w:i/>
                <w:iCs/>
                <w:color w:val="000000"/>
                <w:szCs w:val="18"/>
                <w:lang w:val="en-US" w:eastAsia="sv-SE"/>
              </w:rPr>
              <w:t xml:space="preserve">operator </w:t>
            </w:r>
            <w:r w:rsidRPr="00CA5450">
              <w:rPr>
                <w:rFonts w:cs="TimesTen-Roman"/>
                <w:color w:val="000000"/>
                <w:szCs w:val="18"/>
                <w:lang w:val="en-US" w:eastAsia="sv-SE"/>
              </w:rPr>
              <w:t xml:space="preserve">errors (both within and external to the </w:t>
            </w:r>
            <w:r w:rsidRPr="00CA5450">
              <w:rPr>
                <w:rFonts w:cs="TimesTen-Italic"/>
                <w:i/>
                <w:iCs/>
                <w:color w:val="000000"/>
                <w:szCs w:val="18"/>
                <w:lang w:val="en-US" w:eastAsia="sv-SE"/>
              </w:rPr>
              <w:t>facility</w:t>
            </w:r>
            <w:r w:rsidRPr="00CA5450">
              <w:rPr>
                <w:rFonts w:cs="TimesTen-Roman"/>
                <w:color w:val="000000"/>
                <w:szCs w:val="18"/>
                <w:lang w:val="en-US" w:eastAsia="sv-SE"/>
              </w:rPr>
              <w:t xml:space="preserve">) or human induced or natural </w:t>
            </w:r>
            <w:r w:rsidRPr="00CA5450">
              <w:rPr>
                <w:rFonts w:cs="TimesTen-Italic"/>
                <w:i/>
                <w:iCs/>
                <w:color w:val="000000"/>
                <w:szCs w:val="18"/>
                <w:lang w:val="en-US" w:eastAsia="sv-SE"/>
              </w:rPr>
              <w:t>events</w:t>
            </w:r>
            <w:r w:rsidRPr="00CA5450">
              <w:rPr>
                <w:rFonts w:cs="TimesTen-Roman"/>
                <w:color w:val="000000"/>
                <w:szCs w:val="18"/>
                <w:lang w:val="en-US" w:eastAsia="sv-SE"/>
              </w:rPr>
              <w:t>.</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TimesTen-Bold"/>
                <w:b/>
                <w:bCs/>
                <w:color w:val="000000"/>
                <w:sz w:val="18"/>
                <w:szCs w:val="18"/>
                <w:lang w:eastAsia="sv-SE"/>
              </w:rPr>
            </w:pPr>
            <w:r w:rsidRPr="00E94F10">
              <w:rPr>
                <w:rFonts w:ascii="Trebuchet MS" w:hAnsi="Trebuchet MS" w:cs="Arial,Bold"/>
                <w:b/>
                <w:bCs/>
                <w:color w:val="000000"/>
                <w:sz w:val="18"/>
                <w:szCs w:val="18"/>
                <w:lang w:val="sv-SE" w:eastAsia="sv-SE"/>
              </w:rPr>
              <w:lastRenderedPageBreak/>
              <w:t>Screening</w:t>
            </w:r>
          </w:p>
        </w:tc>
        <w:tc>
          <w:tcPr>
            <w:tcW w:w="7227" w:type="dxa"/>
            <w:vAlign w:val="center"/>
          </w:tcPr>
          <w:p w:rsidR="00961A7E" w:rsidRPr="00CA5450" w:rsidRDefault="00961A7E" w:rsidP="007F622A">
            <w:pPr>
              <w:autoSpaceDE w:val="0"/>
              <w:autoSpaceDN w:val="0"/>
              <w:adjustRightInd w:val="0"/>
              <w:spacing w:line="240" w:lineRule="auto"/>
              <w:jc w:val="left"/>
              <w:rPr>
                <w:color w:val="000000"/>
                <w:szCs w:val="18"/>
                <w:shd w:val="clear" w:color="auto" w:fill="FFFFFF"/>
              </w:rPr>
            </w:pPr>
            <w:r w:rsidRPr="00CA5450">
              <w:rPr>
                <w:rFonts w:cs="Arial"/>
                <w:color w:val="000000"/>
                <w:szCs w:val="18"/>
                <w:lang w:val="en-US" w:eastAsia="sv-SE"/>
              </w:rPr>
              <w:t>A process that</w:t>
            </w:r>
            <w:r>
              <w:rPr>
                <w:rFonts w:cs="Arial"/>
                <w:color w:val="000000"/>
                <w:szCs w:val="18"/>
                <w:lang w:val="en-US" w:eastAsia="sv-SE"/>
              </w:rPr>
              <w:t xml:space="preserve"> </w:t>
            </w:r>
            <w:r w:rsidRPr="00CA5450">
              <w:rPr>
                <w:rFonts w:cs="Arial"/>
                <w:color w:val="000000"/>
                <w:szCs w:val="18"/>
                <w:lang w:val="en-US" w:eastAsia="sv-SE"/>
              </w:rPr>
              <w:t>distinguishes items</w:t>
            </w:r>
            <w:r>
              <w:rPr>
                <w:rFonts w:cs="Arial"/>
                <w:color w:val="000000"/>
                <w:szCs w:val="18"/>
                <w:lang w:val="en-US" w:eastAsia="sv-SE"/>
              </w:rPr>
              <w:t xml:space="preserve"> </w:t>
            </w:r>
            <w:r w:rsidRPr="00CA5450">
              <w:rPr>
                <w:rFonts w:cs="Arial"/>
                <w:color w:val="000000"/>
                <w:szCs w:val="18"/>
                <w:lang w:val="en-US" w:eastAsia="sv-SE"/>
              </w:rPr>
              <w:t>that should be</w:t>
            </w:r>
            <w:r>
              <w:rPr>
                <w:rFonts w:cs="Arial"/>
                <w:color w:val="000000"/>
                <w:szCs w:val="18"/>
                <w:lang w:val="en-US" w:eastAsia="sv-SE"/>
              </w:rPr>
              <w:t xml:space="preserve"> </w:t>
            </w:r>
            <w:r w:rsidRPr="00CA5450">
              <w:rPr>
                <w:rFonts w:cs="Arial"/>
                <w:color w:val="000000"/>
                <w:szCs w:val="18"/>
                <w:lang w:val="en-US" w:eastAsia="sv-SE"/>
              </w:rPr>
              <w:t>included or excluded</w:t>
            </w:r>
            <w:r>
              <w:rPr>
                <w:rFonts w:cs="Arial"/>
                <w:color w:val="000000"/>
                <w:szCs w:val="18"/>
                <w:lang w:val="en-US" w:eastAsia="sv-SE"/>
              </w:rPr>
              <w:t xml:space="preserve"> </w:t>
            </w:r>
            <w:r w:rsidRPr="00CA5450">
              <w:rPr>
                <w:rFonts w:cs="Arial"/>
                <w:color w:val="000000"/>
                <w:szCs w:val="18"/>
                <w:lang w:val="en-US" w:eastAsia="sv-SE"/>
              </w:rPr>
              <w:t>from an anal</w:t>
            </w:r>
            <w:r w:rsidRPr="00CA5450">
              <w:rPr>
                <w:rFonts w:cs="Arial"/>
                <w:color w:val="000000"/>
                <w:szCs w:val="18"/>
                <w:lang w:val="en-US" w:eastAsia="sv-SE"/>
              </w:rPr>
              <w:t>y</w:t>
            </w:r>
            <w:r w:rsidRPr="00CA5450">
              <w:rPr>
                <w:rFonts w:cs="Arial"/>
                <w:color w:val="000000"/>
                <w:szCs w:val="18"/>
                <w:lang w:val="en-US" w:eastAsia="sv-SE"/>
              </w:rPr>
              <w:t>sis</w:t>
            </w:r>
            <w:r>
              <w:rPr>
                <w:rFonts w:cs="Arial"/>
                <w:color w:val="000000"/>
                <w:szCs w:val="18"/>
                <w:lang w:val="en-US" w:eastAsia="sv-SE"/>
              </w:rPr>
              <w:t xml:space="preserve"> </w:t>
            </w:r>
            <w:r w:rsidRPr="00390789">
              <w:rPr>
                <w:rFonts w:cs="Arial"/>
                <w:color w:val="000000"/>
                <w:szCs w:val="18"/>
                <w:lang w:val="en-US" w:eastAsia="sv-SE"/>
              </w:rPr>
              <w:t>based on defined criteria.</w:t>
            </w:r>
          </w:p>
        </w:tc>
      </w:tr>
      <w:tr w:rsidR="00961A7E" w:rsidRPr="00CA5450" w:rsidTr="00EC412F">
        <w:tc>
          <w:tcPr>
            <w:tcW w:w="2268" w:type="dxa"/>
            <w:vAlign w:val="center"/>
          </w:tcPr>
          <w:p w:rsidR="00961A7E" w:rsidRPr="00E94F10" w:rsidRDefault="00961A7E" w:rsidP="004919D6">
            <w:pPr>
              <w:pStyle w:val="Corpsdetexte"/>
              <w:ind w:left="0"/>
              <w:jc w:val="left"/>
              <w:rPr>
                <w:rFonts w:ascii="Trebuchet MS" w:hAnsi="Trebuchet MS" w:cs="TimesTen-Bold"/>
                <w:b/>
                <w:bCs/>
                <w:color w:val="000000"/>
                <w:sz w:val="18"/>
                <w:szCs w:val="18"/>
                <w:lang w:eastAsia="sv-SE"/>
              </w:rPr>
            </w:pPr>
            <w:r w:rsidRPr="00E94F10">
              <w:rPr>
                <w:rFonts w:ascii="Trebuchet MS" w:hAnsi="Trebuchet MS" w:cs="Arial"/>
                <w:b/>
                <w:color w:val="000000"/>
                <w:sz w:val="18"/>
                <w:szCs w:val="18"/>
                <w:lang w:eastAsia="sv-SE"/>
              </w:rPr>
              <w:t>Screening crit</w:t>
            </w:r>
            <w:r w:rsidRPr="00E94F10">
              <w:rPr>
                <w:rFonts w:ascii="Trebuchet MS" w:hAnsi="Trebuchet MS" w:cs="Arial"/>
                <w:b/>
                <w:color w:val="000000"/>
                <w:sz w:val="18"/>
                <w:szCs w:val="18"/>
                <w:lang w:eastAsia="sv-SE"/>
              </w:rPr>
              <w:t>e</w:t>
            </w:r>
            <w:r w:rsidRPr="00E94F10">
              <w:rPr>
                <w:rFonts w:ascii="Trebuchet MS" w:hAnsi="Trebuchet MS" w:cs="Arial"/>
                <w:b/>
                <w:color w:val="000000"/>
                <w:sz w:val="18"/>
                <w:szCs w:val="18"/>
                <w:lang w:eastAsia="sv-SE"/>
              </w:rPr>
              <w:t>ria</w:t>
            </w:r>
          </w:p>
        </w:tc>
        <w:tc>
          <w:tcPr>
            <w:tcW w:w="7227" w:type="dxa"/>
            <w:vAlign w:val="center"/>
          </w:tcPr>
          <w:p w:rsidR="00961A7E" w:rsidRPr="00CA5450" w:rsidRDefault="00961A7E" w:rsidP="007F622A">
            <w:pPr>
              <w:autoSpaceDE w:val="0"/>
              <w:autoSpaceDN w:val="0"/>
              <w:adjustRightInd w:val="0"/>
              <w:spacing w:line="240" w:lineRule="auto"/>
              <w:jc w:val="left"/>
              <w:rPr>
                <w:color w:val="000000"/>
                <w:szCs w:val="18"/>
                <w:shd w:val="clear" w:color="auto" w:fill="FFFFFF"/>
              </w:rPr>
            </w:pPr>
            <w:r w:rsidRPr="00CA5450">
              <w:rPr>
                <w:rFonts w:cs="Arial"/>
                <w:color w:val="000000"/>
                <w:szCs w:val="18"/>
                <w:lang w:val="en-US" w:eastAsia="sv-SE"/>
              </w:rPr>
              <w:t>The values and conditions used to determine whether an item</w:t>
            </w:r>
            <w:r>
              <w:rPr>
                <w:rFonts w:cs="Arial"/>
                <w:color w:val="000000"/>
                <w:szCs w:val="18"/>
                <w:lang w:val="en-US" w:eastAsia="sv-SE"/>
              </w:rPr>
              <w:t xml:space="preserve"> </w:t>
            </w:r>
            <w:r w:rsidRPr="00CA5450">
              <w:rPr>
                <w:rFonts w:cs="Arial"/>
                <w:color w:val="000000"/>
                <w:szCs w:val="18"/>
                <w:lang w:val="en-US" w:eastAsia="sv-SE"/>
              </w:rPr>
              <w:t>is a negligible contrib</w:t>
            </w:r>
            <w:r w:rsidRPr="00CA5450">
              <w:rPr>
                <w:rFonts w:cs="Arial"/>
                <w:color w:val="000000"/>
                <w:szCs w:val="18"/>
                <w:lang w:val="en-US" w:eastAsia="sv-SE"/>
              </w:rPr>
              <w:t>u</w:t>
            </w:r>
            <w:r w:rsidRPr="00CA5450">
              <w:rPr>
                <w:rFonts w:cs="Arial"/>
                <w:color w:val="000000"/>
                <w:szCs w:val="18"/>
                <w:lang w:val="en-US" w:eastAsia="sv-SE"/>
              </w:rPr>
              <w:t>tor to the probability of an accident sequence or its</w:t>
            </w:r>
            <w:r>
              <w:rPr>
                <w:rFonts w:cs="Arial"/>
                <w:color w:val="000000"/>
                <w:szCs w:val="18"/>
                <w:lang w:val="en-US" w:eastAsia="sv-SE"/>
              </w:rPr>
              <w:t xml:space="preserve"> </w:t>
            </w:r>
            <w:r w:rsidRPr="00806215">
              <w:rPr>
                <w:rFonts w:cs="Arial"/>
                <w:color w:val="000000"/>
                <w:szCs w:val="18"/>
                <w:lang w:val="en-US" w:eastAsia="sv-SE"/>
              </w:rPr>
              <w:t>consequences.</w:t>
            </w:r>
          </w:p>
        </w:tc>
      </w:tr>
      <w:tr w:rsidR="00DD4760" w:rsidRPr="00CA5450" w:rsidTr="00F10FCA">
        <w:tc>
          <w:tcPr>
            <w:tcW w:w="2268" w:type="dxa"/>
            <w:vAlign w:val="center"/>
          </w:tcPr>
          <w:p w:rsidR="00DD4760" w:rsidRPr="00E94F10" w:rsidRDefault="00DD4760" w:rsidP="00F10FCA">
            <w:pPr>
              <w:pStyle w:val="Corpsdetexte"/>
              <w:ind w:left="0"/>
              <w:rPr>
                <w:rFonts w:ascii="Trebuchet MS" w:hAnsi="Trebuchet MS" w:cs="TimesTen-Bold"/>
                <w:b/>
                <w:bCs/>
                <w:color w:val="000000"/>
                <w:sz w:val="18"/>
                <w:szCs w:val="18"/>
                <w:lang w:eastAsia="sv-SE"/>
              </w:rPr>
            </w:pPr>
            <w:r>
              <w:rPr>
                <w:rFonts w:ascii="Trebuchet MS" w:hAnsi="Trebuchet MS" w:cs="Arial,Bold"/>
                <w:b/>
                <w:bCs/>
                <w:color w:val="000000"/>
                <w:sz w:val="18"/>
                <w:szCs w:val="18"/>
                <w:lang w:val="sv-SE" w:eastAsia="sv-SE"/>
              </w:rPr>
              <w:t>Seismic Hazard Analysis (SHA)</w:t>
            </w:r>
          </w:p>
        </w:tc>
        <w:tc>
          <w:tcPr>
            <w:tcW w:w="7227" w:type="dxa"/>
            <w:vAlign w:val="center"/>
          </w:tcPr>
          <w:p w:rsidR="00DD4760" w:rsidRPr="00CA5450" w:rsidRDefault="00DD4760" w:rsidP="00F10FCA">
            <w:pPr>
              <w:autoSpaceDE w:val="0"/>
              <w:autoSpaceDN w:val="0"/>
              <w:adjustRightInd w:val="0"/>
              <w:spacing w:line="240" w:lineRule="auto"/>
              <w:jc w:val="left"/>
              <w:rPr>
                <w:rFonts w:cs="Arial"/>
                <w:color w:val="000000"/>
                <w:szCs w:val="18"/>
                <w:lang w:val="en-US" w:eastAsia="sv-SE"/>
              </w:rPr>
            </w:pPr>
            <w:r w:rsidRPr="00CA5450">
              <w:rPr>
                <w:rFonts w:cs="Arial"/>
                <w:color w:val="000000"/>
                <w:szCs w:val="18"/>
                <w:lang w:val="en-US" w:eastAsia="sv-SE"/>
              </w:rPr>
              <w:t xml:space="preserve">A process used to assess </w:t>
            </w:r>
            <w:r>
              <w:rPr>
                <w:rFonts w:cs="Arial"/>
                <w:color w:val="000000"/>
                <w:szCs w:val="18"/>
                <w:lang w:val="en-US" w:eastAsia="sv-SE"/>
              </w:rPr>
              <w:t>the hazards of seismic events. Assessments may use dete</w:t>
            </w:r>
            <w:r>
              <w:rPr>
                <w:rFonts w:cs="Arial"/>
                <w:color w:val="000000"/>
                <w:szCs w:val="18"/>
                <w:lang w:val="en-US" w:eastAsia="sv-SE"/>
              </w:rPr>
              <w:t>r</w:t>
            </w:r>
            <w:r>
              <w:rPr>
                <w:rFonts w:cs="Arial"/>
                <w:color w:val="000000"/>
                <w:szCs w:val="18"/>
                <w:lang w:val="en-US" w:eastAsia="sv-SE"/>
              </w:rPr>
              <w:t>ministic methods, probabilistic methods, or combinations of both.</w:t>
            </w:r>
          </w:p>
          <w:p w:rsidR="00DD4760" w:rsidRDefault="00DD4760" w:rsidP="00F10FCA">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 xml:space="preserve">Probabilistic assessments determine </w:t>
            </w:r>
            <w:r w:rsidRPr="00CA5450">
              <w:rPr>
                <w:rFonts w:cs="Arial"/>
                <w:color w:val="000000"/>
                <w:szCs w:val="18"/>
                <w:lang w:val="en-US" w:eastAsia="sv-SE"/>
              </w:rPr>
              <w:t xml:space="preserve">the </w:t>
            </w:r>
            <w:r>
              <w:rPr>
                <w:rFonts w:cs="Arial"/>
                <w:color w:val="000000"/>
                <w:szCs w:val="18"/>
                <w:lang w:val="en-US" w:eastAsia="sv-SE"/>
              </w:rPr>
              <w:t xml:space="preserve">probability </w:t>
            </w:r>
            <w:r w:rsidRPr="00CA5450">
              <w:rPr>
                <w:rFonts w:cs="Arial"/>
                <w:color w:val="000000"/>
                <w:szCs w:val="18"/>
                <w:lang w:val="en-US" w:eastAsia="sv-SE"/>
              </w:rPr>
              <w:t>of occurrence of diffe</w:t>
            </w:r>
            <w:r w:rsidRPr="00CA5450">
              <w:rPr>
                <w:rFonts w:cs="Arial"/>
                <w:color w:val="000000"/>
                <w:szCs w:val="18"/>
                <w:lang w:val="en-US" w:eastAsia="sv-SE"/>
              </w:rPr>
              <w:t>r</w:t>
            </w:r>
            <w:r w:rsidRPr="00CA5450">
              <w:rPr>
                <w:rFonts w:cs="Arial"/>
                <w:color w:val="000000"/>
                <w:szCs w:val="18"/>
                <w:lang w:val="en-US" w:eastAsia="sv-SE"/>
              </w:rPr>
              <w:t xml:space="preserve">ent </w:t>
            </w:r>
            <w:r>
              <w:rPr>
                <w:rFonts w:cs="Arial"/>
                <w:color w:val="000000"/>
                <w:szCs w:val="18"/>
                <w:lang w:val="en-US" w:eastAsia="sv-SE"/>
              </w:rPr>
              <w:t>groiund shaking severities.</w:t>
            </w:r>
            <w:r w:rsidRPr="00CA5450">
              <w:rPr>
                <w:rFonts w:cs="Arial"/>
                <w:color w:val="000000"/>
                <w:szCs w:val="18"/>
                <w:lang w:val="en-US" w:eastAsia="sv-SE"/>
              </w:rPr>
              <w:t xml:space="preserve"> The</w:t>
            </w:r>
            <w:r>
              <w:rPr>
                <w:rFonts w:cs="Arial"/>
                <w:color w:val="000000"/>
                <w:szCs w:val="18"/>
                <w:lang w:val="en-US" w:eastAsia="sv-SE"/>
              </w:rPr>
              <w:t xml:space="preserve">se probabilities are </w:t>
            </w:r>
            <w:r w:rsidRPr="00CA5450">
              <w:rPr>
                <w:rFonts w:cs="Arial"/>
                <w:color w:val="000000"/>
                <w:szCs w:val="18"/>
                <w:lang w:val="en-US" w:eastAsia="sv-SE"/>
              </w:rPr>
              <w:t>used as input</w:t>
            </w:r>
            <w:r>
              <w:rPr>
                <w:rFonts w:cs="Arial"/>
                <w:color w:val="000000"/>
                <w:szCs w:val="18"/>
                <w:lang w:val="en-US" w:eastAsia="sv-SE"/>
              </w:rPr>
              <w:t xml:space="preserve"> parameters</w:t>
            </w:r>
            <w:r w:rsidRPr="00CA5450">
              <w:rPr>
                <w:rFonts w:cs="Arial"/>
                <w:color w:val="000000"/>
                <w:szCs w:val="18"/>
                <w:lang w:val="en-US" w:eastAsia="sv-SE"/>
              </w:rPr>
              <w:t xml:space="preserve"> to the model used to assess </w:t>
            </w:r>
            <w:r>
              <w:rPr>
                <w:rFonts w:cs="Arial"/>
                <w:color w:val="000000"/>
                <w:szCs w:val="18"/>
                <w:lang w:val="en-US" w:eastAsia="sv-SE"/>
              </w:rPr>
              <w:t>the potential effects on the plant.</w:t>
            </w:r>
          </w:p>
          <w:p w:rsidR="00DD4760" w:rsidRPr="00CA5450" w:rsidRDefault="00DD4760" w:rsidP="00F10FCA">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Deterministic seismic hazard assessment deterimes the strongest possible groundsha</w:t>
            </w:r>
            <w:r>
              <w:rPr>
                <w:rFonts w:cs="Arial"/>
                <w:color w:val="000000"/>
                <w:szCs w:val="18"/>
                <w:lang w:val="en-US" w:eastAsia="sv-SE"/>
              </w:rPr>
              <w:t>k</w:t>
            </w:r>
            <w:r>
              <w:rPr>
                <w:rFonts w:cs="Arial"/>
                <w:color w:val="000000"/>
                <w:szCs w:val="18"/>
                <w:lang w:val="en-US" w:eastAsia="sv-SE"/>
              </w:rPr>
              <w:t>ing parameters at a site from the largest earthquake that is regarded possible to o</w:t>
            </w:r>
            <w:r>
              <w:rPr>
                <w:rFonts w:cs="Arial"/>
                <w:color w:val="000000"/>
                <w:szCs w:val="18"/>
                <w:lang w:val="en-US" w:eastAsia="sv-SE"/>
              </w:rPr>
              <w:t>c</w:t>
            </w:r>
            <w:r>
              <w:rPr>
                <w:rFonts w:cs="Arial"/>
                <w:color w:val="000000"/>
                <w:szCs w:val="18"/>
                <w:lang w:val="en-US" w:eastAsia="sv-SE"/>
              </w:rPr>
              <w:t>cur at a certain fault or in a seismic zone.</w:t>
            </w:r>
          </w:p>
        </w:tc>
      </w:tr>
      <w:tr w:rsidR="00E04647" w:rsidRPr="00303829" w:rsidTr="00EC412F">
        <w:tc>
          <w:tcPr>
            <w:tcW w:w="2268" w:type="dxa"/>
            <w:vAlign w:val="center"/>
          </w:tcPr>
          <w:p w:rsidR="00E04647" w:rsidRPr="000A6F63" w:rsidRDefault="00E04647" w:rsidP="004919D6">
            <w:pPr>
              <w:pStyle w:val="Corpsdetexte"/>
              <w:ind w:left="0"/>
              <w:jc w:val="left"/>
              <w:rPr>
                <w:rFonts w:ascii="Trebuchet MS" w:hAnsi="Trebuchet MS" w:cs="TimesTen-BoldItalic"/>
                <w:b/>
                <w:bCs/>
                <w:iCs/>
                <w:color w:val="000000"/>
                <w:sz w:val="18"/>
                <w:szCs w:val="18"/>
                <w:lang w:eastAsia="sv-SE"/>
              </w:rPr>
            </w:pPr>
            <w:r w:rsidRPr="000A6F63">
              <w:rPr>
                <w:rFonts w:ascii="Trebuchet MS" w:hAnsi="Trebuchet MS" w:cs="TimesTen-BoldItalic"/>
                <w:b/>
                <w:bCs/>
                <w:iCs/>
                <w:color w:val="000000"/>
                <w:sz w:val="18"/>
                <w:szCs w:val="18"/>
                <w:lang w:eastAsia="sv-SE"/>
              </w:rPr>
              <w:t>Seismic Hazard Curve</w:t>
            </w:r>
          </w:p>
        </w:tc>
        <w:tc>
          <w:tcPr>
            <w:tcW w:w="7227" w:type="dxa"/>
            <w:vAlign w:val="center"/>
          </w:tcPr>
          <w:p w:rsidR="00E04647" w:rsidRPr="00303829" w:rsidRDefault="00E04647" w:rsidP="00B61ECD">
            <w:pPr>
              <w:autoSpaceDE w:val="0"/>
              <w:autoSpaceDN w:val="0"/>
              <w:adjustRightInd w:val="0"/>
              <w:spacing w:line="240" w:lineRule="auto"/>
              <w:jc w:val="left"/>
              <w:rPr>
                <w:rFonts w:cs="TimesTen-Roman"/>
                <w:color w:val="000000"/>
                <w:szCs w:val="18"/>
                <w:lang w:val="en-US" w:eastAsia="sv-SE"/>
              </w:rPr>
            </w:pPr>
            <w:r w:rsidRPr="000A6F63">
              <w:rPr>
                <w:rFonts w:cs="TimesTen-Roman"/>
                <w:color w:val="000000"/>
                <w:szCs w:val="18"/>
                <w:lang w:val="en-US" w:eastAsia="sv-SE"/>
              </w:rPr>
              <w:t xml:space="preserve">A plot of the exceedance frequency </w:t>
            </w:r>
            <w:r w:rsidR="00B61ECD" w:rsidRPr="000A6F63">
              <w:rPr>
                <w:rFonts w:cs="TimesTen-Roman"/>
                <w:color w:val="000000"/>
                <w:szCs w:val="18"/>
                <w:lang w:val="en-US" w:eastAsia="sv-SE"/>
              </w:rPr>
              <w:t xml:space="preserve">(annual probability of exceedance) versus </w:t>
            </w:r>
            <w:r w:rsidRPr="000A6F63">
              <w:rPr>
                <w:rFonts w:cs="TimesTen-Roman"/>
                <w:color w:val="000000"/>
                <w:szCs w:val="18"/>
                <w:lang w:val="en-US" w:eastAsia="sv-SE"/>
              </w:rPr>
              <w:t xml:space="preserve">the level of vibratory ground motion </w:t>
            </w:r>
            <w:r w:rsidR="00B61ECD" w:rsidRPr="000A6F63">
              <w:rPr>
                <w:rFonts w:cs="TimesTen-Roman"/>
                <w:color w:val="000000"/>
                <w:szCs w:val="18"/>
                <w:lang w:val="en-US" w:eastAsia="sv-SE"/>
              </w:rPr>
              <w:t>denoted by peak ground acceleration, spectral a</w:t>
            </w:r>
            <w:r w:rsidR="00B61ECD" w:rsidRPr="000A6F63">
              <w:rPr>
                <w:rFonts w:cs="TimesTen-Roman"/>
                <w:color w:val="000000"/>
                <w:szCs w:val="18"/>
                <w:lang w:val="en-US" w:eastAsia="sv-SE"/>
              </w:rPr>
              <w:t>c</w:t>
            </w:r>
            <w:r w:rsidR="00B61ECD" w:rsidRPr="000A6F63">
              <w:rPr>
                <w:rFonts w:cs="TimesTen-Roman"/>
                <w:color w:val="000000"/>
                <w:szCs w:val="18"/>
                <w:lang w:val="en-US" w:eastAsia="sv-SE"/>
              </w:rPr>
              <w:t>celeration or other values.</w:t>
            </w:r>
          </w:p>
        </w:tc>
      </w:tr>
      <w:tr w:rsidR="00961A7E" w:rsidRPr="00303829" w:rsidTr="00EC412F">
        <w:tc>
          <w:tcPr>
            <w:tcW w:w="2268" w:type="dxa"/>
            <w:vAlign w:val="center"/>
          </w:tcPr>
          <w:p w:rsidR="00961A7E" w:rsidRPr="00E94F10" w:rsidRDefault="00961A7E" w:rsidP="004919D6">
            <w:pPr>
              <w:pStyle w:val="Corpsdetexte"/>
              <w:ind w:left="0"/>
              <w:jc w:val="left"/>
              <w:rPr>
                <w:rFonts w:ascii="Trebuchet MS" w:hAnsi="Trebuchet MS"/>
                <w:b/>
                <w:color w:val="000000"/>
                <w:sz w:val="18"/>
                <w:szCs w:val="18"/>
              </w:rPr>
            </w:pPr>
            <w:r w:rsidRPr="00E94F10">
              <w:rPr>
                <w:rFonts w:ascii="Trebuchet MS" w:hAnsi="Trebuchet MS" w:cs="TimesTen-BoldItalic"/>
                <w:b/>
                <w:bCs/>
                <w:iCs/>
                <w:color w:val="000000"/>
                <w:sz w:val="18"/>
                <w:szCs w:val="18"/>
                <w:lang w:eastAsia="sv-SE"/>
              </w:rPr>
              <w:t>Sensitivity Anal</w:t>
            </w:r>
            <w:r w:rsidRPr="00E94F10">
              <w:rPr>
                <w:rFonts w:ascii="Trebuchet MS" w:hAnsi="Trebuchet MS" w:cs="TimesTen-BoldItalic"/>
                <w:b/>
                <w:bCs/>
                <w:iCs/>
                <w:color w:val="000000"/>
                <w:sz w:val="18"/>
                <w:szCs w:val="18"/>
                <w:lang w:eastAsia="sv-SE"/>
              </w:rPr>
              <w:t>y</w:t>
            </w:r>
            <w:r w:rsidRPr="00E94F10">
              <w:rPr>
                <w:rFonts w:ascii="Trebuchet MS" w:hAnsi="Trebuchet MS" w:cs="TimesTen-BoldItalic"/>
                <w:b/>
                <w:bCs/>
                <w:iCs/>
                <w:color w:val="000000"/>
                <w:sz w:val="18"/>
                <w:szCs w:val="18"/>
                <w:lang w:eastAsia="sv-SE"/>
              </w:rPr>
              <w:t>sis</w:t>
            </w:r>
          </w:p>
        </w:tc>
        <w:tc>
          <w:tcPr>
            <w:tcW w:w="7227" w:type="dxa"/>
            <w:vAlign w:val="center"/>
          </w:tcPr>
          <w:p w:rsidR="00961A7E" w:rsidRPr="00303829" w:rsidRDefault="00961A7E" w:rsidP="007F622A">
            <w:pPr>
              <w:autoSpaceDE w:val="0"/>
              <w:autoSpaceDN w:val="0"/>
              <w:adjustRightInd w:val="0"/>
              <w:spacing w:line="240" w:lineRule="auto"/>
              <w:jc w:val="left"/>
              <w:rPr>
                <w:rFonts w:cs="TimesTen-Roman"/>
                <w:color w:val="000000"/>
                <w:szCs w:val="18"/>
                <w:lang w:val="en-US" w:eastAsia="sv-SE"/>
              </w:rPr>
            </w:pPr>
            <w:r w:rsidRPr="00303829">
              <w:rPr>
                <w:rFonts w:cs="TimesTen-Roman"/>
                <w:color w:val="000000"/>
                <w:szCs w:val="18"/>
                <w:lang w:val="en-US" w:eastAsia="sv-SE"/>
              </w:rPr>
              <w:t xml:space="preserve">A quantitative examination of how the behaviour of a </w:t>
            </w:r>
            <w:r w:rsidRPr="00303829">
              <w:rPr>
                <w:rFonts w:cs="TimesTen-Italic"/>
                <w:i/>
                <w:iCs/>
                <w:color w:val="000000"/>
                <w:szCs w:val="18"/>
                <w:lang w:val="en-US" w:eastAsia="sv-SE"/>
              </w:rPr>
              <w:t xml:space="preserve">system </w:t>
            </w:r>
            <w:r w:rsidRPr="00303829">
              <w:rPr>
                <w:rFonts w:cs="TimesTen-Roman"/>
                <w:color w:val="000000"/>
                <w:szCs w:val="18"/>
                <w:lang w:val="en-US" w:eastAsia="sv-SE"/>
              </w:rPr>
              <w:t>varies with change, usually in the values of the governing parameters.</w:t>
            </w:r>
          </w:p>
          <w:p w:rsidR="00961A7E" w:rsidRPr="00303829" w:rsidRDefault="00961A7E" w:rsidP="00797706">
            <w:pPr>
              <w:numPr>
                <w:ilvl w:val="0"/>
                <w:numId w:val="14"/>
              </w:numPr>
              <w:autoSpaceDE w:val="0"/>
              <w:autoSpaceDN w:val="0"/>
              <w:adjustRightInd w:val="0"/>
              <w:spacing w:line="240" w:lineRule="auto"/>
              <w:jc w:val="left"/>
              <w:rPr>
                <w:rFonts w:cs="TimesTen-Roman"/>
                <w:color w:val="000000"/>
                <w:szCs w:val="18"/>
                <w:lang w:val="en-US" w:eastAsia="sv-SE"/>
              </w:rPr>
            </w:pPr>
            <w:r w:rsidRPr="00303829">
              <w:rPr>
                <w:rFonts w:cs="TimesTen-Roman"/>
                <w:color w:val="000000"/>
                <w:szCs w:val="18"/>
                <w:lang w:val="en-US" w:eastAsia="sv-SE"/>
              </w:rPr>
              <w:t xml:space="preserve">A common approach is parameter variation, in which the variation of results is investigated for changes in the value of one or more input parameters within a reasonable range around selected reference or mean values, and perturbation </w:t>
            </w:r>
            <w:r w:rsidRPr="00303829">
              <w:rPr>
                <w:rFonts w:cs="TimesTen-Italic"/>
                <w:i/>
                <w:iCs/>
                <w:color w:val="000000"/>
                <w:szCs w:val="18"/>
                <w:lang w:val="en-US" w:eastAsia="sv-SE"/>
              </w:rPr>
              <w:t>analysis</w:t>
            </w:r>
            <w:r w:rsidRPr="00303829">
              <w:rPr>
                <w:rFonts w:cs="TimesTen-Roman"/>
                <w:color w:val="000000"/>
                <w:szCs w:val="18"/>
                <w:lang w:val="en-US" w:eastAsia="sv-SE"/>
              </w:rPr>
              <w:t>, in which the variations of results with respect to changes in the values of all the input</w:t>
            </w:r>
          </w:p>
        </w:tc>
      </w:tr>
      <w:tr w:rsidR="00DD4760" w:rsidRPr="00CA5450" w:rsidTr="00F10FCA">
        <w:tc>
          <w:tcPr>
            <w:tcW w:w="2268" w:type="dxa"/>
            <w:vAlign w:val="center"/>
          </w:tcPr>
          <w:p w:rsidR="00DD4760" w:rsidRPr="00E94F10" w:rsidRDefault="00DD4760" w:rsidP="00F10FCA">
            <w:pPr>
              <w:pStyle w:val="Corpsdetexte"/>
              <w:ind w:left="0"/>
              <w:jc w:val="left"/>
              <w:rPr>
                <w:rFonts w:ascii="Trebuchet MS" w:hAnsi="Trebuchet MS" w:cs="TimesTen-Bold"/>
                <w:b/>
                <w:bCs/>
                <w:color w:val="000000"/>
                <w:sz w:val="18"/>
                <w:szCs w:val="18"/>
                <w:lang w:eastAsia="sv-SE"/>
              </w:rPr>
            </w:pPr>
            <w:r w:rsidRPr="00E94F10">
              <w:rPr>
                <w:rFonts w:ascii="Trebuchet MS" w:hAnsi="Trebuchet MS" w:cs="TimesTen-Bold"/>
                <w:b/>
                <w:bCs/>
                <w:color w:val="000000"/>
                <w:sz w:val="18"/>
                <w:szCs w:val="18"/>
                <w:lang w:eastAsia="sv-SE"/>
              </w:rPr>
              <w:t>Severe accident</w:t>
            </w:r>
          </w:p>
        </w:tc>
        <w:tc>
          <w:tcPr>
            <w:tcW w:w="7227" w:type="dxa"/>
            <w:vAlign w:val="center"/>
          </w:tcPr>
          <w:p w:rsidR="00DD4760" w:rsidRPr="00CA5450" w:rsidRDefault="00DD4760" w:rsidP="00F10FCA">
            <w:pPr>
              <w:autoSpaceDE w:val="0"/>
              <w:autoSpaceDN w:val="0"/>
              <w:adjustRightInd w:val="0"/>
              <w:spacing w:line="240" w:lineRule="auto"/>
              <w:jc w:val="left"/>
              <w:rPr>
                <w:color w:val="000000"/>
                <w:szCs w:val="18"/>
                <w:shd w:val="clear" w:color="auto" w:fill="FFFFFF"/>
              </w:rPr>
            </w:pPr>
            <w:r w:rsidRPr="00CA5450">
              <w:rPr>
                <w:color w:val="000000"/>
                <w:szCs w:val="18"/>
                <w:shd w:val="clear" w:color="auto" w:fill="FFFFFF"/>
              </w:rPr>
              <w:t>A type of accident that may challenge safety systems at a level much higher than e</w:t>
            </w:r>
            <w:r w:rsidRPr="00CA5450">
              <w:rPr>
                <w:color w:val="000000"/>
                <w:szCs w:val="18"/>
                <w:shd w:val="clear" w:color="auto" w:fill="FFFFFF"/>
              </w:rPr>
              <w:t>x</w:t>
            </w:r>
            <w:r w:rsidRPr="00CA5450">
              <w:rPr>
                <w:color w:val="000000"/>
                <w:szCs w:val="18"/>
                <w:shd w:val="clear" w:color="auto" w:fill="FFFFFF"/>
              </w:rPr>
              <w:t>pected.</w:t>
            </w:r>
          </w:p>
        </w:tc>
      </w:tr>
      <w:tr w:rsidR="00DD4760" w:rsidRPr="00CA5450" w:rsidTr="00F10FCA">
        <w:tc>
          <w:tcPr>
            <w:tcW w:w="2268" w:type="dxa"/>
            <w:vAlign w:val="center"/>
          </w:tcPr>
          <w:p w:rsidR="00DD4760" w:rsidRPr="00E94F10" w:rsidRDefault="00DD4760" w:rsidP="00F10FCA">
            <w:pPr>
              <w:pStyle w:val="Corpsdetexte"/>
              <w:ind w:left="0"/>
              <w:jc w:val="left"/>
              <w:rPr>
                <w:rFonts w:ascii="Trebuchet MS" w:hAnsi="Trebuchet MS" w:cs="TimesTen-Bold"/>
                <w:b/>
                <w:bCs/>
                <w:color w:val="000000"/>
                <w:sz w:val="18"/>
                <w:szCs w:val="18"/>
                <w:lang w:eastAsia="sv-SE"/>
              </w:rPr>
            </w:pPr>
            <w:r w:rsidRPr="00E94F10">
              <w:rPr>
                <w:rFonts w:ascii="Trebuchet MS" w:hAnsi="Trebuchet MS" w:cs="TimesTen-Bold"/>
                <w:b/>
                <w:bCs/>
                <w:color w:val="000000"/>
                <w:sz w:val="18"/>
                <w:szCs w:val="18"/>
                <w:lang w:eastAsia="sv-SE"/>
              </w:rPr>
              <w:t>Structures, Systems And Comp</w:t>
            </w:r>
            <w:r w:rsidRPr="00E94F10">
              <w:rPr>
                <w:rFonts w:ascii="Trebuchet MS" w:hAnsi="Trebuchet MS" w:cs="TimesTen-Bold"/>
                <w:b/>
                <w:bCs/>
                <w:color w:val="000000"/>
                <w:sz w:val="18"/>
                <w:szCs w:val="18"/>
                <w:lang w:eastAsia="sv-SE"/>
              </w:rPr>
              <w:t>o</w:t>
            </w:r>
            <w:r w:rsidRPr="00E94F10">
              <w:rPr>
                <w:rFonts w:ascii="Trebuchet MS" w:hAnsi="Trebuchet MS" w:cs="TimesTen-Bold"/>
                <w:b/>
                <w:bCs/>
                <w:color w:val="000000"/>
                <w:sz w:val="18"/>
                <w:szCs w:val="18"/>
                <w:lang w:eastAsia="sv-SE"/>
              </w:rPr>
              <w:t xml:space="preserve">nents </w:t>
            </w:r>
            <w:r>
              <w:rPr>
                <w:rFonts w:ascii="Trebuchet MS" w:hAnsi="Trebuchet MS" w:cs="TimesTen-Bold"/>
                <w:b/>
                <w:bCs/>
                <w:color w:val="000000"/>
                <w:sz w:val="18"/>
                <w:szCs w:val="18"/>
                <w:lang w:eastAsia="sv-SE"/>
              </w:rPr>
              <w:t>(SSC</w:t>
            </w:r>
            <w:r w:rsidRPr="00E94F10">
              <w:rPr>
                <w:rFonts w:ascii="Trebuchet MS" w:hAnsi="Trebuchet MS" w:cs="TimesTen-Bold"/>
                <w:b/>
                <w:bCs/>
                <w:color w:val="000000"/>
                <w:sz w:val="18"/>
                <w:szCs w:val="18"/>
                <w:lang w:eastAsia="sv-SE"/>
              </w:rPr>
              <w:t>s)</w:t>
            </w:r>
          </w:p>
        </w:tc>
        <w:tc>
          <w:tcPr>
            <w:tcW w:w="7227" w:type="dxa"/>
            <w:vAlign w:val="center"/>
          </w:tcPr>
          <w:p w:rsidR="00DD4760" w:rsidRPr="00CA5450" w:rsidRDefault="00DD4760" w:rsidP="00F10FCA">
            <w:p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A general term encompassing all of the elements (items) of a </w:t>
            </w:r>
            <w:r w:rsidRPr="00CA5450">
              <w:rPr>
                <w:rFonts w:cs="TimesTen-Italic"/>
                <w:i/>
                <w:iCs/>
                <w:color w:val="000000"/>
                <w:szCs w:val="18"/>
                <w:lang w:val="en-US" w:eastAsia="sv-SE"/>
              </w:rPr>
              <w:t xml:space="preserve">facility </w:t>
            </w:r>
            <w:r w:rsidRPr="00CA5450">
              <w:rPr>
                <w:rFonts w:cs="TimesTen-Roman"/>
                <w:color w:val="000000"/>
                <w:szCs w:val="18"/>
                <w:lang w:val="en-US" w:eastAsia="sv-SE"/>
              </w:rPr>
              <w:t xml:space="preserve">or </w:t>
            </w:r>
            <w:r w:rsidRPr="00CA5450">
              <w:rPr>
                <w:rFonts w:cs="TimesTen-Italic"/>
                <w:i/>
                <w:iCs/>
                <w:color w:val="000000"/>
                <w:szCs w:val="18"/>
                <w:lang w:val="en-US" w:eastAsia="sv-SE"/>
              </w:rPr>
              <w:t xml:space="preserve">activity </w:t>
            </w:r>
            <w:r w:rsidRPr="00CA5450">
              <w:rPr>
                <w:rFonts w:cs="TimesTen-Roman"/>
                <w:color w:val="000000"/>
                <w:szCs w:val="18"/>
                <w:lang w:val="en-US" w:eastAsia="sv-SE"/>
              </w:rPr>
              <w:t xml:space="preserve">which contribute to </w:t>
            </w:r>
            <w:r w:rsidRPr="00CA5450">
              <w:rPr>
                <w:rFonts w:cs="TimesTen-Italic"/>
                <w:i/>
                <w:iCs/>
                <w:color w:val="000000"/>
                <w:szCs w:val="18"/>
                <w:lang w:val="en-US" w:eastAsia="sv-SE"/>
              </w:rPr>
              <w:t>protection and safety</w:t>
            </w:r>
            <w:r w:rsidRPr="00CA5450">
              <w:rPr>
                <w:rFonts w:cs="TimesTen-Roman"/>
                <w:color w:val="000000"/>
                <w:szCs w:val="18"/>
                <w:lang w:val="en-US" w:eastAsia="sv-SE"/>
              </w:rPr>
              <w:t xml:space="preserve">, except </w:t>
            </w:r>
            <w:r w:rsidRPr="00CA5450">
              <w:rPr>
                <w:rFonts w:cs="TimesTen-Italic"/>
                <w:i/>
                <w:iCs/>
                <w:color w:val="000000"/>
                <w:szCs w:val="18"/>
                <w:lang w:val="en-US" w:eastAsia="sv-SE"/>
              </w:rPr>
              <w:t>human factors</w:t>
            </w:r>
            <w:r w:rsidRPr="00CA5450">
              <w:rPr>
                <w:rFonts w:cs="TimesTen-Roman"/>
                <w:color w:val="000000"/>
                <w:szCs w:val="18"/>
                <w:lang w:val="en-US" w:eastAsia="sv-SE"/>
              </w:rPr>
              <w:t>.</w:t>
            </w:r>
          </w:p>
          <w:p w:rsidR="00DD4760" w:rsidRPr="00CA5450" w:rsidRDefault="00DD4760" w:rsidP="00F10FCA">
            <w:pPr>
              <w:numPr>
                <w:ilvl w:val="0"/>
                <w:numId w:val="15"/>
              </w:numPr>
              <w:autoSpaceDE w:val="0"/>
              <w:autoSpaceDN w:val="0"/>
              <w:adjustRightInd w:val="0"/>
              <w:spacing w:line="240" w:lineRule="auto"/>
              <w:jc w:val="left"/>
              <w:rPr>
                <w:rFonts w:cs="TimesTen-Roman"/>
                <w:color w:val="000000"/>
                <w:szCs w:val="18"/>
                <w:lang w:val="en-US" w:eastAsia="sv-SE"/>
              </w:rPr>
            </w:pPr>
            <w:r w:rsidRPr="00CA5450">
              <w:rPr>
                <w:rFonts w:cs="TimesTen-BoldItalic"/>
                <w:b/>
                <w:bCs/>
                <w:i/>
                <w:iCs/>
                <w:color w:val="000000"/>
                <w:szCs w:val="18"/>
                <w:lang w:val="en-US" w:eastAsia="sv-SE"/>
              </w:rPr>
              <w:t xml:space="preserve">Structures </w:t>
            </w:r>
            <w:r w:rsidRPr="00CA5450">
              <w:rPr>
                <w:rFonts w:cs="TimesTen-Roman"/>
                <w:color w:val="000000"/>
                <w:szCs w:val="18"/>
                <w:lang w:val="en-US" w:eastAsia="sv-SE"/>
              </w:rPr>
              <w:t>are the passive elements: buil</w:t>
            </w:r>
            <w:r w:rsidR="00A8394B">
              <w:rPr>
                <w:rFonts w:cs="TimesTen-Roman"/>
                <w:color w:val="000000"/>
                <w:szCs w:val="18"/>
                <w:lang w:val="en-US" w:eastAsia="sv-SE"/>
              </w:rPr>
              <w:t>dings, vessels, shielding, etc.</w:t>
            </w:r>
          </w:p>
          <w:p w:rsidR="00DD4760" w:rsidRPr="00CA5450" w:rsidRDefault="00DD4760" w:rsidP="00F10FCA">
            <w:pPr>
              <w:numPr>
                <w:ilvl w:val="0"/>
                <w:numId w:val="15"/>
              </w:num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A </w:t>
            </w:r>
            <w:r w:rsidRPr="00CA5450">
              <w:rPr>
                <w:rFonts w:cs="TimesTen-BoldItalic"/>
                <w:b/>
                <w:bCs/>
                <w:i/>
                <w:iCs/>
                <w:color w:val="000000"/>
                <w:szCs w:val="18"/>
                <w:lang w:val="en-US" w:eastAsia="sv-SE"/>
              </w:rPr>
              <w:t>sy</w:t>
            </w:r>
            <w:r w:rsidRPr="00CA5450">
              <w:rPr>
                <w:rFonts w:cs="TimesTen-BoldItalic"/>
                <w:b/>
                <w:bCs/>
                <w:i/>
                <w:iCs/>
                <w:color w:val="000000"/>
                <w:szCs w:val="18"/>
                <w:lang w:val="en-US" w:eastAsia="sv-SE"/>
              </w:rPr>
              <w:t>s</w:t>
            </w:r>
            <w:r w:rsidRPr="00CA5450">
              <w:rPr>
                <w:rFonts w:cs="TimesTen-BoldItalic"/>
                <w:b/>
                <w:bCs/>
                <w:i/>
                <w:iCs/>
                <w:color w:val="000000"/>
                <w:szCs w:val="18"/>
                <w:lang w:val="en-US" w:eastAsia="sv-SE"/>
              </w:rPr>
              <w:t xml:space="preserve">tem </w:t>
            </w:r>
            <w:r w:rsidRPr="00CA5450">
              <w:rPr>
                <w:rFonts w:cs="TimesTen-Roman"/>
                <w:color w:val="000000"/>
                <w:szCs w:val="18"/>
                <w:lang w:val="en-US" w:eastAsia="sv-SE"/>
              </w:rPr>
              <w:t xml:space="preserve">comprises several </w:t>
            </w:r>
            <w:r w:rsidRPr="00CA5450">
              <w:rPr>
                <w:rFonts w:cs="TimesTen-Italic"/>
                <w:i/>
                <w:iCs/>
                <w:color w:val="000000"/>
                <w:szCs w:val="18"/>
                <w:lang w:val="en-US" w:eastAsia="sv-SE"/>
              </w:rPr>
              <w:t>components</w:t>
            </w:r>
            <w:r w:rsidRPr="00CA5450">
              <w:rPr>
                <w:rFonts w:cs="TimesTen-Roman"/>
                <w:color w:val="000000"/>
                <w:szCs w:val="18"/>
                <w:lang w:val="en-US" w:eastAsia="sv-SE"/>
              </w:rPr>
              <w:t xml:space="preserve">, assembled in such a way as to perform a specific (active) function. </w:t>
            </w:r>
          </w:p>
          <w:p w:rsidR="00DD4760" w:rsidRPr="00CA5450" w:rsidRDefault="00DD4760" w:rsidP="00F10FCA">
            <w:pPr>
              <w:numPr>
                <w:ilvl w:val="0"/>
                <w:numId w:val="15"/>
              </w:numPr>
              <w:autoSpaceDE w:val="0"/>
              <w:autoSpaceDN w:val="0"/>
              <w:adjustRightInd w:val="0"/>
              <w:spacing w:line="240" w:lineRule="auto"/>
              <w:jc w:val="left"/>
              <w:rPr>
                <w:rFonts w:cs="TimesTen-Roman"/>
                <w:color w:val="000000"/>
                <w:szCs w:val="18"/>
                <w:lang w:val="en-US" w:eastAsia="sv-SE"/>
              </w:rPr>
            </w:pPr>
            <w:r w:rsidRPr="00CA5450">
              <w:rPr>
                <w:rFonts w:cs="TimesTen-Roman"/>
                <w:color w:val="000000"/>
                <w:szCs w:val="18"/>
                <w:lang w:val="en-US" w:eastAsia="sv-SE"/>
              </w:rPr>
              <w:t xml:space="preserve">A </w:t>
            </w:r>
            <w:r w:rsidRPr="00CA5450">
              <w:rPr>
                <w:rFonts w:cs="TimesTen-BoldItalic"/>
                <w:b/>
                <w:bCs/>
                <w:i/>
                <w:iCs/>
                <w:color w:val="000000"/>
                <w:szCs w:val="18"/>
                <w:lang w:val="en-US" w:eastAsia="sv-SE"/>
              </w:rPr>
              <w:t xml:space="preserve">component </w:t>
            </w:r>
            <w:r w:rsidRPr="00CA5450">
              <w:rPr>
                <w:rFonts w:cs="TimesTen-Roman"/>
                <w:color w:val="000000"/>
                <w:szCs w:val="18"/>
                <w:lang w:val="en-US" w:eastAsia="sv-SE"/>
              </w:rPr>
              <w:t xml:space="preserve">is a discrete element of a </w:t>
            </w:r>
            <w:r w:rsidRPr="00CA5450">
              <w:rPr>
                <w:rFonts w:cs="TimesTen-Italic"/>
                <w:i/>
                <w:iCs/>
                <w:color w:val="000000"/>
                <w:szCs w:val="18"/>
                <w:lang w:val="en-US" w:eastAsia="sv-SE"/>
              </w:rPr>
              <w:t>system</w:t>
            </w:r>
            <w:r w:rsidRPr="00CA5450">
              <w:rPr>
                <w:rFonts w:cs="TimesTen-Roman"/>
                <w:color w:val="000000"/>
                <w:szCs w:val="18"/>
                <w:lang w:val="en-US" w:eastAsia="sv-SE"/>
              </w:rPr>
              <w:t>. Examples of components are wires, transistors, integrated circuits, motors, relays, solenoids, pipes, fittings, pumps, tanks and valves.</w:t>
            </w:r>
          </w:p>
        </w:tc>
      </w:tr>
      <w:tr w:rsidR="00961A7E" w:rsidRPr="00CA5450" w:rsidTr="00EC412F">
        <w:tc>
          <w:tcPr>
            <w:tcW w:w="2268" w:type="dxa"/>
            <w:vAlign w:val="center"/>
          </w:tcPr>
          <w:p w:rsidR="00961A7E" w:rsidRPr="00E94F10" w:rsidRDefault="004919D6" w:rsidP="004919D6">
            <w:pPr>
              <w:pStyle w:val="Corpsdetexte"/>
              <w:ind w:left="0"/>
              <w:rPr>
                <w:rFonts w:ascii="Trebuchet MS" w:hAnsi="Trebuchet MS" w:cs="Arial"/>
                <w:b/>
                <w:color w:val="000000"/>
                <w:sz w:val="18"/>
                <w:szCs w:val="18"/>
                <w:lang w:eastAsia="sv-SE"/>
              </w:rPr>
            </w:pPr>
            <w:r>
              <w:rPr>
                <w:rFonts w:ascii="Trebuchet MS" w:hAnsi="Trebuchet MS" w:cs="Arial,Bold"/>
                <w:b/>
                <w:bCs/>
                <w:color w:val="000000"/>
                <w:sz w:val="18"/>
                <w:szCs w:val="18"/>
                <w:lang w:val="sv-SE" w:eastAsia="sv-SE"/>
              </w:rPr>
              <w:t>U</w:t>
            </w:r>
            <w:r w:rsidR="00961A7E" w:rsidRPr="00E94F10">
              <w:rPr>
                <w:rFonts w:ascii="Trebuchet MS" w:hAnsi="Trebuchet MS" w:cs="Arial,Bold"/>
                <w:b/>
                <w:bCs/>
                <w:color w:val="000000"/>
                <w:sz w:val="18"/>
                <w:szCs w:val="18"/>
                <w:lang w:val="sv-SE" w:eastAsia="sv-SE"/>
              </w:rPr>
              <w:t>ncertainty</w:t>
            </w:r>
          </w:p>
        </w:tc>
        <w:tc>
          <w:tcPr>
            <w:tcW w:w="7227" w:type="dxa"/>
            <w:vAlign w:val="center"/>
          </w:tcPr>
          <w:p w:rsidR="00E555C7" w:rsidRPr="00E378E5" w:rsidRDefault="004919D6" w:rsidP="00E555C7">
            <w:pPr>
              <w:autoSpaceDE w:val="0"/>
              <w:autoSpaceDN w:val="0"/>
              <w:adjustRightInd w:val="0"/>
              <w:spacing w:line="240" w:lineRule="auto"/>
              <w:jc w:val="left"/>
              <w:rPr>
                <w:rFonts w:cs="Arial"/>
                <w:color w:val="000000"/>
                <w:szCs w:val="18"/>
                <w:lang w:val="en-US" w:eastAsia="sv-SE"/>
              </w:rPr>
            </w:pPr>
            <w:r>
              <w:rPr>
                <w:rFonts w:cs="Arial"/>
                <w:color w:val="000000"/>
                <w:szCs w:val="18"/>
                <w:lang w:val="en-US" w:eastAsia="sv-SE"/>
              </w:rPr>
              <w:t xml:space="preserve">See </w:t>
            </w:r>
            <w:r w:rsidR="00E555C7">
              <w:rPr>
                <w:rFonts w:cs="Arial"/>
                <w:color w:val="000000"/>
                <w:szCs w:val="18"/>
                <w:lang w:val="en-US" w:eastAsia="sv-SE"/>
              </w:rPr>
              <w:t>Aleatoric Uncertainty and E</w:t>
            </w:r>
            <w:r>
              <w:rPr>
                <w:rFonts w:cs="Arial"/>
                <w:color w:val="000000"/>
                <w:szCs w:val="18"/>
                <w:lang w:val="en-US" w:eastAsia="sv-SE"/>
              </w:rPr>
              <w:t xml:space="preserve">pistemic </w:t>
            </w:r>
            <w:r w:rsidR="00E555C7">
              <w:rPr>
                <w:rFonts w:cs="Arial"/>
                <w:color w:val="000000"/>
                <w:szCs w:val="18"/>
                <w:lang w:val="en-US" w:eastAsia="sv-SE"/>
              </w:rPr>
              <w:t>U</w:t>
            </w:r>
            <w:r>
              <w:rPr>
                <w:rFonts w:cs="Arial"/>
                <w:color w:val="000000"/>
                <w:szCs w:val="18"/>
                <w:lang w:val="en-US" w:eastAsia="sv-SE"/>
              </w:rPr>
              <w:t>ncertainty</w:t>
            </w:r>
          </w:p>
        </w:tc>
      </w:tr>
      <w:tr w:rsidR="00961A7E" w:rsidRPr="00CA5450" w:rsidTr="00EC412F">
        <w:tc>
          <w:tcPr>
            <w:tcW w:w="2268" w:type="dxa"/>
            <w:vAlign w:val="center"/>
          </w:tcPr>
          <w:p w:rsidR="00961A7E" w:rsidRPr="00E94F10" w:rsidRDefault="00961A7E" w:rsidP="007F622A">
            <w:pPr>
              <w:pStyle w:val="Corpsdetexte"/>
              <w:ind w:left="0"/>
              <w:rPr>
                <w:rFonts w:ascii="Trebuchet MS" w:hAnsi="Trebuchet MS"/>
                <w:b/>
                <w:color w:val="000000"/>
                <w:sz w:val="18"/>
                <w:szCs w:val="18"/>
              </w:rPr>
            </w:pPr>
            <w:r w:rsidRPr="00E94F10">
              <w:rPr>
                <w:rFonts w:ascii="Trebuchet MS" w:hAnsi="Trebuchet MS" w:cs="TimesTen-BoldItalic"/>
                <w:b/>
                <w:bCs/>
                <w:iCs/>
                <w:color w:val="000000"/>
                <w:sz w:val="18"/>
                <w:szCs w:val="18"/>
                <w:lang w:eastAsia="sv-SE"/>
              </w:rPr>
              <w:t>Uncertainty Anal</w:t>
            </w:r>
            <w:r w:rsidRPr="00E94F10">
              <w:rPr>
                <w:rFonts w:ascii="Trebuchet MS" w:hAnsi="Trebuchet MS" w:cs="TimesTen-BoldItalic"/>
                <w:b/>
                <w:bCs/>
                <w:iCs/>
                <w:color w:val="000000"/>
                <w:sz w:val="18"/>
                <w:szCs w:val="18"/>
                <w:lang w:eastAsia="sv-SE"/>
              </w:rPr>
              <w:t>y</w:t>
            </w:r>
            <w:r w:rsidRPr="00E94F10">
              <w:rPr>
                <w:rFonts w:ascii="Trebuchet MS" w:hAnsi="Trebuchet MS" w:cs="TimesTen-BoldItalic"/>
                <w:b/>
                <w:bCs/>
                <w:iCs/>
                <w:color w:val="000000"/>
                <w:sz w:val="18"/>
                <w:szCs w:val="18"/>
                <w:lang w:eastAsia="sv-SE"/>
              </w:rPr>
              <w:t>sis</w:t>
            </w:r>
          </w:p>
        </w:tc>
        <w:tc>
          <w:tcPr>
            <w:tcW w:w="7227" w:type="dxa"/>
            <w:vAlign w:val="center"/>
          </w:tcPr>
          <w:p w:rsidR="00961A7E" w:rsidRPr="00CA5450" w:rsidRDefault="00961A7E" w:rsidP="007F622A">
            <w:pPr>
              <w:autoSpaceDE w:val="0"/>
              <w:autoSpaceDN w:val="0"/>
              <w:adjustRightInd w:val="0"/>
              <w:spacing w:line="240" w:lineRule="auto"/>
              <w:jc w:val="left"/>
              <w:rPr>
                <w:color w:val="000000"/>
                <w:szCs w:val="18"/>
              </w:rPr>
            </w:pPr>
            <w:r w:rsidRPr="00303829">
              <w:rPr>
                <w:rFonts w:cs="TimesTen-Roman"/>
                <w:color w:val="000000"/>
                <w:szCs w:val="18"/>
                <w:lang w:val="en-US" w:eastAsia="sv-SE"/>
              </w:rPr>
              <w:t xml:space="preserve">An </w:t>
            </w:r>
            <w:r w:rsidRPr="00303829">
              <w:rPr>
                <w:rFonts w:cs="TimesTen-Italic"/>
                <w:i/>
                <w:iCs/>
                <w:color w:val="000000"/>
                <w:szCs w:val="18"/>
                <w:lang w:val="en-US" w:eastAsia="sv-SE"/>
              </w:rPr>
              <w:t xml:space="preserve">analysis </w:t>
            </w:r>
            <w:r w:rsidRPr="00303829">
              <w:rPr>
                <w:rFonts w:cs="TimesTen-Roman"/>
                <w:color w:val="000000"/>
                <w:szCs w:val="18"/>
                <w:lang w:val="en-US" w:eastAsia="sv-SE"/>
              </w:rPr>
              <w:t>to estimate the uncertainties and error bounds of the quantities i</w:t>
            </w:r>
            <w:r w:rsidRPr="00303829">
              <w:rPr>
                <w:rFonts w:cs="TimesTen-Roman"/>
                <w:color w:val="000000"/>
                <w:szCs w:val="18"/>
                <w:lang w:val="en-US" w:eastAsia="sv-SE"/>
              </w:rPr>
              <w:t>n</w:t>
            </w:r>
            <w:r w:rsidRPr="00303829">
              <w:rPr>
                <w:rFonts w:cs="TimesTen-Roman"/>
                <w:color w:val="000000"/>
                <w:szCs w:val="18"/>
                <w:lang w:val="en-US" w:eastAsia="sv-SE"/>
              </w:rPr>
              <w:t>volved in, and the results from, the solution of a problem.</w:t>
            </w:r>
          </w:p>
        </w:tc>
      </w:tr>
    </w:tbl>
    <w:p w:rsidR="001E747B" w:rsidRPr="0011259F" w:rsidRDefault="009A1C44" w:rsidP="001E747B">
      <w:pPr>
        <w:pStyle w:val="Corpsdetexte"/>
        <w:ind w:left="0"/>
        <w:rPr>
          <w:rFonts w:eastAsia="Times New Roman"/>
          <w:color w:val="000000"/>
          <w:lang w:eastAsia="sv-SE"/>
        </w:rPr>
      </w:pPr>
      <w:r w:rsidRPr="00E055C6">
        <w:br w:type="page"/>
      </w:r>
    </w:p>
    <w:p w:rsidR="00F82A4D" w:rsidRPr="00753DFF" w:rsidRDefault="00F82A4D" w:rsidP="00F82A4D">
      <w:pPr>
        <w:pStyle w:val="Titre1"/>
        <w:numPr>
          <w:ilvl w:val="0"/>
          <w:numId w:val="0"/>
        </w:numPr>
      </w:pPr>
      <w:bookmarkStart w:id="19" w:name="_Ref432519170"/>
      <w:bookmarkStart w:id="20" w:name="_Ref432519175"/>
      <w:bookmarkStart w:id="21" w:name="_Toc456011865"/>
      <w:r>
        <w:t>E</w:t>
      </w:r>
      <w:r w:rsidR="00E03116">
        <w:t xml:space="preserve">xisting guidance </w:t>
      </w:r>
      <w:r>
        <w:t xml:space="preserve">: </w:t>
      </w:r>
      <w:r w:rsidR="00E03116">
        <w:t>key documents</w:t>
      </w:r>
      <w:bookmarkEnd w:id="19"/>
      <w:bookmarkEnd w:id="20"/>
      <w:bookmarkEnd w:id="21"/>
    </w:p>
    <w:p w:rsidR="00EE0A39" w:rsidRDefault="00EE0A39" w:rsidP="001E747B">
      <w:pPr>
        <w:pStyle w:val="Corpsdetexte"/>
        <w:ind w:left="1440"/>
        <w:rPr>
          <w:i/>
          <w:szCs w:val="22"/>
        </w:rPr>
      </w:pPr>
    </w:p>
    <w:p w:rsidR="00DE5513" w:rsidRPr="00676E8A" w:rsidRDefault="00DE5513" w:rsidP="004C5557">
      <w:pPr>
        <w:pStyle w:val="Paragraphedeliste"/>
        <w:rPr>
          <w:rFonts w:eastAsia="Times New Roman"/>
          <w:color w:val="000000"/>
          <w:lang w:val="en-US"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6"/>
        <w:gridCol w:w="5739"/>
      </w:tblGrid>
      <w:tr w:rsidR="00F0157E" w:rsidRPr="00953207" w:rsidTr="00EC630F">
        <w:trPr>
          <w:trHeight w:val="300"/>
          <w:tblHeader/>
        </w:trPr>
        <w:tc>
          <w:tcPr>
            <w:tcW w:w="1978" w:type="pct"/>
            <w:shd w:val="clear" w:color="auto" w:fill="auto"/>
            <w:vAlign w:val="center"/>
            <w:hideMark/>
          </w:tcPr>
          <w:p w:rsidR="00F0157E" w:rsidRPr="00953207" w:rsidRDefault="00F0157E" w:rsidP="004C5557">
            <w:pPr>
              <w:spacing w:line="276" w:lineRule="auto"/>
              <w:jc w:val="left"/>
              <w:rPr>
                <w:b/>
                <w:color w:val="000000"/>
                <w:szCs w:val="18"/>
                <w:lang w:val="sv-SE" w:eastAsia="sv-SE"/>
              </w:rPr>
            </w:pPr>
            <w:r w:rsidRPr="00953207">
              <w:rPr>
                <w:b/>
                <w:color w:val="000000"/>
                <w:szCs w:val="18"/>
                <w:lang w:val="sv-SE" w:eastAsia="sv-SE"/>
              </w:rPr>
              <w:t>Ref</w:t>
            </w:r>
            <w:r>
              <w:rPr>
                <w:b/>
                <w:color w:val="000000"/>
                <w:szCs w:val="18"/>
                <w:lang w:val="sv-SE" w:eastAsia="sv-SE"/>
              </w:rPr>
              <w:t>erence</w:t>
            </w:r>
          </w:p>
        </w:tc>
        <w:tc>
          <w:tcPr>
            <w:tcW w:w="3022" w:type="pct"/>
            <w:shd w:val="clear" w:color="auto" w:fill="auto"/>
            <w:vAlign w:val="center"/>
            <w:hideMark/>
          </w:tcPr>
          <w:p w:rsidR="00F0157E" w:rsidRPr="00953207" w:rsidRDefault="00F0157E" w:rsidP="004C5557">
            <w:pPr>
              <w:spacing w:line="276" w:lineRule="auto"/>
              <w:jc w:val="left"/>
              <w:rPr>
                <w:b/>
                <w:color w:val="000000"/>
                <w:szCs w:val="18"/>
                <w:lang w:val="sv-SE" w:eastAsia="sv-SE"/>
              </w:rPr>
            </w:pPr>
            <w:r>
              <w:rPr>
                <w:b/>
                <w:color w:val="000000"/>
                <w:szCs w:val="18"/>
                <w:lang w:val="sv-SE" w:eastAsia="sv-SE"/>
              </w:rPr>
              <w:t>Remarks</w:t>
            </w:r>
          </w:p>
        </w:tc>
      </w:tr>
      <w:tr w:rsidR="005905E2" w:rsidRPr="00953207" w:rsidTr="006E4071">
        <w:trPr>
          <w:trHeight w:val="300"/>
        </w:trPr>
        <w:tc>
          <w:tcPr>
            <w:tcW w:w="1978" w:type="pct"/>
            <w:shd w:val="clear" w:color="auto" w:fill="auto"/>
            <w:vAlign w:val="center"/>
          </w:tcPr>
          <w:p w:rsidR="005905E2" w:rsidRDefault="005905E2" w:rsidP="006E4071">
            <w:pPr>
              <w:spacing w:line="276" w:lineRule="auto"/>
              <w:jc w:val="left"/>
              <w:rPr>
                <w:color w:val="000000"/>
                <w:szCs w:val="18"/>
                <w:lang w:val="sv-SE" w:eastAsia="sv-SE"/>
              </w:rPr>
            </w:pPr>
            <w:r>
              <w:rPr>
                <w:color w:val="000000"/>
                <w:szCs w:val="18"/>
                <w:lang w:val="sv-SE" w:eastAsia="sv-SE"/>
              </w:rPr>
              <w:t>WENRA-RHWG, 2014 (Reference Levels Issue T: Natural Hazards)</w:t>
            </w:r>
          </w:p>
        </w:tc>
        <w:tc>
          <w:tcPr>
            <w:tcW w:w="3022" w:type="pct"/>
            <w:shd w:val="clear" w:color="auto" w:fill="auto"/>
            <w:vAlign w:val="center"/>
          </w:tcPr>
          <w:p w:rsidR="005905E2" w:rsidRDefault="005905E2" w:rsidP="006E4071">
            <w:pPr>
              <w:spacing w:line="276" w:lineRule="auto"/>
              <w:jc w:val="left"/>
              <w:rPr>
                <w:color w:val="000000"/>
                <w:szCs w:val="18"/>
                <w:lang w:val="sv-SE" w:eastAsia="sv-SE"/>
              </w:rPr>
            </w:pPr>
            <w:r>
              <w:rPr>
                <w:color w:val="000000"/>
                <w:szCs w:val="18"/>
                <w:lang w:val="sv-SE" w:eastAsia="sv-SE"/>
              </w:rPr>
              <w:t>Requirements for hazard assessment, protection, design basis, and design extension conditions</w:t>
            </w:r>
          </w:p>
        </w:tc>
      </w:tr>
      <w:tr w:rsidR="005905E2" w:rsidRPr="00953207" w:rsidTr="006E4071">
        <w:trPr>
          <w:trHeight w:val="300"/>
        </w:trPr>
        <w:tc>
          <w:tcPr>
            <w:tcW w:w="1978" w:type="pct"/>
            <w:shd w:val="clear" w:color="auto" w:fill="auto"/>
            <w:vAlign w:val="center"/>
          </w:tcPr>
          <w:p w:rsidR="0007329C" w:rsidRPr="0007329C" w:rsidRDefault="005905E2" w:rsidP="0007329C">
            <w:pPr>
              <w:spacing w:line="276" w:lineRule="auto"/>
              <w:jc w:val="left"/>
              <w:rPr>
                <w:color w:val="000000"/>
                <w:szCs w:val="18"/>
                <w:lang w:val="sv-SE" w:eastAsia="sv-SE"/>
              </w:rPr>
            </w:pPr>
            <w:r>
              <w:rPr>
                <w:color w:val="000000"/>
                <w:szCs w:val="18"/>
                <w:lang w:val="sv-SE" w:eastAsia="sv-SE"/>
              </w:rPr>
              <w:t>WENRA-RHWG, 2015 (</w:t>
            </w:r>
            <w:r w:rsidR="0007329C" w:rsidRPr="0007329C">
              <w:rPr>
                <w:color w:val="000000"/>
                <w:szCs w:val="18"/>
                <w:lang w:val="sv-SE" w:eastAsia="sv-SE"/>
              </w:rPr>
              <w:t>Guidance Document</w:t>
            </w:r>
          </w:p>
          <w:p w:rsidR="005905E2" w:rsidRDefault="0007329C" w:rsidP="0007329C">
            <w:pPr>
              <w:spacing w:line="276" w:lineRule="auto"/>
              <w:jc w:val="left"/>
              <w:rPr>
                <w:color w:val="000000"/>
                <w:szCs w:val="18"/>
                <w:lang w:val="sv-SE" w:eastAsia="sv-SE"/>
              </w:rPr>
            </w:pPr>
            <w:r w:rsidRPr="0007329C">
              <w:rPr>
                <w:color w:val="000000"/>
                <w:szCs w:val="18"/>
                <w:lang w:val="sv-SE" w:eastAsia="sv-SE"/>
              </w:rPr>
              <w:t>Issue T: Natural Hazards</w:t>
            </w:r>
            <w:r>
              <w:rPr>
                <w:color w:val="000000"/>
                <w:szCs w:val="18"/>
                <w:lang w:val="sv-SE" w:eastAsia="sv-SE"/>
              </w:rPr>
              <w:t xml:space="preserve"> </w:t>
            </w:r>
            <w:r w:rsidRPr="0007329C">
              <w:rPr>
                <w:color w:val="000000"/>
                <w:szCs w:val="18"/>
                <w:lang w:val="sv-SE" w:eastAsia="sv-SE"/>
              </w:rPr>
              <w:t>Head Document</w:t>
            </w:r>
            <w:r w:rsidR="005905E2">
              <w:rPr>
                <w:color w:val="000000"/>
                <w:szCs w:val="18"/>
                <w:lang w:val="sv-SE" w:eastAsia="sv-SE"/>
              </w:rPr>
              <w:t>)</w:t>
            </w:r>
          </w:p>
        </w:tc>
        <w:tc>
          <w:tcPr>
            <w:tcW w:w="3022" w:type="pct"/>
            <w:shd w:val="clear" w:color="auto" w:fill="auto"/>
            <w:vAlign w:val="center"/>
          </w:tcPr>
          <w:p w:rsidR="005905E2" w:rsidRDefault="005905E2" w:rsidP="006E4071">
            <w:pPr>
              <w:spacing w:line="276" w:lineRule="auto"/>
              <w:jc w:val="left"/>
              <w:rPr>
                <w:color w:val="000000"/>
                <w:szCs w:val="18"/>
                <w:lang w:val="sv-SE" w:eastAsia="sv-SE"/>
              </w:rPr>
            </w:pPr>
            <w:r>
              <w:rPr>
                <w:color w:val="000000"/>
                <w:szCs w:val="18"/>
                <w:lang w:val="sv-SE" w:eastAsia="sv-SE"/>
              </w:rPr>
              <w:t>Generic guidance on natural hazards</w:t>
            </w:r>
          </w:p>
        </w:tc>
      </w:tr>
      <w:tr w:rsidR="005905E2" w:rsidRPr="00953207" w:rsidTr="006E4071">
        <w:trPr>
          <w:trHeight w:val="300"/>
        </w:trPr>
        <w:tc>
          <w:tcPr>
            <w:tcW w:w="1978" w:type="pct"/>
            <w:shd w:val="clear" w:color="auto" w:fill="auto"/>
            <w:vAlign w:val="center"/>
          </w:tcPr>
          <w:p w:rsidR="0007329C" w:rsidRPr="0007329C" w:rsidRDefault="005905E2" w:rsidP="0007329C">
            <w:pPr>
              <w:spacing w:line="276" w:lineRule="auto"/>
              <w:jc w:val="left"/>
              <w:rPr>
                <w:color w:val="000000"/>
                <w:szCs w:val="18"/>
                <w:lang w:val="sv-SE" w:eastAsia="sv-SE"/>
              </w:rPr>
            </w:pPr>
            <w:r>
              <w:rPr>
                <w:color w:val="000000"/>
                <w:szCs w:val="18"/>
                <w:lang w:val="sv-SE" w:eastAsia="sv-SE"/>
              </w:rPr>
              <w:t>WENRA-RHWG, 2016 (</w:t>
            </w:r>
            <w:r w:rsidR="0007329C" w:rsidRPr="0007329C">
              <w:rPr>
                <w:color w:val="000000"/>
                <w:szCs w:val="18"/>
                <w:lang w:val="sv-SE" w:eastAsia="sv-SE"/>
              </w:rPr>
              <w:t>Guidance Document</w:t>
            </w:r>
          </w:p>
          <w:p w:rsidR="005905E2" w:rsidRDefault="0007329C" w:rsidP="0007329C">
            <w:pPr>
              <w:spacing w:line="276" w:lineRule="auto"/>
              <w:jc w:val="left"/>
              <w:rPr>
                <w:color w:val="000000"/>
                <w:szCs w:val="18"/>
                <w:lang w:val="sv-SE" w:eastAsia="sv-SE"/>
              </w:rPr>
            </w:pPr>
            <w:r w:rsidRPr="0007329C">
              <w:rPr>
                <w:color w:val="000000"/>
                <w:szCs w:val="18"/>
                <w:lang w:val="sv-SE" w:eastAsia="sv-SE"/>
              </w:rPr>
              <w:t>Issue T: Natural Hazards</w:t>
            </w:r>
            <w:r>
              <w:rPr>
                <w:color w:val="000000"/>
                <w:szCs w:val="18"/>
                <w:lang w:val="sv-SE" w:eastAsia="sv-SE"/>
              </w:rPr>
              <w:t xml:space="preserve">. </w:t>
            </w:r>
            <w:r w:rsidRPr="0007329C">
              <w:rPr>
                <w:color w:val="000000"/>
                <w:szCs w:val="18"/>
                <w:lang w:val="sv-SE" w:eastAsia="sv-SE"/>
              </w:rPr>
              <w:t>Guidance on Seismic Events</w:t>
            </w:r>
            <w:r w:rsidR="005905E2">
              <w:rPr>
                <w:color w:val="000000"/>
                <w:szCs w:val="18"/>
                <w:lang w:val="sv-SE" w:eastAsia="sv-SE"/>
              </w:rPr>
              <w:t>)</w:t>
            </w:r>
          </w:p>
        </w:tc>
        <w:tc>
          <w:tcPr>
            <w:tcW w:w="3022" w:type="pct"/>
            <w:shd w:val="clear" w:color="auto" w:fill="auto"/>
            <w:vAlign w:val="center"/>
          </w:tcPr>
          <w:p w:rsidR="005905E2" w:rsidRDefault="005905E2" w:rsidP="006E4071">
            <w:pPr>
              <w:spacing w:line="276" w:lineRule="auto"/>
              <w:jc w:val="left"/>
              <w:rPr>
                <w:color w:val="000000"/>
                <w:szCs w:val="18"/>
                <w:lang w:val="sv-SE" w:eastAsia="sv-SE"/>
              </w:rPr>
            </w:pPr>
            <w:r>
              <w:rPr>
                <w:color w:val="000000"/>
                <w:szCs w:val="18"/>
                <w:lang w:val="sv-SE" w:eastAsia="sv-SE"/>
              </w:rPr>
              <w:t>Specific guidance on seismic hazards</w:t>
            </w:r>
          </w:p>
        </w:tc>
      </w:tr>
      <w:tr w:rsidR="0007329C" w:rsidRPr="00953207" w:rsidTr="00D060D7">
        <w:trPr>
          <w:trHeight w:val="300"/>
        </w:trPr>
        <w:tc>
          <w:tcPr>
            <w:tcW w:w="1978" w:type="pct"/>
            <w:shd w:val="clear" w:color="auto" w:fill="auto"/>
            <w:vAlign w:val="center"/>
          </w:tcPr>
          <w:p w:rsidR="0007329C" w:rsidRDefault="0007329C" w:rsidP="00D060D7">
            <w:pPr>
              <w:spacing w:line="276" w:lineRule="auto"/>
              <w:jc w:val="left"/>
              <w:rPr>
                <w:color w:val="000000"/>
                <w:szCs w:val="18"/>
                <w:lang w:val="sv-SE" w:eastAsia="sv-SE"/>
              </w:rPr>
            </w:pPr>
            <w:r>
              <w:rPr>
                <w:color w:val="000000"/>
                <w:szCs w:val="18"/>
                <w:lang w:val="sv-SE" w:eastAsia="sv-SE"/>
              </w:rPr>
              <w:t>WENRA-RHWG, 2014 (Reference Levels Issue F: Design Extension for Existing Reactors)</w:t>
            </w:r>
          </w:p>
        </w:tc>
        <w:tc>
          <w:tcPr>
            <w:tcW w:w="3022" w:type="pct"/>
            <w:shd w:val="clear" w:color="auto" w:fill="auto"/>
            <w:vAlign w:val="center"/>
          </w:tcPr>
          <w:p w:rsidR="0007329C" w:rsidRDefault="0007329C" w:rsidP="00D060D7">
            <w:pPr>
              <w:spacing w:line="276" w:lineRule="auto"/>
              <w:jc w:val="left"/>
              <w:rPr>
                <w:color w:val="000000"/>
                <w:szCs w:val="18"/>
                <w:lang w:val="sv-SE" w:eastAsia="sv-SE"/>
              </w:rPr>
            </w:pPr>
            <w:r>
              <w:rPr>
                <w:color w:val="000000"/>
                <w:szCs w:val="18"/>
                <w:lang w:val="sv-SE" w:eastAsia="sv-SE"/>
              </w:rPr>
              <w:t>Requirements for assessment of initiating events exceeding the severity of design basis events, protection and safety goals</w:t>
            </w:r>
          </w:p>
        </w:tc>
      </w:tr>
      <w:tr w:rsidR="0007329C" w:rsidRPr="009A0DC6" w:rsidTr="006E4071">
        <w:trPr>
          <w:trHeight w:val="354"/>
        </w:trPr>
        <w:tc>
          <w:tcPr>
            <w:tcW w:w="1978" w:type="pct"/>
            <w:shd w:val="clear" w:color="auto" w:fill="auto"/>
            <w:vAlign w:val="center"/>
          </w:tcPr>
          <w:p w:rsidR="0007329C" w:rsidRPr="009A0DC6" w:rsidRDefault="0007329C" w:rsidP="001432A8">
            <w:pPr>
              <w:spacing w:line="276" w:lineRule="auto"/>
              <w:jc w:val="left"/>
              <w:rPr>
                <w:color w:val="000000"/>
                <w:szCs w:val="18"/>
                <w:lang w:val="sv-SE" w:eastAsia="sv-SE"/>
              </w:rPr>
            </w:pPr>
            <w:r>
              <w:rPr>
                <w:color w:val="000000"/>
                <w:szCs w:val="18"/>
                <w:lang w:val="sv-SE" w:eastAsia="sv-SE"/>
              </w:rPr>
              <w:t>WENRA-RHWG, 201</w:t>
            </w:r>
            <w:r w:rsidR="001432A8">
              <w:rPr>
                <w:color w:val="000000"/>
                <w:szCs w:val="18"/>
                <w:lang w:val="sv-SE" w:eastAsia="sv-SE"/>
              </w:rPr>
              <w:t>5</w:t>
            </w:r>
            <w:r>
              <w:rPr>
                <w:color w:val="000000"/>
                <w:szCs w:val="18"/>
                <w:lang w:val="sv-SE" w:eastAsia="sv-SE"/>
              </w:rPr>
              <w:t xml:space="preserve"> (F: </w:t>
            </w:r>
            <w:r w:rsidRPr="0007329C">
              <w:rPr>
                <w:color w:val="000000"/>
                <w:szCs w:val="18"/>
                <w:lang w:val="sv-SE" w:eastAsia="sv-SE"/>
              </w:rPr>
              <w:t>Guidance Document</w:t>
            </w:r>
            <w:r>
              <w:rPr>
                <w:color w:val="000000"/>
                <w:szCs w:val="18"/>
                <w:lang w:val="sv-SE" w:eastAsia="sv-SE"/>
              </w:rPr>
              <w:t xml:space="preserve"> </w:t>
            </w:r>
            <w:r w:rsidRPr="0007329C">
              <w:rPr>
                <w:color w:val="000000"/>
                <w:szCs w:val="18"/>
                <w:lang w:val="sv-SE" w:eastAsia="sv-SE"/>
              </w:rPr>
              <w:t>Issue F: Design Extension of Eexisting Reactors</w:t>
            </w:r>
            <w:r>
              <w:rPr>
                <w:color w:val="000000"/>
                <w:szCs w:val="18"/>
                <w:lang w:val="sv-SE" w:eastAsia="sv-SE"/>
              </w:rPr>
              <w:t>)</w:t>
            </w:r>
          </w:p>
        </w:tc>
        <w:tc>
          <w:tcPr>
            <w:tcW w:w="3022" w:type="pct"/>
            <w:shd w:val="clear" w:color="auto" w:fill="auto"/>
            <w:vAlign w:val="center"/>
          </w:tcPr>
          <w:p w:rsidR="0007329C" w:rsidRPr="009A0DC6" w:rsidRDefault="0007329C" w:rsidP="0007329C">
            <w:pPr>
              <w:spacing w:line="276" w:lineRule="auto"/>
              <w:jc w:val="left"/>
              <w:rPr>
                <w:color w:val="000000"/>
                <w:szCs w:val="18"/>
                <w:lang w:val="sv-SE" w:eastAsia="sv-SE"/>
              </w:rPr>
            </w:pPr>
            <w:r>
              <w:rPr>
                <w:color w:val="000000"/>
                <w:szCs w:val="18"/>
                <w:lang w:val="sv-SE" w:eastAsia="sv-SE"/>
              </w:rPr>
              <w:t>Guidance on safety analysis with respect to design extension conditions</w:t>
            </w:r>
          </w:p>
        </w:tc>
      </w:tr>
      <w:tr w:rsidR="005905E2" w:rsidRPr="009A0DC6" w:rsidTr="006E4071">
        <w:trPr>
          <w:trHeight w:val="354"/>
        </w:trPr>
        <w:tc>
          <w:tcPr>
            <w:tcW w:w="1978" w:type="pct"/>
            <w:shd w:val="clear" w:color="auto" w:fill="auto"/>
            <w:vAlign w:val="center"/>
            <w:hideMark/>
          </w:tcPr>
          <w:p w:rsidR="005905E2" w:rsidRPr="009A0DC6" w:rsidRDefault="005905E2" w:rsidP="006E4071">
            <w:pPr>
              <w:spacing w:line="276" w:lineRule="auto"/>
              <w:jc w:val="left"/>
              <w:rPr>
                <w:color w:val="000000"/>
                <w:szCs w:val="18"/>
                <w:lang w:val="sv-SE" w:eastAsia="sv-SE"/>
              </w:rPr>
            </w:pPr>
            <w:r w:rsidRPr="009A0DC6">
              <w:rPr>
                <w:color w:val="000000"/>
                <w:szCs w:val="18"/>
                <w:lang w:val="sv-SE" w:eastAsia="sv-SE"/>
              </w:rPr>
              <w:t>WENRA-RHWG, 2013 (Position paper on PSR)</w:t>
            </w:r>
          </w:p>
        </w:tc>
        <w:tc>
          <w:tcPr>
            <w:tcW w:w="3022" w:type="pct"/>
            <w:shd w:val="clear" w:color="auto" w:fill="auto"/>
            <w:vAlign w:val="center"/>
            <w:hideMark/>
          </w:tcPr>
          <w:p w:rsidR="005905E2" w:rsidRPr="009A0DC6" w:rsidRDefault="005905E2" w:rsidP="006E4071">
            <w:pPr>
              <w:spacing w:line="276" w:lineRule="auto"/>
              <w:jc w:val="left"/>
              <w:rPr>
                <w:color w:val="000000"/>
                <w:szCs w:val="18"/>
                <w:lang w:val="sv-SE" w:eastAsia="sv-SE"/>
              </w:rPr>
            </w:pPr>
            <w:r w:rsidRPr="009A0DC6">
              <w:rPr>
                <w:color w:val="000000"/>
                <w:szCs w:val="18"/>
                <w:lang w:val="sv-SE" w:eastAsia="sv-SE"/>
              </w:rPr>
              <w:t>Periodic reviews of natural hazards</w:t>
            </w:r>
          </w:p>
        </w:tc>
      </w:tr>
      <w:tr w:rsidR="00AA6EA9" w:rsidRPr="00953207" w:rsidTr="006E4071">
        <w:trPr>
          <w:trHeight w:val="300"/>
        </w:trPr>
        <w:tc>
          <w:tcPr>
            <w:tcW w:w="1978" w:type="pct"/>
            <w:shd w:val="clear" w:color="auto" w:fill="auto"/>
            <w:vAlign w:val="center"/>
          </w:tcPr>
          <w:p w:rsidR="00AA6EA9" w:rsidRPr="00EC630F" w:rsidRDefault="00AA6EA9" w:rsidP="006E4071">
            <w:pPr>
              <w:spacing w:line="276" w:lineRule="auto"/>
              <w:jc w:val="left"/>
              <w:rPr>
                <w:color w:val="000000"/>
                <w:szCs w:val="18"/>
                <w:lang w:val="sv-SE" w:eastAsia="sv-SE"/>
              </w:rPr>
            </w:pPr>
            <w:r>
              <w:rPr>
                <w:color w:val="000000"/>
                <w:szCs w:val="18"/>
                <w:lang w:val="sv-SE" w:eastAsia="sv-SE"/>
              </w:rPr>
              <w:t>KTA, 2011</w:t>
            </w:r>
          </w:p>
        </w:tc>
        <w:tc>
          <w:tcPr>
            <w:tcW w:w="3022" w:type="pct"/>
            <w:shd w:val="clear" w:color="auto" w:fill="auto"/>
            <w:vAlign w:val="center"/>
          </w:tcPr>
          <w:p w:rsidR="00AA6EA9" w:rsidRPr="00AA6EA9" w:rsidRDefault="00AA6EA9" w:rsidP="00AA6EA9">
            <w:pPr>
              <w:spacing w:line="276" w:lineRule="auto"/>
              <w:jc w:val="left"/>
              <w:rPr>
                <w:color w:val="000000"/>
                <w:szCs w:val="18"/>
                <w:lang w:val="sv-SE" w:eastAsia="sv-SE"/>
              </w:rPr>
            </w:pPr>
            <w:r w:rsidRPr="00AA6EA9">
              <w:rPr>
                <w:color w:val="000000"/>
                <w:szCs w:val="18"/>
                <w:lang w:val="sv-SE" w:eastAsia="sv-SE"/>
              </w:rPr>
              <w:t>Design of Nuclear Power Plants against Seismic Events; Part 1: Principles</w:t>
            </w:r>
          </w:p>
        </w:tc>
      </w:tr>
      <w:tr w:rsidR="005905E2" w:rsidRPr="00953207" w:rsidTr="006E4071">
        <w:trPr>
          <w:trHeight w:val="300"/>
        </w:trPr>
        <w:tc>
          <w:tcPr>
            <w:tcW w:w="1978" w:type="pct"/>
            <w:shd w:val="clear" w:color="auto" w:fill="auto"/>
            <w:vAlign w:val="center"/>
          </w:tcPr>
          <w:p w:rsidR="005905E2" w:rsidRPr="00EC630F" w:rsidRDefault="005905E2" w:rsidP="006E4071">
            <w:pPr>
              <w:spacing w:line="276" w:lineRule="auto"/>
              <w:jc w:val="left"/>
              <w:rPr>
                <w:color w:val="000000"/>
                <w:szCs w:val="18"/>
                <w:lang w:val="sv-SE" w:eastAsia="sv-SE"/>
              </w:rPr>
            </w:pPr>
            <w:r w:rsidRPr="00EC630F">
              <w:rPr>
                <w:color w:val="000000"/>
                <w:szCs w:val="18"/>
                <w:lang w:val="sv-SE" w:eastAsia="sv-SE"/>
              </w:rPr>
              <w:t>IAEA, 2003 (NS-G-1.6)</w:t>
            </w:r>
          </w:p>
        </w:tc>
        <w:tc>
          <w:tcPr>
            <w:tcW w:w="3022" w:type="pct"/>
            <w:shd w:val="clear" w:color="auto" w:fill="auto"/>
            <w:vAlign w:val="center"/>
          </w:tcPr>
          <w:p w:rsidR="005905E2" w:rsidRPr="00F82A4D" w:rsidRDefault="005905E2" w:rsidP="006E4071">
            <w:pPr>
              <w:spacing w:line="276" w:lineRule="auto"/>
              <w:jc w:val="left"/>
              <w:rPr>
                <w:b/>
                <w:color w:val="000000"/>
                <w:szCs w:val="18"/>
                <w:highlight w:val="yellow"/>
                <w:lang w:val="sv-SE" w:eastAsia="sv-SE"/>
              </w:rPr>
            </w:pPr>
            <w:r>
              <w:rPr>
                <w:color w:val="000000"/>
                <w:lang w:eastAsia="en-GB"/>
              </w:rPr>
              <w:t>Seismic Design and Qualification for Nuclear Power Plants</w:t>
            </w:r>
          </w:p>
        </w:tc>
      </w:tr>
      <w:tr w:rsidR="005905E2" w:rsidRPr="00953207" w:rsidTr="006E4071">
        <w:trPr>
          <w:trHeight w:val="300"/>
        </w:trPr>
        <w:tc>
          <w:tcPr>
            <w:tcW w:w="1978" w:type="pct"/>
            <w:shd w:val="clear" w:color="auto" w:fill="auto"/>
            <w:vAlign w:val="center"/>
          </w:tcPr>
          <w:p w:rsidR="005905E2" w:rsidRDefault="005905E2" w:rsidP="006E4071">
            <w:pPr>
              <w:spacing w:line="276" w:lineRule="auto"/>
              <w:jc w:val="left"/>
              <w:rPr>
                <w:color w:val="000000"/>
                <w:szCs w:val="18"/>
                <w:lang w:val="sv-SE" w:eastAsia="sv-SE"/>
              </w:rPr>
            </w:pPr>
            <w:r>
              <w:rPr>
                <w:color w:val="000000"/>
                <w:szCs w:val="18"/>
                <w:lang w:val="sv-SE" w:eastAsia="sv-SE"/>
              </w:rPr>
              <w:t>IAEA, 2010 (SSG-9)</w:t>
            </w:r>
          </w:p>
        </w:tc>
        <w:tc>
          <w:tcPr>
            <w:tcW w:w="3022" w:type="pct"/>
            <w:shd w:val="clear" w:color="auto" w:fill="auto"/>
            <w:vAlign w:val="center"/>
          </w:tcPr>
          <w:p w:rsidR="005905E2" w:rsidRPr="00953207" w:rsidRDefault="005905E2" w:rsidP="006E4071">
            <w:pPr>
              <w:spacing w:line="276" w:lineRule="auto"/>
              <w:jc w:val="left"/>
              <w:rPr>
                <w:color w:val="000000"/>
                <w:szCs w:val="18"/>
                <w:lang w:val="sv-SE" w:eastAsia="sv-SE"/>
              </w:rPr>
            </w:pPr>
            <w:r>
              <w:rPr>
                <w:color w:val="000000"/>
                <w:szCs w:val="18"/>
                <w:lang w:val="sv-SE" w:eastAsia="sv-SE"/>
              </w:rPr>
              <w:t>Hazard assessment: vibratory ground motion, fault capabilty</w:t>
            </w:r>
          </w:p>
        </w:tc>
      </w:tr>
      <w:tr w:rsidR="005905E2" w:rsidRPr="00953207" w:rsidTr="006E4071">
        <w:trPr>
          <w:trHeight w:val="300"/>
        </w:trPr>
        <w:tc>
          <w:tcPr>
            <w:tcW w:w="1978" w:type="pct"/>
            <w:shd w:val="clear" w:color="auto" w:fill="auto"/>
            <w:vAlign w:val="center"/>
          </w:tcPr>
          <w:p w:rsidR="005905E2" w:rsidRDefault="005905E2" w:rsidP="006E4071">
            <w:pPr>
              <w:spacing w:line="276" w:lineRule="auto"/>
              <w:jc w:val="left"/>
              <w:rPr>
                <w:color w:val="000000"/>
                <w:szCs w:val="18"/>
                <w:lang w:val="sv-SE" w:eastAsia="sv-SE"/>
              </w:rPr>
            </w:pPr>
            <w:r>
              <w:rPr>
                <w:color w:val="000000"/>
                <w:lang w:eastAsia="en-GB"/>
              </w:rPr>
              <w:t>IAEA, 2015 (TECDOC 1767)</w:t>
            </w:r>
          </w:p>
        </w:tc>
        <w:tc>
          <w:tcPr>
            <w:tcW w:w="3022" w:type="pct"/>
            <w:shd w:val="clear" w:color="auto" w:fill="auto"/>
            <w:vAlign w:val="center"/>
          </w:tcPr>
          <w:p w:rsidR="005905E2" w:rsidRDefault="005905E2" w:rsidP="006E4071">
            <w:pPr>
              <w:spacing w:line="276" w:lineRule="auto"/>
              <w:jc w:val="left"/>
              <w:rPr>
                <w:color w:val="000000"/>
                <w:szCs w:val="18"/>
                <w:lang w:val="sv-SE" w:eastAsia="sv-SE"/>
              </w:rPr>
            </w:pPr>
            <w:r>
              <w:rPr>
                <w:color w:val="000000"/>
                <w:lang w:eastAsia="en-GB"/>
              </w:rPr>
              <w:t xml:space="preserve">Paleoseismological methods to support seismic hazard assessment </w:t>
            </w:r>
          </w:p>
        </w:tc>
      </w:tr>
      <w:tr w:rsidR="005905E2" w:rsidRPr="00953207" w:rsidTr="006E4071">
        <w:trPr>
          <w:trHeight w:val="300"/>
        </w:trPr>
        <w:tc>
          <w:tcPr>
            <w:tcW w:w="1978" w:type="pct"/>
            <w:shd w:val="clear" w:color="auto" w:fill="auto"/>
            <w:vAlign w:val="center"/>
            <w:hideMark/>
          </w:tcPr>
          <w:p w:rsidR="005905E2" w:rsidRPr="00953207" w:rsidRDefault="005905E2" w:rsidP="006E4071">
            <w:pPr>
              <w:spacing w:line="276" w:lineRule="auto"/>
              <w:jc w:val="left"/>
              <w:rPr>
                <w:color w:val="000000"/>
                <w:szCs w:val="18"/>
                <w:lang w:val="sv-SE" w:eastAsia="sv-SE"/>
              </w:rPr>
            </w:pPr>
            <w:r>
              <w:rPr>
                <w:color w:val="000000"/>
                <w:szCs w:val="18"/>
                <w:lang w:val="sv-SE" w:eastAsia="sv-SE"/>
              </w:rPr>
              <w:t>IAEA, 2009 (NS-G-2.13)</w:t>
            </w:r>
          </w:p>
        </w:tc>
        <w:tc>
          <w:tcPr>
            <w:tcW w:w="3022" w:type="pct"/>
            <w:shd w:val="clear" w:color="auto" w:fill="auto"/>
            <w:vAlign w:val="center"/>
          </w:tcPr>
          <w:p w:rsidR="005905E2" w:rsidRPr="00953207" w:rsidRDefault="005905E2" w:rsidP="006E4071">
            <w:pPr>
              <w:spacing w:line="276" w:lineRule="auto"/>
              <w:jc w:val="left"/>
              <w:rPr>
                <w:color w:val="000000"/>
                <w:szCs w:val="18"/>
                <w:lang w:val="sv-SE" w:eastAsia="sv-SE"/>
              </w:rPr>
            </w:pPr>
            <w:r>
              <w:rPr>
                <w:color w:val="000000"/>
                <w:szCs w:val="18"/>
                <w:lang w:val="sv-SE" w:eastAsia="sv-SE"/>
              </w:rPr>
              <w:t>Evaluation of seismic safety for extisting nuclear installations</w:t>
            </w:r>
          </w:p>
        </w:tc>
      </w:tr>
      <w:tr w:rsidR="005905E2" w:rsidRPr="00953207" w:rsidTr="006E4071">
        <w:trPr>
          <w:trHeight w:val="300"/>
        </w:trPr>
        <w:tc>
          <w:tcPr>
            <w:tcW w:w="1978" w:type="pct"/>
            <w:shd w:val="clear" w:color="auto" w:fill="auto"/>
            <w:vAlign w:val="center"/>
          </w:tcPr>
          <w:p w:rsidR="005905E2" w:rsidRDefault="005905E2" w:rsidP="006E4071">
            <w:pPr>
              <w:spacing w:line="276" w:lineRule="auto"/>
              <w:jc w:val="left"/>
              <w:rPr>
                <w:color w:val="000000"/>
                <w:szCs w:val="18"/>
                <w:lang w:val="sv-SE" w:eastAsia="sv-SE"/>
              </w:rPr>
            </w:pPr>
            <w:r w:rsidRPr="00EC630F">
              <w:rPr>
                <w:color w:val="000000"/>
                <w:szCs w:val="18"/>
                <w:lang w:val="sv-SE" w:eastAsia="sv-SE"/>
              </w:rPr>
              <w:t>IAEA, 2004 (NS-G-3.6)</w:t>
            </w:r>
          </w:p>
        </w:tc>
        <w:tc>
          <w:tcPr>
            <w:tcW w:w="3022" w:type="pct"/>
            <w:shd w:val="clear" w:color="auto" w:fill="auto"/>
            <w:vAlign w:val="center"/>
          </w:tcPr>
          <w:p w:rsidR="005905E2" w:rsidRDefault="005905E2" w:rsidP="006E4071">
            <w:pPr>
              <w:spacing w:line="276" w:lineRule="auto"/>
              <w:jc w:val="left"/>
              <w:rPr>
                <w:color w:val="000000"/>
                <w:szCs w:val="18"/>
                <w:lang w:val="sv-SE" w:eastAsia="sv-SE"/>
              </w:rPr>
            </w:pPr>
            <w:r>
              <w:rPr>
                <w:color w:val="000000"/>
                <w:szCs w:val="18"/>
                <w:lang w:val="en-US" w:eastAsia="sv-SE"/>
              </w:rPr>
              <w:t>Hazard assessment: s</w:t>
            </w:r>
            <w:r w:rsidRPr="00F5040E">
              <w:rPr>
                <w:color w:val="000000"/>
                <w:szCs w:val="18"/>
                <w:lang w:val="en-US" w:eastAsia="sv-SE"/>
              </w:rPr>
              <w:t>ite conditions, liquefaciton</w:t>
            </w:r>
          </w:p>
        </w:tc>
      </w:tr>
      <w:tr w:rsidR="005905E2" w:rsidRPr="00953207" w:rsidTr="006E4071">
        <w:trPr>
          <w:trHeight w:val="966"/>
        </w:trPr>
        <w:tc>
          <w:tcPr>
            <w:tcW w:w="1978" w:type="pct"/>
            <w:shd w:val="clear" w:color="auto" w:fill="auto"/>
            <w:vAlign w:val="center"/>
          </w:tcPr>
          <w:p w:rsidR="005905E2" w:rsidRPr="00F5040E" w:rsidRDefault="0007329C" w:rsidP="006E4071">
            <w:pPr>
              <w:spacing w:line="276" w:lineRule="auto"/>
              <w:jc w:val="left"/>
              <w:rPr>
                <w:color w:val="000000"/>
                <w:szCs w:val="18"/>
                <w:lang w:val="en-US" w:eastAsia="sv-SE"/>
              </w:rPr>
            </w:pPr>
            <w:r>
              <w:rPr>
                <w:color w:val="000000"/>
                <w:lang w:eastAsia="en-GB"/>
              </w:rPr>
              <w:t>NUREG/CR-6372</w:t>
            </w:r>
          </w:p>
        </w:tc>
        <w:tc>
          <w:tcPr>
            <w:tcW w:w="3022" w:type="pct"/>
            <w:shd w:val="clear" w:color="auto" w:fill="auto"/>
            <w:vAlign w:val="center"/>
          </w:tcPr>
          <w:p w:rsidR="005905E2" w:rsidRPr="00F5040E" w:rsidRDefault="005905E2" w:rsidP="006E4071">
            <w:pPr>
              <w:spacing w:line="276" w:lineRule="auto"/>
              <w:jc w:val="left"/>
              <w:rPr>
                <w:color w:val="000000"/>
                <w:szCs w:val="18"/>
                <w:lang w:val="en-US" w:eastAsia="sv-SE"/>
              </w:rPr>
            </w:pPr>
            <w:r>
              <w:rPr>
                <w:color w:val="000000"/>
                <w:lang w:eastAsia="en-GB"/>
              </w:rPr>
              <w:t>Senior Seismic Hazard Analysis Committee (SSHAC), 1997. Reco</w:t>
            </w:r>
            <w:r>
              <w:rPr>
                <w:color w:val="000000"/>
                <w:lang w:eastAsia="en-GB"/>
              </w:rPr>
              <w:t>m</w:t>
            </w:r>
            <w:r>
              <w:rPr>
                <w:color w:val="000000"/>
                <w:lang w:eastAsia="en-GB"/>
              </w:rPr>
              <w:t xml:space="preserve">mendations for Probabilistic Seismic Hazard Analysis: Guidance on </w:t>
            </w:r>
            <w:r w:rsidR="00A8394B">
              <w:rPr>
                <w:color w:val="000000"/>
                <w:lang w:eastAsia="en-GB"/>
              </w:rPr>
              <w:t>Uncertainty and Use of Experts.</w:t>
            </w:r>
          </w:p>
        </w:tc>
      </w:tr>
      <w:tr w:rsidR="005905E2" w:rsidRPr="00953207" w:rsidTr="006E4071">
        <w:trPr>
          <w:trHeight w:val="300"/>
        </w:trPr>
        <w:tc>
          <w:tcPr>
            <w:tcW w:w="1978" w:type="pct"/>
            <w:shd w:val="clear" w:color="auto" w:fill="auto"/>
            <w:vAlign w:val="center"/>
          </w:tcPr>
          <w:p w:rsidR="005905E2" w:rsidRDefault="005905E2" w:rsidP="006E4071">
            <w:pPr>
              <w:spacing w:line="276" w:lineRule="auto"/>
              <w:jc w:val="left"/>
              <w:rPr>
                <w:color w:val="000000"/>
                <w:szCs w:val="18"/>
                <w:lang w:val="sv-SE" w:eastAsia="sv-SE"/>
              </w:rPr>
            </w:pPr>
            <w:r w:rsidRPr="00E75EA8">
              <w:rPr>
                <w:color w:val="000000"/>
                <w:szCs w:val="18"/>
                <w:lang w:val="sv-SE" w:eastAsia="sv-SE"/>
              </w:rPr>
              <w:t>NUREG 2117</w:t>
            </w:r>
          </w:p>
        </w:tc>
        <w:tc>
          <w:tcPr>
            <w:tcW w:w="3022" w:type="pct"/>
            <w:shd w:val="clear" w:color="auto" w:fill="auto"/>
            <w:vAlign w:val="center"/>
          </w:tcPr>
          <w:p w:rsidR="005905E2" w:rsidRDefault="005905E2" w:rsidP="006E4071">
            <w:pPr>
              <w:spacing w:line="276" w:lineRule="auto"/>
              <w:jc w:val="left"/>
              <w:rPr>
                <w:color w:val="000000"/>
                <w:szCs w:val="18"/>
                <w:lang w:val="sv-SE" w:eastAsia="sv-SE"/>
              </w:rPr>
            </w:pPr>
            <w:r w:rsidRPr="00E75EA8">
              <w:rPr>
                <w:color w:val="000000"/>
                <w:szCs w:val="18"/>
                <w:lang w:val="sv-SE" w:eastAsia="sv-SE"/>
              </w:rPr>
              <w:t>Practical Implementation Guidelines for SSHAC Level 3 and 4 Hazard Studies</w:t>
            </w:r>
          </w:p>
        </w:tc>
      </w:tr>
      <w:tr w:rsidR="005905E2" w:rsidRPr="00953207" w:rsidTr="006E4071">
        <w:trPr>
          <w:trHeight w:val="300"/>
        </w:trPr>
        <w:tc>
          <w:tcPr>
            <w:tcW w:w="1978" w:type="pct"/>
            <w:shd w:val="clear" w:color="auto" w:fill="auto"/>
            <w:vAlign w:val="center"/>
          </w:tcPr>
          <w:p w:rsidR="005905E2" w:rsidRDefault="005905E2" w:rsidP="006E4071">
            <w:pPr>
              <w:spacing w:line="276" w:lineRule="auto"/>
              <w:jc w:val="left"/>
              <w:rPr>
                <w:color w:val="000000"/>
                <w:szCs w:val="18"/>
                <w:lang w:val="sv-SE" w:eastAsia="sv-SE"/>
              </w:rPr>
            </w:pPr>
            <w:r>
              <w:rPr>
                <w:color w:val="000000"/>
                <w:szCs w:val="18"/>
                <w:lang w:val="sv-SE" w:eastAsia="sv-SE"/>
              </w:rPr>
              <w:t>WENRA-RHWG, 2014 (Reference Levels Issue O: PSA)</w:t>
            </w:r>
          </w:p>
        </w:tc>
        <w:tc>
          <w:tcPr>
            <w:tcW w:w="3022" w:type="pct"/>
            <w:shd w:val="clear" w:color="auto" w:fill="auto"/>
            <w:vAlign w:val="center"/>
          </w:tcPr>
          <w:p w:rsidR="005905E2" w:rsidRDefault="005905E2" w:rsidP="005905E2">
            <w:pPr>
              <w:spacing w:line="276" w:lineRule="auto"/>
              <w:jc w:val="left"/>
              <w:rPr>
                <w:color w:val="000000"/>
                <w:szCs w:val="18"/>
                <w:lang w:val="sv-SE" w:eastAsia="sv-SE"/>
              </w:rPr>
            </w:pPr>
            <w:r>
              <w:rPr>
                <w:color w:val="000000"/>
                <w:szCs w:val="18"/>
                <w:lang w:val="sv-SE" w:eastAsia="sv-SE"/>
              </w:rPr>
              <w:t>Requirements for Probabilistic Safety Analyses</w:t>
            </w:r>
          </w:p>
        </w:tc>
      </w:tr>
      <w:tr w:rsidR="00EC630F" w:rsidRPr="00674F55" w:rsidTr="00F10FCA">
        <w:trPr>
          <w:trHeight w:val="594"/>
        </w:trPr>
        <w:tc>
          <w:tcPr>
            <w:tcW w:w="1978" w:type="pct"/>
            <w:shd w:val="clear" w:color="auto" w:fill="auto"/>
            <w:vAlign w:val="center"/>
            <w:hideMark/>
          </w:tcPr>
          <w:p w:rsidR="00EC630F" w:rsidRPr="00674F55" w:rsidRDefault="00EC630F" w:rsidP="00F10FCA">
            <w:pPr>
              <w:spacing w:line="276" w:lineRule="auto"/>
              <w:jc w:val="left"/>
              <w:rPr>
                <w:color w:val="000000"/>
                <w:szCs w:val="18"/>
                <w:lang w:val="sv-SE" w:eastAsia="sv-SE"/>
              </w:rPr>
            </w:pPr>
            <w:r w:rsidRPr="00674F55">
              <w:rPr>
                <w:color w:val="000000"/>
                <w:szCs w:val="18"/>
                <w:lang w:val="sv-SE" w:eastAsia="sv-SE"/>
              </w:rPr>
              <w:t xml:space="preserve">EPRI, 2013 (Seismic Probabilistic Risk Assessment) </w:t>
            </w:r>
          </w:p>
        </w:tc>
        <w:tc>
          <w:tcPr>
            <w:tcW w:w="3022" w:type="pct"/>
            <w:shd w:val="clear" w:color="auto" w:fill="auto"/>
            <w:vAlign w:val="center"/>
            <w:hideMark/>
          </w:tcPr>
          <w:p w:rsidR="00EC630F" w:rsidRPr="00674F55" w:rsidRDefault="00EC630F" w:rsidP="00F10FCA">
            <w:pPr>
              <w:spacing w:line="276" w:lineRule="auto"/>
              <w:jc w:val="left"/>
              <w:rPr>
                <w:color w:val="000000"/>
                <w:szCs w:val="18"/>
                <w:lang w:val="en-US" w:eastAsia="sv-SE"/>
              </w:rPr>
            </w:pPr>
            <w:r w:rsidRPr="00674F55">
              <w:rPr>
                <w:color w:val="000000"/>
                <w:szCs w:val="18"/>
                <w:lang w:val="en-US" w:eastAsia="sv-SE"/>
              </w:rPr>
              <w:t>Guidelines to seismic probabilistic risk aqssessments (SPRAs)</w:t>
            </w:r>
          </w:p>
        </w:tc>
      </w:tr>
      <w:tr w:rsidR="00EC630F" w:rsidRPr="00674F55" w:rsidTr="00EC630F">
        <w:trPr>
          <w:trHeight w:val="361"/>
        </w:trPr>
        <w:tc>
          <w:tcPr>
            <w:tcW w:w="1978" w:type="pct"/>
            <w:shd w:val="clear" w:color="auto" w:fill="auto"/>
            <w:vAlign w:val="center"/>
            <w:hideMark/>
          </w:tcPr>
          <w:p w:rsidR="00EC630F" w:rsidRPr="00674F55" w:rsidRDefault="00EC630F" w:rsidP="00F10FCA">
            <w:pPr>
              <w:spacing w:line="276" w:lineRule="auto"/>
              <w:jc w:val="left"/>
              <w:rPr>
                <w:color w:val="000000"/>
                <w:szCs w:val="18"/>
                <w:lang w:val="sv-SE" w:eastAsia="sv-SE"/>
              </w:rPr>
            </w:pPr>
            <w:r w:rsidRPr="00674F55">
              <w:rPr>
                <w:color w:val="000000"/>
                <w:szCs w:val="18"/>
                <w:lang w:val="sv-SE" w:eastAsia="sv-SE"/>
              </w:rPr>
              <w:t>IAEA, 1995 (50-P-7) Superseeded</w:t>
            </w:r>
          </w:p>
        </w:tc>
        <w:tc>
          <w:tcPr>
            <w:tcW w:w="3022" w:type="pct"/>
            <w:shd w:val="clear" w:color="auto" w:fill="auto"/>
            <w:vAlign w:val="center"/>
            <w:hideMark/>
          </w:tcPr>
          <w:p w:rsidR="00EC630F" w:rsidRPr="00674F55" w:rsidRDefault="00EC630F" w:rsidP="00F10FCA">
            <w:pPr>
              <w:spacing w:line="276" w:lineRule="auto"/>
              <w:jc w:val="left"/>
              <w:rPr>
                <w:color w:val="000000"/>
                <w:szCs w:val="18"/>
                <w:lang w:val="en-US" w:eastAsia="sv-SE"/>
              </w:rPr>
            </w:pPr>
            <w:r w:rsidRPr="00674F55">
              <w:rPr>
                <w:color w:val="000000"/>
                <w:szCs w:val="18"/>
                <w:lang w:val="en-US" w:eastAsia="sv-SE"/>
              </w:rPr>
              <w:t>External hazards in PSA</w:t>
            </w:r>
          </w:p>
        </w:tc>
      </w:tr>
      <w:tr w:rsidR="00EC630F" w:rsidRPr="00953207" w:rsidTr="00F10FCA">
        <w:trPr>
          <w:trHeight w:val="966"/>
        </w:trPr>
        <w:tc>
          <w:tcPr>
            <w:tcW w:w="1978" w:type="pct"/>
            <w:shd w:val="clear" w:color="auto" w:fill="auto"/>
            <w:vAlign w:val="center"/>
            <w:hideMark/>
          </w:tcPr>
          <w:p w:rsidR="00EC630F" w:rsidRPr="008C257B" w:rsidRDefault="00EC630F" w:rsidP="00F10FCA">
            <w:pPr>
              <w:spacing w:line="276" w:lineRule="auto"/>
              <w:jc w:val="left"/>
              <w:rPr>
                <w:color w:val="000000"/>
                <w:szCs w:val="18"/>
                <w:lang w:val="en-US" w:eastAsia="sv-SE"/>
              </w:rPr>
            </w:pPr>
            <w:r w:rsidRPr="008C257B">
              <w:rPr>
                <w:color w:val="000000"/>
                <w:szCs w:val="18"/>
                <w:lang w:val="en-US" w:eastAsia="sv-SE"/>
              </w:rPr>
              <w:t>IAEA, 2011 (A Methodology to A</w:t>
            </w:r>
            <w:r w:rsidRPr="008C257B">
              <w:rPr>
                <w:color w:val="000000"/>
                <w:szCs w:val="18"/>
                <w:lang w:val="en-US" w:eastAsia="sv-SE"/>
              </w:rPr>
              <w:t>s</w:t>
            </w:r>
            <w:r w:rsidRPr="008C257B">
              <w:rPr>
                <w:color w:val="000000"/>
                <w:szCs w:val="18"/>
                <w:lang w:val="en-US" w:eastAsia="sv-SE"/>
              </w:rPr>
              <w:t>sess the Safety Vulnerabilities of Nuclear Power Plants against Site Specific Extreme Natural Ha</w:t>
            </w:r>
            <w:r w:rsidRPr="008C257B">
              <w:rPr>
                <w:color w:val="000000"/>
                <w:szCs w:val="18"/>
                <w:lang w:val="en-US" w:eastAsia="sv-SE"/>
              </w:rPr>
              <w:t>z</w:t>
            </w:r>
            <w:r w:rsidRPr="008C257B">
              <w:rPr>
                <w:color w:val="000000"/>
                <w:szCs w:val="18"/>
                <w:lang w:val="en-US" w:eastAsia="sv-SE"/>
              </w:rPr>
              <w:t>ards)</w:t>
            </w:r>
          </w:p>
        </w:tc>
        <w:tc>
          <w:tcPr>
            <w:tcW w:w="3022" w:type="pct"/>
            <w:shd w:val="clear" w:color="auto" w:fill="auto"/>
            <w:vAlign w:val="center"/>
            <w:hideMark/>
          </w:tcPr>
          <w:p w:rsidR="00EC630F" w:rsidRPr="008C257B" w:rsidRDefault="00EC630F" w:rsidP="00F10FCA">
            <w:pPr>
              <w:spacing w:line="276" w:lineRule="auto"/>
              <w:jc w:val="left"/>
              <w:rPr>
                <w:color w:val="000000"/>
                <w:szCs w:val="18"/>
                <w:lang w:val="en-US" w:eastAsia="sv-SE"/>
              </w:rPr>
            </w:pPr>
            <w:r w:rsidRPr="008C257B">
              <w:rPr>
                <w:color w:val="000000"/>
                <w:szCs w:val="18"/>
                <w:lang w:val="en-US" w:eastAsia="sv-SE"/>
              </w:rPr>
              <w:t>Seismic PSA, Seismic Margin Assessment (SMA)</w:t>
            </w:r>
          </w:p>
        </w:tc>
      </w:tr>
    </w:tbl>
    <w:p w:rsidR="00C272B2" w:rsidRDefault="00C272B2" w:rsidP="00C272B2">
      <w:pPr>
        <w:pStyle w:val="Paragraphedeliste"/>
        <w:rPr>
          <w:rFonts w:eastAsia="Times New Roman"/>
          <w:color w:val="000000"/>
          <w:lang w:eastAsia="sv-SE"/>
        </w:rPr>
      </w:pPr>
    </w:p>
    <w:p w:rsidR="001E747B" w:rsidRDefault="0008147E" w:rsidP="001E747B">
      <w:pPr>
        <w:pStyle w:val="Titre1"/>
      </w:pPr>
      <w:bookmarkStart w:id="22" w:name="_Toc277490443"/>
      <w:bookmarkStart w:id="23" w:name="_Toc277610794"/>
      <w:bookmarkStart w:id="24" w:name="_Toc277868034"/>
      <w:bookmarkStart w:id="25" w:name="_Toc278178870"/>
      <w:bookmarkStart w:id="26" w:name="_Toc278179324"/>
      <w:bookmarkStart w:id="27" w:name="_Toc278180025"/>
      <w:bookmarkStart w:id="28" w:name="_Toc278180276"/>
      <w:bookmarkStart w:id="29" w:name="_Toc278181170"/>
      <w:bookmarkStart w:id="30" w:name="_Toc278181424"/>
      <w:bookmarkStart w:id="31" w:name="_Toc391240468"/>
      <w:bookmarkStart w:id="32" w:name="_Toc391244521"/>
      <w:bookmarkStart w:id="33" w:name="_Toc391244934"/>
      <w:bookmarkStart w:id="34" w:name="_Toc391284886"/>
      <w:bookmarkStart w:id="35" w:name="_Toc391285300"/>
      <w:bookmarkStart w:id="36" w:name="_Toc391388759"/>
      <w:bookmarkStart w:id="37" w:name="_Toc39138949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br w:type="page"/>
      </w:r>
      <w:bookmarkStart w:id="38" w:name="_Toc456011866"/>
      <w:r w:rsidR="001F05F7">
        <w:lastRenderedPageBreak/>
        <w:t>Introdu</w:t>
      </w:r>
      <w:r w:rsidR="001F05F7">
        <w:t>c</w:t>
      </w:r>
      <w:r w:rsidR="001F05F7">
        <w:t>tion</w:t>
      </w:r>
      <w:bookmarkEnd w:id="38"/>
    </w:p>
    <w:p w:rsidR="00AE17C4" w:rsidRPr="00AE17C4" w:rsidRDefault="00AE17C4" w:rsidP="00AE17C4">
      <w:pPr>
        <w:pStyle w:val="Titre2"/>
      </w:pPr>
      <w:bookmarkStart w:id="39" w:name="_Ref433650492"/>
      <w:bookmarkStart w:id="40" w:name="_Ref433650495"/>
      <w:bookmarkStart w:id="41" w:name="_Toc456011867"/>
      <w:r w:rsidRPr="00AE17C4">
        <w:t>Scope and objectives</w:t>
      </w:r>
      <w:bookmarkEnd w:id="39"/>
      <w:bookmarkEnd w:id="40"/>
      <w:bookmarkEnd w:id="41"/>
    </w:p>
    <w:p w:rsidR="001A1C34" w:rsidRDefault="009E0D36" w:rsidP="001A1C34">
      <w:r>
        <w:t xml:space="preserve">The recent </w:t>
      </w:r>
      <w:r w:rsidR="001F05F7">
        <w:t xml:space="preserve">experience of </w:t>
      </w:r>
      <w:r>
        <w:t xml:space="preserve">the </w:t>
      </w:r>
      <w:r w:rsidR="001A1C34">
        <w:t xml:space="preserve">severe accidents at the Fukushima Dai-ichi NPPs </w:t>
      </w:r>
      <w:r w:rsidR="001F05F7">
        <w:t xml:space="preserve">has shown how significant </w:t>
      </w:r>
      <w:r>
        <w:t>the i</w:t>
      </w:r>
      <w:r>
        <w:t>m</w:t>
      </w:r>
      <w:r>
        <w:t xml:space="preserve">pact of a strong earthquake and </w:t>
      </w:r>
      <w:r w:rsidR="0073503B">
        <w:t>causally connected hazards</w:t>
      </w:r>
      <w:r>
        <w:t xml:space="preserve"> (</w:t>
      </w:r>
      <w:r w:rsidR="0073503B">
        <w:t xml:space="preserve">in this case </w:t>
      </w:r>
      <w:r>
        <w:t>tsunami</w:t>
      </w:r>
      <w:r w:rsidR="0073503B">
        <w:t xml:space="preserve"> and seismically triggered </w:t>
      </w:r>
      <w:r>
        <w:t xml:space="preserve">local landsliding) can be </w:t>
      </w:r>
      <w:r w:rsidR="001F05F7">
        <w:t>for a nuclear site</w:t>
      </w:r>
      <w:r>
        <w:t>.</w:t>
      </w:r>
      <w:r w:rsidR="001A1C34">
        <w:t xml:space="preserve"> It has particularly shown that, in spite of the fact that in the design basis of each NPP natural hazards should have been appropriately taken into account and efficient prote</w:t>
      </w:r>
      <w:r w:rsidR="001A1C34">
        <w:t>c</w:t>
      </w:r>
      <w:r w:rsidR="001A1C34">
        <w:t>tion should be in place, hazard assessments for defining the design basis may have underestimated hazards</w:t>
      </w:r>
      <w:r w:rsidR="006B3B24">
        <w:t>. T</w:t>
      </w:r>
      <w:r w:rsidR="001A1C34">
        <w:t>he occurrence of events with severities exceeding the design basis can</w:t>
      </w:r>
      <w:r w:rsidR="006B3B24">
        <w:t xml:space="preserve"> therefore </w:t>
      </w:r>
      <w:r w:rsidR="00A8394B">
        <w:t>not be generally excluded.</w:t>
      </w:r>
    </w:p>
    <w:p w:rsidR="007103A4" w:rsidRDefault="007103A4" w:rsidP="007103A4">
      <w:r>
        <w:t xml:space="preserve">In the aftermath of the </w:t>
      </w:r>
      <w:r w:rsidR="001A1C34">
        <w:t xml:space="preserve">Fukushima </w:t>
      </w:r>
      <w:r>
        <w:t xml:space="preserve">accidents the ENSREG Stress Tests </w:t>
      </w:r>
      <w:r w:rsidR="001A1C34">
        <w:t xml:space="preserve">have addressed these issues for European NPPs. The </w:t>
      </w:r>
      <w:r w:rsidR="006F6737">
        <w:t>Stress T</w:t>
      </w:r>
      <w:r w:rsidR="001A1C34">
        <w:t>ests</w:t>
      </w:r>
      <w:r w:rsidR="00E46716">
        <w:t xml:space="preserve"> </w:t>
      </w:r>
      <w:r w:rsidR="001A1C34">
        <w:t>specifically explored</w:t>
      </w:r>
      <w:r w:rsidR="00E46716">
        <w:t xml:space="preserve"> the adaequacy of the seismic design bases and</w:t>
      </w:r>
      <w:r w:rsidR="001A1C34">
        <w:t xml:space="preserve"> whether protection against earthquakes is in place which is sufficient to exclude potential severe damage to SSCs important to safety in cases of seismic loads that exceed the design basis values. </w:t>
      </w:r>
      <w:r w:rsidR="00E46716">
        <w:t xml:space="preserve">It was further attempted to quantify these “safety margins”. </w:t>
      </w:r>
      <w:r w:rsidR="00C9334D">
        <w:t xml:space="preserve">Although </w:t>
      </w:r>
      <w:r w:rsidR="006F6737">
        <w:t>ENSREG did not explicitly identify the need for updates of hazard assessments and revisions of design basis values</w:t>
      </w:r>
      <w:r w:rsidR="00C9334D">
        <w:t xml:space="preserve">, </w:t>
      </w:r>
      <w:r>
        <w:t xml:space="preserve">ENSREG </w:t>
      </w:r>
      <w:r w:rsidR="006F6737">
        <w:t xml:space="preserve">(2012 a </w:t>
      </w:r>
      <w:r w:rsidR="006F6737" w:rsidRPr="00862BFD">
        <w:rPr>
          <w:color w:val="1F4E79"/>
        </w:rPr>
        <w:t>Summary</w:t>
      </w:r>
      <w:r w:rsidR="006F6737">
        <w:t xml:space="preserve">) </w:t>
      </w:r>
      <w:r>
        <w:t xml:space="preserve">issued the following European </w:t>
      </w:r>
      <w:r w:rsidR="004B1406">
        <w:t>l</w:t>
      </w:r>
      <w:r>
        <w:t xml:space="preserve">evel </w:t>
      </w:r>
      <w:r w:rsidR="004B1406">
        <w:t>r</w:t>
      </w:r>
      <w:r>
        <w:t xml:space="preserve">ecommendations </w:t>
      </w:r>
      <w:r w:rsidR="00E46716">
        <w:t>for natural hazards</w:t>
      </w:r>
      <w:r w:rsidR="00C9334D">
        <w:t xml:space="preserve"> as a</w:t>
      </w:r>
      <w:r w:rsidR="00136FAE">
        <w:t xml:space="preserve"> conclusion of the Stress Tests</w:t>
      </w:r>
      <w:r>
        <w:t>:</w:t>
      </w:r>
    </w:p>
    <w:p w:rsidR="007103A4" w:rsidRPr="007103A4" w:rsidRDefault="007103A4" w:rsidP="00860D1D">
      <w:pPr>
        <w:numPr>
          <w:ilvl w:val="0"/>
          <w:numId w:val="30"/>
        </w:numPr>
        <w:rPr>
          <w:i/>
        </w:rPr>
      </w:pPr>
      <w:r w:rsidRPr="007103A4">
        <w:rPr>
          <w:i/>
        </w:rPr>
        <w:t>“The peer review Board recommends that WENRA</w:t>
      </w:r>
      <w:r w:rsidR="007A78D6">
        <w:rPr>
          <w:i/>
        </w:rPr>
        <w:t xml:space="preserve"> …</w:t>
      </w:r>
      <w:r w:rsidRPr="007103A4">
        <w:rPr>
          <w:i/>
        </w:rPr>
        <w:t xml:space="preserve"> develop guidance on natural hazards assessments, including earthquake, flooding and extreme weather conditions, as well as corresponding guidance on the assessment of margins beyond the design basis and cliff-edge effects.”</w:t>
      </w:r>
    </w:p>
    <w:p w:rsidR="007103A4" w:rsidRPr="007103A4" w:rsidRDefault="007103A4" w:rsidP="00860D1D">
      <w:pPr>
        <w:numPr>
          <w:ilvl w:val="0"/>
          <w:numId w:val="30"/>
        </w:numPr>
        <w:rPr>
          <w:i/>
        </w:rPr>
      </w:pPr>
      <w:r w:rsidRPr="007103A4">
        <w:rPr>
          <w:i/>
        </w:rPr>
        <w:t>“The peer review Board recommends that ENSREG underline the importance of periodic safety review. In particular, ENSREG should highlight the necessity to reevaluate natural hazards and relevant plant prov</w:t>
      </w:r>
      <w:r w:rsidRPr="007103A4">
        <w:rPr>
          <w:i/>
        </w:rPr>
        <w:t>i</w:t>
      </w:r>
      <w:r w:rsidRPr="007103A4">
        <w:rPr>
          <w:i/>
        </w:rPr>
        <w:t>sions as often as appropriate but at least every 10 years.”</w:t>
      </w:r>
      <w:r w:rsidR="006F6737">
        <w:rPr>
          <w:i/>
        </w:rPr>
        <w:t xml:space="preserve"> </w:t>
      </w:r>
      <w:r w:rsidR="006F6737">
        <w:t>(ENSREG, 2012, p. 2)</w:t>
      </w:r>
    </w:p>
    <w:p w:rsidR="00E46716" w:rsidRDefault="00E46716" w:rsidP="007103A4">
      <w:r>
        <w:t>With respect to seismic hazard</w:t>
      </w:r>
      <w:r w:rsidR="00C9334D">
        <w:t>s</w:t>
      </w:r>
      <w:r>
        <w:t xml:space="preserve">, ENSREG further stressed the following </w:t>
      </w:r>
      <w:r w:rsidR="006F6737">
        <w:t xml:space="preserve">(ENSREG, 2012 b </w:t>
      </w:r>
      <w:r w:rsidR="006F6737" w:rsidRPr="00862BFD">
        <w:rPr>
          <w:color w:val="1F4E79"/>
        </w:rPr>
        <w:t>Peer Review Report</w:t>
      </w:r>
      <w:r w:rsidR="006F6737">
        <w:t>)</w:t>
      </w:r>
      <w:r>
        <w:t xml:space="preserve">: </w:t>
      </w:r>
    </w:p>
    <w:p w:rsidR="00E46716" w:rsidRPr="006F6737" w:rsidRDefault="00E46716" w:rsidP="00860D1D">
      <w:pPr>
        <w:numPr>
          <w:ilvl w:val="0"/>
          <w:numId w:val="42"/>
        </w:numPr>
        <w:rPr>
          <w:i/>
        </w:rPr>
      </w:pPr>
      <w:r w:rsidRPr="006F6737">
        <w:rPr>
          <w:i/>
        </w:rPr>
        <w:t>“With regard to hazards, particularly seismic, it would appear that techniques and available data are still developing. It is recommended that regulators should consider co-operation with other agencies in order to develop a consistent approach across Europe, taking account of updates in methodology, new findings and any relevant information from continuous research on active and capable faults in the</w:t>
      </w:r>
      <w:r w:rsidR="006F6737" w:rsidRPr="006F6737">
        <w:rPr>
          <w:i/>
        </w:rPr>
        <w:t xml:space="preserve"> </w:t>
      </w:r>
      <w:r w:rsidRPr="006F6737">
        <w:rPr>
          <w:i/>
        </w:rPr>
        <w:t>vici</w:t>
      </w:r>
      <w:r w:rsidRPr="006F6737">
        <w:rPr>
          <w:i/>
        </w:rPr>
        <w:t>n</w:t>
      </w:r>
      <w:r w:rsidRPr="006F6737">
        <w:rPr>
          <w:i/>
        </w:rPr>
        <w:t>ity of NPPs.</w:t>
      </w:r>
      <w:r w:rsidR="006F6737" w:rsidRPr="006F6737">
        <w:rPr>
          <w:i/>
        </w:rPr>
        <w:t>” (p. 20)</w:t>
      </w:r>
    </w:p>
    <w:p w:rsidR="00E46716" w:rsidRPr="006F6737" w:rsidRDefault="006F6737" w:rsidP="00860D1D">
      <w:pPr>
        <w:numPr>
          <w:ilvl w:val="0"/>
          <w:numId w:val="42"/>
        </w:numPr>
        <w:rPr>
          <w:i/>
        </w:rPr>
      </w:pPr>
      <w:r w:rsidRPr="006F6737">
        <w:rPr>
          <w:i/>
        </w:rPr>
        <w:t>“</w:t>
      </w:r>
      <w:r w:rsidR="00E46716" w:rsidRPr="006F6737">
        <w:rPr>
          <w:i/>
        </w:rPr>
        <w:t>PSRs including re-assessment of the seismic hazard were found to be particularly strong safety features since such repeated periodic updates make it possible to take advantage of advances in science and tec</w:t>
      </w:r>
      <w:r w:rsidR="00E46716" w:rsidRPr="006F6737">
        <w:rPr>
          <w:i/>
        </w:rPr>
        <w:t>h</w:t>
      </w:r>
      <w:r w:rsidR="00E46716" w:rsidRPr="006F6737">
        <w:rPr>
          <w:i/>
        </w:rPr>
        <w:t>nology.</w:t>
      </w:r>
      <w:r w:rsidRPr="006F6737">
        <w:rPr>
          <w:i/>
        </w:rPr>
        <w:t>” (p. 17)</w:t>
      </w:r>
    </w:p>
    <w:p w:rsidR="004B1406" w:rsidRDefault="007A78D6" w:rsidP="00DF38FF">
      <w:pPr>
        <w:rPr>
          <w:lang w:val="en-US"/>
        </w:rPr>
      </w:pPr>
      <w:r>
        <w:t xml:space="preserve">WENRA has consequently published </w:t>
      </w:r>
      <w:r w:rsidR="00C9334D">
        <w:t xml:space="preserve">Safety </w:t>
      </w:r>
      <w:r>
        <w:t>Reference Levels defining the requirements for natural hazard asses</w:t>
      </w:r>
      <w:r>
        <w:t>s</w:t>
      </w:r>
      <w:r>
        <w:t>ments and protection against natural hazards (WENRA, 2014, Reference Levels, Issue T) and corresponding Gui</w:t>
      </w:r>
      <w:r>
        <w:t>d</w:t>
      </w:r>
      <w:r>
        <w:t>ance Documents for assessing natural hazards in general (WENRA, 2015)</w:t>
      </w:r>
      <w:r w:rsidR="00DD0E6A">
        <w:t>,</w:t>
      </w:r>
      <w:r>
        <w:t xml:space="preserve"> and seismic hazards in particular (WENRA, 2016). The requirements and expectations that are expressed in the cited </w:t>
      </w:r>
      <w:r w:rsidR="00AC0FCE">
        <w:t xml:space="preserve">WENRA </w:t>
      </w:r>
      <w:r>
        <w:t xml:space="preserve">documents are </w:t>
      </w:r>
      <w:r w:rsidR="00AC0FCE">
        <w:t xml:space="preserve">formulated in concise forms which refrain from detailed technical guidance </w:t>
      </w:r>
      <w:r w:rsidR="00C9334D">
        <w:t xml:space="preserve">and </w:t>
      </w:r>
      <w:r w:rsidR="00AC0FCE">
        <w:t xml:space="preserve">from </w:t>
      </w:r>
      <w:r w:rsidR="00C9334D">
        <w:t xml:space="preserve">detailed </w:t>
      </w:r>
      <w:r w:rsidR="00AC0FCE">
        <w:t>explan</w:t>
      </w:r>
      <w:r w:rsidR="00C9334D">
        <w:t xml:space="preserve">ations of </w:t>
      </w:r>
      <w:r w:rsidR="00AC0FCE">
        <w:t xml:space="preserve">how to achieve </w:t>
      </w:r>
      <w:r w:rsidR="00C9334D">
        <w:t>the</w:t>
      </w:r>
      <w:r w:rsidR="00AC0FCE">
        <w:t xml:space="preserve"> expectations. Such guidance is also not fully covered by </w:t>
      </w:r>
      <w:r w:rsidR="00C9334D">
        <w:t>documents</w:t>
      </w:r>
      <w:r>
        <w:t xml:space="preserve"> </w:t>
      </w:r>
      <w:r w:rsidR="00AC0FCE">
        <w:t>on</w:t>
      </w:r>
      <w:r w:rsidR="00DF38FF">
        <w:t xml:space="preserve"> seismic hazard assessment </w:t>
      </w:r>
      <w:r>
        <w:t>published by</w:t>
      </w:r>
      <w:r w:rsidR="004B1406">
        <w:t xml:space="preserve"> IAEA, U.S.NRC</w:t>
      </w:r>
      <w:r w:rsidR="00AC0FCE">
        <w:t xml:space="preserve">, and other organisations </w:t>
      </w:r>
      <w:r>
        <w:t>(see table “</w:t>
      </w:r>
      <w:r>
        <w:fldChar w:fldCharType="begin"/>
      </w:r>
      <w:r>
        <w:instrText xml:space="preserve"> REF _Ref432519170 \h </w:instrText>
      </w:r>
      <w:r>
        <w:fldChar w:fldCharType="separate"/>
      </w:r>
      <w:r w:rsidR="00173034">
        <w:t>Existing guidance : key documents</w:t>
      </w:r>
      <w:r>
        <w:fldChar w:fldCharType="end"/>
      </w:r>
      <w:r>
        <w:t xml:space="preserve">”, page </w:t>
      </w:r>
      <w:r>
        <w:fldChar w:fldCharType="begin"/>
      </w:r>
      <w:r>
        <w:instrText xml:space="preserve"> PAGEREF _Ref432519175 \h </w:instrText>
      </w:r>
      <w:r>
        <w:fldChar w:fldCharType="separate"/>
      </w:r>
      <w:r w:rsidR="00173034">
        <w:rPr>
          <w:noProof/>
        </w:rPr>
        <w:t>16</w:t>
      </w:r>
      <w:r>
        <w:fldChar w:fldCharType="end"/>
      </w:r>
      <w:r>
        <w:t>).</w:t>
      </w:r>
      <w:r w:rsidR="00DF38FF">
        <w:t xml:space="preserve"> The ASAMPSA_E </w:t>
      </w:r>
      <w:r w:rsidR="00810E81">
        <w:lastRenderedPageBreak/>
        <w:t>c</w:t>
      </w:r>
      <w:r w:rsidR="00DF38FF">
        <w:t xml:space="preserve">onsortium therefore decided to develop specific guidance on seismic hazards taking into account </w:t>
      </w:r>
      <w:r w:rsidR="00DF38FF">
        <w:rPr>
          <w:lang w:val="en-US"/>
        </w:rPr>
        <w:t xml:space="preserve">existing </w:t>
      </w:r>
      <w:r w:rsidR="00DD0E6A">
        <w:rPr>
          <w:lang w:val="en-US"/>
        </w:rPr>
        <w:t>doc</w:t>
      </w:r>
      <w:r w:rsidR="00DD0E6A">
        <w:rPr>
          <w:lang w:val="en-US"/>
        </w:rPr>
        <w:t>u</w:t>
      </w:r>
      <w:r w:rsidR="00DD0E6A">
        <w:rPr>
          <w:lang w:val="en-US"/>
        </w:rPr>
        <w:t>ments</w:t>
      </w:r>
      <w:r w:rsidR="00DF38FF">
        <w:rPr>
          <w:lang w:val="en-US"/>
        </w:rPr>
        <w:t xml:space="preserve"> but identifying </w:t>
      </w:r>
      <w:r w:rsidR="00C9334D">
        <w:rPr>
          <w:lang w:val="en-US"/>
        </w:rPr>
        <w:t xml:space="preserve">and closing </w:t>
      </w:r>
      <w:r w:rsidR="00DF38FF">
        <w:rPr>
          <w:lang w:val="en-US"/>
        </w:rPr>
        <w:t xml:space="preserve">“gaps” in the available </w:t>
      </w:r>
      <w:r w:rsidR="004B1406">
        <w:rPr>
          <w:lang w:val="en-US"/>
        </w:rPr>
        <w:t>literature</w:t>
      </w:r>
      <w:r w:rsidR="00DF38FF">
        <w:rPr>
          <w:lang w:val="en-US"/>
        </w:rPr>
        <w:t xml:space="preserve"> and identifying needs to suppl</w:t>
      </w:r>
      <w:r w:rsidR="00DF38FF">
        <w:rPr>
          <w:lang w:val="en-US"/>
        </w:rPr>
        <w:t>e</w:t>
      </w:r>
      <w:r w:rsidR="00DF38FF">
        <w:rPr>
          <w:lang w:val="en-US"/>
        </w:rPr>
        <w:t xml:space="preserve">ment or update </w:t>
      </w:r>
      <w:r w:rsidR="00C9334D">
        <w:rPr>
          <w:lang w:val="en-US"/>
        </w:rPr>
        <w:t xml:space="preserve">existing </w:t>
      </w:r>
      <w:r w:rsidR="00DD0E6A">
        <w:rPr>
          <w:lang w:val="en-US"/>
        </w:rPr>
        <w:t xml:space="preserve">guidance </w:t>
      </w:r>
      <w:r w:rsidR="00DF38FF">
        <w:rPr>
          <w:lang w:val="en-US"/>
        </w:rPr>
        <w:t>to meet the current state of the science.</w:t>
      </w:r>
    </w:p>
    <w:p w:rsidR="004B1406" w:rsidRDefault="004B1406" w:rsidP="00DF38FF">
      <w:pPr>
        <w:rPr>
          <w:lang w:val="en-US"/>
        </w:rPr>
      </w:pPr>
      <w:r>
        <w:rPr>
          <w:lang w:val="en-US"/>
        </w:rPr>
        <w:t xml:space="preserve">Developing guidance on seismic hazard assessment </w:t>
      </w:r>
      <w:r w:rsidR="00AC0FCE">
        <w:rPr>
          <w:lang w:val="en-US"/>
        </w:rPr>
        <w:t xml:space="preserve">in ASAMPSA_E </w:t>
      </w:r>
      <w:r>
        <w:rPr>
          <w:lang w:val="en-US"/>
        </w:rPr>
        <w:t xml:space="preserve">should further address the needs of “End Users” expressed during the ASAMPSA_E End-User Workshop </w:t>
      </w:r>
      <w:r w:rsidR="00AC0FCE">
        <w:rPr>
          <w:lang w:val="en-US"/>
        </w:rPr>
        <w:t xml:space="preserve">held in </w:t>
      </w:r>
      <w:r>
        <w:rPr>
          <w:lang w:val="en-US"/>
        </w:rPr>
        <w:t>Upsala, 2014</w:t>
      </w:r>
      <w:r w:rsidR="00AC0FCE">
        <w:rPr>
          <w:lang w:val="en-US"/>
        </w:rPr>
        <w:t xml:space="preserve"> (</w:t>
      </w:r>
      <w:r w:rsidR="006E4071">
        <w:rPr>
          <w:lang w:val="en-US"/>
        </w:rPr>
        <w:t>Guig</w:t>
      </w:r>
      <w:r w:rsidR="000868F0">
        <w:rPr>
          <w:lang w:val="en-US"/>
        </w:rPr>
        <w:t>u</w:t>
      </w:r>
      <w:r w:rsidR="006E4071">
        <w:rPr>
          <w:lang w:val="en-US"/>
        </w:rPr>
        <w:t>eno et al.</w:t>
      </w:r>
      <w:r w:rsidR="00AC0FCE">
        <w:rPr>
          <w:lang w:val="en-US"/>
        </w:rPr>
        <w:t xml:space="preserve">, </w:t>
      </w:r>
      <w:r w:rsidR="006E4071">
        <w:rPr>
          <w:lang w:val="en-US"/>
        </w:rPr>
        <w:t>2014)</w:t>
      </w:r>
      <w:r w:rsidR="00AC0FCE">
        <w:rPr>
          <w:lang w:val="en-US"/>
        </w:rPr>
        <w:t>.</w:t>
      </w:r>
      <w:r w:rsidR="006E4071">
        <w:rPr>
          <w:lang w:val="en-US"/>
        </w:rPr>
        <w:t xml:space="preserve"> </w:t>
      </w:r>
      <w:r w:rsidR="00AC0FCE">
        <w:rPr>
          <w:lang w:val="en-US"/>
        </w:rPr>
        <w:t>Accordingly</w:t>
      </w:r>
      <w:r w:rsidR="00FE530F">
        <w:rPr>
          <w:lang w:val="en-US"/>
        </w:rPr>
        <w:t xml:space="preserve">, </w:t>
      </w:r>
      <w:r>
        <w:rPr>
          <w:lang w:val="en-US"/>
        </w:rPr>
        <w:t>ASAMPSA_E should</w:t>
      </w:r>
      <w:r w:rsidR="00AC0FCE">
        <w:rPr>
          <w:lang w:val="en-US"/>
        </w:rPr>
        <w:t xml:space="preserve"> </w:t>
      </w:r>
      <w:r w:rsidR="00A8394B">
        <w:rPr>
          <w:lang w:val="en-US"/>
        </w:rPr>
        <w:t>:</w:t>
      </w:r>
    </w:p>
    <w:p w:rsidR="00DF38FF" w:rsidRDefault="000868F0" w:rsidP="00860D1D">
      <w:pPr>
        <w:numPr>
          <w:ilvl w:val="0"/>
          <w:numId w:val="41"/>
        </w:numPr>
        <w:rPr>
          <w:lang w:val="en-US"/>
        </w:rPr>
      </w:pPr>
      <w:r>
        <w:rPr>
          <w:lang w:val="en-US"/>
        </w:rPr>
        <w:t>a</w:t>
      </w:r>
      <w:r w:rsidR="00A8381D">
        <w:rPr>
          <w:lang w:val="en-US"/>
        </w:rPr>
        <w:t>ddress e</w:t>
      </w:r>
      <w:r w:rsidR="004B1406">
        <w:rPr>
          <w:lang w:val="en-US"/>
        </w:rPr>
        <w:t xml:space="preserve">arthquake as one of the most important external hazards </w:t>
      </w:r>
      <w:r w:rsidR="00576DE2">
        <w:rPr>
          <w:lang w:val="en-US"/>
        </w:rPr>
        <w:t>(</w:t>
      </w:r>
      <w:r w:rsidR="00A8381D">
        <w:rPr>
          <w:lang w:val="en-US"/>
        </w:rPr>
        <w:t>Recommendation No.</w:t>
      </w:r>
      <w:r w:rsidR="00576DE2">
        <w:rPr>
          <w:lang w:val="en-US"/>
        </w:rPr>
        <w:t>3</w:t>
      </w:r>
      <w:r w:rsidR="00AC0FCE">
        <w:rPr>
          <w:rStyle w:val="Appelnotedebasdep"/>
          <w:lang w:val="en-US"/>
        </w:rPr>
        <w:footnoteReference w:id="1"/>
      </w:r>
      <w:r w:rsidR="00576DE2">
        <w:rPr>
          <w:lang w:val="en-US"/>
        </w:rPr>
        <w:t>)</w:t>
      </w:r>
      <w:r>
        <w:rPr>
          <w:lang w:val="en-US"/>
        </w:rPr>
        <w:t>,</w:t>
      </w:r>
    </w:p>
    <w:p w:rsidR="00A8381D" w:rsidRDefault="000868F0" w:rsidP="00860D1D">
      <w:pPr>
        <w:numPr>
          <w:ilvl w:val="0"/>
          <w:numId w:val="41"/>
        </w:numPr>
        <w:rPr>
          <w:lang w:val="en-US"/>
        </w:rPr>
      </w:pPr>
      <w:r>
        <w:rPr>
          <w:lang w:val="en-US"/>
        </w:rPr>
        <w:t>p</w:t>
      </w:r>
      <w:r w:rsidR="00A8381D">
        <w:rPr>
          <w:lang w:val="en-US"/>
        </w:rPr>
        <w:t>rovide practices and methods to model c</w:t>
      </w:r>
      <w:r w:rsidR="004B1406" w:rsidRPr="004B1406">
        <w:rPr>
          <w:lang w:val="en-US"/>
        </w:rPr>
        <w:t>ombinations/correlations/dependencies of hazards</w:t>
      </w:r>
      <w:r w:rsidR="00576DE2">
        <w:rPr>
          <w:lang w:val="en-US"/>
        </w:rPr>
        <w:t xml:space="preserve"> (</w:t>
      </w:r>
      <w:r w:rsidR="00A8381D">
        <w:rPr>
          <w:lang w:val="en-US"/>
        </w:rPr>
        <w:t xml:space="preserve">No. </w:t>
      </w:r>
      <w:r w:rsidR="00576DE2">
        <w:rPr>
          <w:lang w:val="en-US"/>
        </w:rPr>
        <w:t>7</w:t>
      </w:r>
      <w:r w:rsidR="00FE530F">
        <w:rPr>
          <w:lang w:val="en-US"/>
        </w:rPr>
        <w:t>)</w:t>
      </w:r>
      <w:r>
        <w:rPr>
          <w:lang w:val="en-US"/>
        </w:rPr>
        <w:t>,</w:t>
      </w:r>
    </w:p>
    <w:p w:rsidR="00DF38FF" w:rsidRPr="00A8381D" w:rsidRDefault="000868F0" w:rsidP="00860D1D">
      <w:pPr>
        <w:numPr>
          <w:ilvl w:val="0"/>
          <w:numId w:val="41"/>
        </w:numPr>
        <w:rPr>
          <w:lang w:val="en-US"/>
        </w:rPr>
      </w:pPr>
      <w:r>
        <w:rPr>
          <w:lang w:val="en-US"/>
        </w:rPr>
        <w:t>p</w:t>
      </w:r>
      <w:r w:rsidR="00A8381D" w:rsidRPr="00A8381D">
        <w:rPr>
          <w:lang w:val="en-US"/>
        </w:rPr>
        <w:t>rovide guidance on how to assess coincident hazards in cases of long-lasting accidents (No. 8</w:t>
      </w:r>
      <w:r w:rsidR="00576DE2" w:rsidRPr="00A8381D">
        <w:rPr>
          <w:lang w:val="en-US"/>
        </w:rPr>
        <w:t>)</w:t>
      </w:r>
      <w:r>
        <w:rPr>
          <w:lang w:val="en-US"/>
        </w:rPr>
        <w:t>,</w:t>
      </w:r>
    </w:p>
    <w:p w:rsidR="00576DE2" w:rsidRPr="00A8381D" w:rsidRDefault="000868F0" w:rsidP="00860D1D">
      <w:pPr>
        <w:numPr>
          <w:ilvl w:val="0"/>
          <w:numId w:val="41"/>
        </w:numPr>
        <w:rPr>
          <w:lang w:val="en-US"/>
        </w:rPr>
      </w:pPr>
      <w:r>
        <w:t>d</w:t>
      </w:r>
      <w:r w:rsidR="00576DE2" w:rsidRPr="00A8381D">
        <w:t>evelop a glossary, common for all PSAs (</w:t>
      </w:r>
      <w:r w:rsidR="00A8381D" w:rsidRPr="00A8381D">
        <w:t xml:space="preserve">No. </w:t>
      </w:r>
      <w:r w:rsidR="00576DE2" w:rsidRPr="00A8381D">
        <w:t>16)</w:t>
      </w:r>
      <w:r>
        <w:t>,</w:t>
      </w:r>
    </w:p>
    <w:p w:rsidR="00576DE2" w:rsidRDefault="000868F0" w:rsidP="00860D1D">
      <w:pPr>
        <w:numPr>
          <w:ilvl w:val="0"/>
          <w:numId w:val="41"/>
        </w:numPr>
        <w:rPr>
          <w:lang w:val="en-US"/>
        </w:rPr>
      </w:pPr>
      <w:r>
        <w:rPr>
          <w:lang w:val="en-US"/>
        </w:rPr>
        <w:t>p</w:t>
      </w:r>
      <w:r w:rsidR="00576DE2">
        <w:rPr>
          <w:lang w:val="en-US"/>
        </w:rPr>
        <w:t>resent</w:t>
      </w:r>
      <w:r w:rsidR="00576DE2" w:rsidRPr="00B21047">
        <w:rPr>
          <w:strike/>
          <w:lang w:val="en-US"/>
        </w:rPr>
        <w:t>at</w:t>
      </w:r>
      <w:r w:rsidR="00576DE2">
        <w:rPr>
          <w:lang w:val="en-US"/>
        </w:rPr>
        <w:t xml:space="preserve"> and compar</w:t>
      </w:r>
      <w:r w:rsidR="00A8381D">
        <w:rPr>
          <w:lang w:val="en-US"/>
        </w:rPr>
        <w:t>e</w:t>
      </w:r>
      <w:r w:rsidR="00576DE2">
        <w:rPr>
          <w:lang w:val="en-US"/>
        </w:rPr>
        <w:t xml:space="preserve"> existing methods for external hazards modelling including uncertainties (</w:t>
      </w:r>
      <w:r w:rsidR="00A8381D">
        <w:rPr>
          <w:lang w:val="en-US"/>
        </w:rPr>
        <w:t xml:space="preserve">No. </w:t>
      </w:r>
      <w:r w:rsidR="00576DE2">
        <w:rPr>
          <w:lang w:val="en-US"/>
        </w:rPr>
        <w:t>27)</w:t>
      </w:r>
      <w:r>
        <w:rPr>
          <w:lang w:val="en-US"/>
        </w:rPr>
        <w:t>,</w:t>
      </w:r>
    </w:p>
    <w:p w:rsidR="00576DE2" w:rsidRPr="0008301D" w:rsidRDefault="000868F0" w:rsidP="00860D1D">
      <w:pPr>
        <w:numPr>
          <w:ilvl w:val="0"/>
          <w:numId w:val="41"/>
        </w:numPr>
      </w:pPr>
      <w:r>
        <w:rPr>
          <w:lang w:val="en-US"/>
        </w:rPr>
        <w:t>e</w:t>
      </w:r>
      <w:r w:rsidR="00576DE2" w:rsidRPr="00A8381D">
        <w:t>xamin</w:t>
      </w:r>
      <w:r w:rsidR="00A8381D" w:rsidRPr="00A8381D">
        <w:t xml:space="preserve">e </w:t>
      </w:r>
      <w:r w:rsidR="00576DE2" w:rsidRPr="00A8381D">
        <w:t>how experts judgement shall be used for external hazards characterisation and how uncertainties can be considered (</w:t>
      </w:r>
      <w:r w:rsidR="00A8381D" w:rsidRPr="00A8381D">
        <w:t xml:space="preserve">No. </w:t>
      </w:r>
      <w:r w:rsidR="00576DE2" w:rsidRPr="00A8381D">
        <w:t>28)</w:t>
      </w:r>
      <w:r>
        <w:t>,</w:t>
      </w:r>
    </w:p>
    <w:p w:rsidR="004B1406" w:rsidRPr="0008301D" w:rsidRDefault="00576DE2" w:rsidP="00860D1D">
      <w:pPr>
        <w:numPr>
          <w:ilvl w:val="0"/>
          <w:numId w:val="41"/>
        </w:numPr>
      </w:pPr>
      <w:r w:rsidRPr="0008301D">
        <w:t xml:space="preserve">PSHA </w:t>
      </w:r>
      <w:r w:rsidR="00622611" w:rsidRPr="0008301D">
        <w:t xml:space="preserve">assesses hazards for verly low occurrence probabilities by </w:t>
      </w:r>
      <w:r w:rsidRPr="0008301D">
        <w:t>extrapolat</w:t>
      </w:r>
      <w:r w:rsidR="00622611" w:rsidRPr="0008301D">
        <w:t xml:space="preserve">ing </w:t>
      </w:r>
      <w:r w:rsidRPr="0008301D">
        <w:t xml:space="preserve">earthquake observations </w:t>
      </w:r>
      <w:r w:rsidR="00622611" w:rsidRPr="0008301D">
        <w:t xml:space="preserve">covering </w:t>
      </w:r>
      <w:r w:rsidRPr="0008301D">
        <w:t xml:space="preserve">only few 100 years of records. </w:t>
      </w:r>
      <w:r w:rsidR="00FE530F">
        <w:t xml:space="preserve">Guidance should be provided on how </w:t>
      </w:r>
      <w:r w:rsidRPr="0008301D">
        <w:t xml:space="preserve">to assess </w:t>
      </w:r>
      <w:r w:rsidR="00622611" w:rsidRPr="0008301D">
        <w:t xml:space="preserve">earthquake </w:t>
      </w:r>
      <w:r w:rsidRPr="0008301D">
        <w:t>cat</w:t>
      </w:r>
      <w:r w:rsidRPr="0008301D">
        <w:t>a</w:t>
      </w:r>
      <w:r w:rsidRPr="0008301D">
        <w:t>logue completeness and reliability, on how to assess the max</w:t>
      </w:r>
      <w:r w:rsidR="00622611" w:rsidRPr="0008301D">
        <w:t>imum</w:t>
      </w:r>
      <w:r w:rsidRPr="0008301D">
        <w:t xml:space="preserve"> possible earthquake (Mmax), identify, analyse and assess (potentially) active faults relevant to the safety of the site (</w:t>
      </w:r>
      <w:r w:rsidR="00622611" w:rsidRPr="0008301D">
        <w:t xml:space="preserve">No. </w:t>
      </w:r>
      <w:r w:rsidRPr="0008301D">
        <w:t>32)</w:t>
      </w:r>
      <w:r w:rsidR="000868F0">
        <w:t>,</w:t>
      </w:r>
    </w:p>
    <w:p w:rsidR="004B1406" w:rsidRPr="0008301D" w:rsidRDefault="000868F0" w:rsidP="00860D1D">
      <w:pPr>
        <w:numPr>
          <w:ilvl w:val="0"/>
          <w:numId w:val="41"/>
        </w:numPr>
      </w:pPr>
      <w:r>
        <w:t>a</w:t>
      </w:r>
      <w:r w:rsidR="00576DE2" w:rsidRPr="0008301D">
        <w:t xml:space="preserve"> fact: in a region with low seismicity like Sweden, an earthquake M 8 is “possible” (and observed in paleo history) with a return period 1 million years examine how can such information be presented in a PSA (33)</w:t>
      </w:r>
      <w:r>
        <w:t>,</w:t>
      </w:r>
    </w:p>
    <w:p w:rsidR="00576DE2" w:rsidRPr="0008301D" w:rsidRDefault="000868F0" w:rsidP="00860D1D">
      <w:pPr>
        <w:numPr>
          <w:ilvl w:val="0"/>
          <w:numId w:val="41"/>
        </w:numPr>
      </w:pPr>
      <w:r>
        <w:t>i</w:t>
      </w:r>
      <w:r w:rsidR="00576DE2" w:rsidRPr="0008301D">
        <w:t>nsist on the need to update periodically the design-basis hazards curve (</w:t>
      </w:r>
      <w:r w:rsidR="006E4071" w:rsidRPr="0008301D">
        <w:t xml:space="preserve">No. </w:t>
      </w:r>
      <w:r w:rsidR="00576DE2" w:rsidRPr="0008301D">
        <w:t>34)</w:t>
      </w:r>
      <w:r>
        <w:t>.</w:t>
      </w:r>
    </w:p>
    <w:p w:rsidR="00E46716" w:rsidRDefault="00DD0E6A" w:rsidP="00E46716">
      <w:r>
        <w:rPr>
          <w:lang w:val="en-US"/>
        </w:rPr>
        <w:t xml:space="preserve">The current document </w:t>
      </w:r>
      <w:r w:rsidR="0008301D">
        <w:rPr>
          <w:lang w:val="en-US"/>
        </w:rPr>
        <w:t xml:space="preserve">consequently </w:t>
      </w:r>
      <w:r>
        <w:rPr>
          <w:lang w:val="en-US"/>
        </w:rPr>
        <w:t>focuses on providing guidance for seismic hazard assessments for extended PSA</w:t>
      </w:r>
      <w:r w:rsidR="0008301D">
        <w:rPr>
          <w:lang w:val="en-US"/>
        </w:rPr>
        <w:t xml:space="preserve"> particularly considering the listed end-user requests</w:t>
      </w:r>
      <w:r>
        <w:rPr>
          <w:lang w:val="en-US"/>
        </w:rPr>
        <w:t xml:space="preserve">. </w:t>
      </w:r>
      <w:r w:rsidR="00E46716">
        <w:t xml:space="preserve">Development of a seismic PSA or extended PSA including seismic should be able to verify or demonstrate that that </w:t>
      </w:r>
      <w:r w:rsidR="006A5793">
        <w:t xml:space="preserve">the protection against seismic design basis events is sufficient. It should further be able to demonstrate </w:t>
      </w:r>
      <w:r w:rsidR="006B3B24">
        <w:t xml:space="preserve">a minimum of protection against </w:t>
      </w:r>
      <w:r w:rsidR="006A5793">
        <w:t>events with severities e</w:t>
      </w:r>
      <w:r w:rsidR="006A5793">
        <w:t>x</w:t>
      </w:r>
      <w:r w:rsidR="006A5793">
        <w:t xml:space="preserve">ceeding the design basis values </w:t>
      </w:r>
      <w:r w:rsidR="006B3B24">
        <w:t xml:space="preserve">leading to </w:t>
      </w:r>
      <w:r w:rsidR="00E46716">
        <w:t>design extension conditions (DEC)</w:t>
      </w:r>
      <w:r w:rsidR="006B3B24">
        <w:t xml:space="preserve">. For DEC events </w:t>
      </w:r>
      <w:r w:rsidR="00E46716">
        <w:t>without fuel damage (DEC-A)</w:t>
      </w:r>
      <w:r w:rsidR="000868F0">
        <w:t>,</w:t>
      </w:r>
      <w:r w:rsidR="00E46716">
        <w:t xml:space="preserve"> </w:t>
      </w:r>
      <w:r w:rsidR="006B3B24">
        <w:t xml:space="preserve">it should be demonstrated that protection is sufficient to ensure </w:t>
      </w:r>
      <w:r w:rsidR="00E46716">
        <w:t>the fundamental safety functions</w:t>
      </w:r>
      <w:r w:rsidR="006B3B24">
        <w:t>. F</w:t>
      </w:r>
      <w:r w:rsidR="00E46716">
        <w:t>or design extension conditions with postulated fuel damage (DEC-B)</w:t>
      </w:r>
      <w:r w:rsidR="000868F0">
        <w:t>,</w:t>
      </w:r>
      <w:r w:rsidR="00E46716">
        <w:t xml:space="preserve"> </w:t>
      </w:r>
      <w:r w:rsidR="006B3B24">
        <w:t xml:space="preserve">it should be demonstrated that </w:t>
      </w:r>
      <w:r w:rsidR="00E46716">
        <w:t>the plant is able to fulfil confinement of the radioactive material (WENRA, 2014, Issue F).</w:t>
      </w:r>
    </w:p>
    <w:p w:rsidR="00E46716" w:rsidRDefault="006B3B24" w:rsidP="00EC412F">
      <w:r w:rsidRPr="006B3B24">
        <w:rPr>
          <w:lang w:val="en-US"/>
        </w:rPr>
        <w:t xml:space="preserve">The current document provides guidance on the assessment of seismotectonic hazards listed in </w:t>
      </w:r>
      <w:r w:rsidRPr="006B3B24">
        <w:rPr>
          <w:lang w:val="en-US"/>
        </w:rPr>
        <w:fldChar w:fldCharType="begin"/>
      </w:r>
      <w:r w:rsidRPr="006B3B24">
        <w:rPr>
          <w:lang w:val="en-US"/>
        </w:rPr>
        <w:instrText xml:space="preserve"> REF _Ref433385153 \h </w:instrText>
      </w:r>
      <w:r w:rsidRPr="006B3B24">
        <w:rPr>
          <w:lang w:val="en-US"/>
        </w:rPr>
      </w:r>
      <w:r>
        <w:rPr>
          <w:lang w:val="en-US"/>
        </w:rPr>
        <w:instrText xml:space="preserve"> \* MERGEFORMAT </w:instrText>
      </w:r>
      <w:r w:rsidRPr="006B3B24">
        <w:rPr>
          <w:lang w:val="en-US"/>
        </w:rPr>
        <w:fldChar w:fldCharType="separate"/>
      </w:r>
      <w:r w:rsidR="00173034">
        <w:t xml:space="preserve">Table </w:t>
      </w:r>
      <w:r w:rsidR="00173034">
        <w:rPr>
          <w:noProof/>
        </w:rPr>
        <w:t>1</w:t>
      </w:r>
      <w:r w:rsidRPr="006B3B24">
        <w:rPr>
          <w:lang w:val="en-US"/>
        </w:rPr>
        <w:fldChar w:fldCharType="end"/>
      </w:r>
      <w:r w:rsidRPr="006B3B24">
        <w:rPr>
          <w:lang w:val="en-US"/>
        </w:rPr>
        <w:t xml:space="preserve"> with prior</w:t>
      </w:r>
      <w:r w:rsidRPr="006B3B24">
        <w:rPr>
          <w:lang w:val="en-US"/>
        </w:rPr>
        <w:t>i</w:t>
      </w:r>
      <w:r w:rsidRPr="006B3B24">
        <w:rPr>
          <w:lang w:val="en-US"/>
        </w:rPr>
        <w:t>ty given to the evaluation of vibratory groun</w:t>
      </w:r>
      <w:r w:rsidR="000868F0">
        <w:rPr>
          <w:lang w:val="en-US"/>
        </w:rPr>
        <w:t>d</w:t>
      </w:r>
      <w:r w:rsidRPr="006B3B24">
        <w:rPr>
          <w:lang w:val="en-US"/>
        </w:rPr>
        <w:t xml:space="preserve"> motion.</w:t>
      </w:r>
    </w:p>
    <w:p w:rsidR="00AE17C4" w:rsidRDefault="00AE17C4" w:rsidP="00AE17C4"/>
    <w:p w:rsidR="0073503B" w:rsidRDefault="0073503B" w:rsidP="00AE17C4"/>
    <w:p w:rsidR="00A8394B" w:rsidRDefault="00A8394B" w:rsidP="00AE17C4"/>
    <w:p w:rsidR="00A8394B" w:rsidRDefault="00A8394B" w:rsidP="00AE17C4"/>
    <w:p w:rsidR="00AE17C4" w:rsidRDefault="00AE17C4" w:rsidP="00AE17C4">
      <w:pPr>
        <w:rPr>
          <w:lang w:val="en-US"/>
        </w:rPr>
      </w:pPr>
    </w:p>
    <w:tbl>
      <w:tblPr>
        <w:tblW w:w="9498" w:type="dxa"/>
        <w:tblInd w:w="70" w:type="dxa"/>
        <w:tblCellMar>
          <w:left w:w="70" w:type="dxa"/>
          <w:right w:w="70" w:type="dxa"/>
        </w:tblCellMar>
        <w:tblLook w:val="04A0" w:firstRow="1" w:lastRow="0" w:firstColumn="1" w:lastColumn="0" w:noHBand="0" w:noVBand="1"/>
      </w:tblPr>
      <w:tblGrid>
        <w:gridCol w:w="567"/>
        <w:gridCol w:w="2835"/>
        <w:gridCol w:w="567"/>
        <w:gridCol w:w="567"/>
        <w:gridCol w:w="4962"/>
      </w:tblGrid>
      <w:tr w:rsidR="009401BF" w:rsidRPr="009401BF" w:rsidTr="009E0D36">
        <w:trPr>
          <w:trHeight w:val="288"/>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9401BF" w:rsidRPr="009401BF" w:rsidRDefault="009401BF" w:rsidP="009401BF">
            <w:pPr>
              <w:spacing w:line="240" w:lineRule="auto"/>
              <w:jc w:val="left"/>
              <w:rPr>
                <w:b/>
              </w:rPr>
            </w:pPr>
            <w:r w:rsidRPr="009401BF">
              <w:rPr>
                <w:b/>
              </w:rPr>
              <w:lastRenderedPageBreak/>
              <w:t>Code</w:t>
            </w:r>
          </w:p>
        </w:tc>
        <w:tc>
          <w:tcPr>
            <w:tcW w:w="2835" w:type="dxa"/>
            <w:tcBorders>
              <w:top w:val="single" w:sz="4" w:space="0" w:color="auto"/>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rPr>
                <w:b/>
              </w:rPr>
            </w:pPr>
            <w:r w:rsidRPr="009401BF">
              <w:rPr>
                <w:b/>
              </w:rPr>
              <w:t>Hazard</w:t>
            </w:r>
          </w:p>
        </w:tc>
        <w:tc>
          <w:tcPr>
            <w:tcW w:w="567" w:type="dxa"/>
            <w:tcBorders>
              <w:top w:val="single" w:sz="4" w:space="0" w:color="auto"/>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rPr>
                <w:b/>
              </w:rPr>
            </w:pPr>
            <w:r w:rsidRPr="009401BF">
              <w:rPr>
                <w:b/>
              </w:rPr>
              <w:t>Dur.</w:t>
            </w:r>
          </w:p>
        </w:tc>
        <w:tc>
          <w:tcPr>
            <w:tcW w:w="567" w:type="dxa"/>
            <w:tcBorders>
              <w:top w:val="single" w:sz="4" w:space="0" w:color="auto"/>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rPr>
                <w:b/>
              </w:rPr>
            </w:pPr>
            <w:r w:rsidRPr="009401BF">
              <w:rPr>
                <w:b/>
              </w:rPr>
              <w:t>P&amp;P</w:t>
            </w:r>
          </w:p>
        </w:tc>
        <w:tc>
          <w:tcPr>
            <w:tcW w:w="4962" w:type="dxa"/>
            <w:tcBorders>
              <w:top w:val="single" w:sz="4" w:space="0" w:color="auto"/>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rPr>
                <w:b/>
              </w:rPr>
            </w:pPr>
            <w:r w:rsidRPr="009401BF">
              <w:rPr>
                <w:b/>
              </w:rPr>
              <w:t>Hazard definition and hazard impact</w:t>
            </w:r>
          </w:p>
        </w:tc>
      </w:tr>
      <w:tr w:rsidR="009401BF" w:rsidRPr="009401BF" w:rsidTr="009E0D36">
        <w:trPr>
          <w:trHeight w:val="722"/>
        </w:trPr>
        <w:tc>
          <w:tcPr>
            <w:tcW w:w="567" w:type="dxa"/>
            <w:tcBorders>
              <w:top w:val="nil"/>
              <w:left w:val="single" w:sz="4" w:space="0" w:color="auto"/>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N1</w:t>
            </w:r>
          </w:p>
        </w:tc>
        <w:tc>
          <w:tcPr>
            <w:tcW w:w="2835"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Vibratory ground motion (inclu</w:t>
            </w:r>
            <w:r w:rsidRPr="009401BF">
              <w:t>d</w:t>
            </w:r>
            <w:r w:rsidRPr="009401BF">
              <w:t>ing long period ground motion)</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s-m</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U/R</w:t>
            </w:r>
          </w:p>
        </w:tc>
        <w:tc>
          <w:tcPr>
            <w:tcW w:w="4962"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The hazard is defined by the contemporaneous impact of vibratory ground motion on all civil structures and SSCs of the plant and its surrounding.</w:t>
            </w:r>
          </w:p>
        </w:tc>
      </w:tr>
      <w:tr w:rsidR="009401BF" w:rsidRPr="009401BF" w:rsidTr="009E0D36">
        <w:trPr>
          <w:trHeight w:val="988"/>
        </w:trPr>
        <w:tc>
          <w:tcPr>
            <w:tcW w:w="567" w:type="dxa"/>
            <w:tcBorders>
              <w:top w:val="nil"/>
              <w:left w:val="single" w:sz="4" w:space="0" w:color="auto"/>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N2</w:t>
            </w:r>
          </w:p>
        </w:tc>
        <w:tc>
          <w:tcPr>
            <w:tcW w:w="2835"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Vibratory ground motion induced or triggered by human activity (oil, gas or groundwater extra</w:t>
            </w:r>
            <w:r w:rsidRPr="009401BF">
              <w:t>c</w:t>
            </w:r>
            <w:r w:rsidRPr="009401BF">
              <w:t>tion, quarrying, mine collapse)</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s-m</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U/R</w:t>
            </w:r>
          </w:p>
        </w:tc>
        <w:tc>
          <w:tcPr>
            <w:tcW w:w="4962"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The hazard is defined by the contemporaneous impact of vibratory ground motion on all civil structures and SSCs of the plant and its surrounding.</w:t>
            </w:r>
          </w:p>
        </w:tc>
      </w:tr>
      <w:tr w:rsidR="009401BF" w:rsidRPr="009401BF" w:rsidTr="009E0D36">
        <w:trPr>
          <w:trHeight w:val="549"/>
        </w:trPr>
        <w:tc>
          <w:tcPr>
            <w:tcW w:w="567" w:type="dxa"/>
            <w:tcBorders>
              <w:top w:val="nil"/>
              <w:left w:val="single" w:sz="4" w:space="0" w:color="auto"/>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N3</w:t>
            </w:r>
          </w:p>
        </w:tc>
        <w:tc>
          <w:tcPr>
            <w:tcW w:w="2835"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Surface faulting (fault capabi</w:t>
            </w:r>
            <w:r w:rsidRPr="009401BF">
              <w:t>l</w:t>
            </w:r>
            <w:r w:rsidRPr="009401BF">
              <w:t>ity)</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s-m</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U/R</w:t>
            </w:r>
          </w:p>
        </w:tc>
        <w:tc>
          <w:tcPr>
            <w:tcW w:w="4962"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The hazard is defined in terms of impact on the plant of coseismic fault rupture and surface displacement. It i</w:t>
            </w:r>
            <w:r w:rsidRPr="009401BF">
              <w:t>n</w:t>
            </w:r>
            <w:r w:rsidRPr="009401BF">
              <w:t>cludes surface rupture at secondary faults.</w:t>
            </w:r>
          </w:p>
        </w:tc>
      </w:tr>
      <w:tr w:rsidR="009401BF" w:rsidRPr="009401BF" w:rsidTr="009E0D36">
        <w:trPr>
          <w:trHeight w:val="770"/>
        </w:trPr>
        <w:tc>
          <w:tcPr>
            <w:tcW w:w="567" w:type="dxa"/>
            <w:tcBorders>
              <w:top w:val="nil"/>
              <w:left w:val="single" w:sz="4" w:space="0" w:color="auto"/>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N4</w:t>
            </w:r>
          </w:p>
        </w:tc>
        <w:tc>
          <w:tcPr>
            <w:tcW w:w="2835"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 xml:space="preserve">Liquefaction, lateral spreading </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s-m</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U/R</w:t>
            </w:r>
          </w:p>
        </w:tc>
        <w:tc>
          <w:tcPr>
            <w:tcW w:w="4962"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The hazard is defined by the loss of shear strength of fou</w:t>
            </w:r>
            <w:r w:rsidRPr="009401BF">
              <w:t>n</w:t>
            </w:r>
            <w:r w:rsidRPr="009401BF">
              <w:t>dation soil and its effects on civil structures and unde</w:t>
            </w:r>
            <w:r w:rsidRPr="009401BF">
              <w:t>r</w:t>
            </w:r>
            <w:r w:rsidRPr="009401BF">
              <w:t>ground installations such as pipes or cable trays.</w:t>
            </w:r>
          </w:p>
        </w:tc>
      </w:tr>
      <w:tr w:rsidR="009401BF" w:rsidRPr="009401BF" w:rsidTr="009E0D36">
        <w:trPr>
          <w:trHeight w:val="979"/>
        </w:trPr>
        <w:tc>
          <w:tcPr>
            <w:tcW w:w="567" w:type="dxa"/>
            <w:tcBorders>
              <w:top w:val="nil"/>
              <w:left w:val="single" w:sz="4" w:space="0" w:color="auto"/>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N5</w:t>
            </w:r>
          </w:p>
        </w:tc>
        <w:tc>
          <w:tcPr>
            <w:tcW w:w="2835"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Dynamic compaction (seismically induced soil settlement)</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s-m</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U/R</w:t>
            </w:r>
          </w:p>
        </w:tc>
        <w:tc>
          <w:tcPr>
            <w:tcW w:w="4962"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The hazard is defined by the effects of soil settlement on civil structures and underground installations such as pipes or cable trays.  It includes effects of seismically induced surface cracks.</w:t>
            </w:r>
          </w:p>
        </w:tc>
      </w:tr>
      <w:tr w:rsidR="009401BF" w:rsidRPr="009401BF" w:rsidTr="009E0D36">
        <w:trPr>
          <w:trHeight w:val="792"/>
        </w:trPr>
        <w:tc>
          <w:tcPr>
            <w:tcW w:w="567" w:type="dxa"/>
            <w:tcBorders>
              <w:top w:val="nil"/>
              <w:left w:val="single" w:sz="4" w:space="0" w:color="auto"/>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N6</w:t>
            </w:r>
          </w:p>
        </w:tc>
        <w:tc>
          <w:tcPr>
            <w:tcW w:w="2835"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Permanent ground displacement subsequent to earthquake</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d-l</w:t>
            </w:r>
          </w:p>
        </w:tc>
        <w:tc>
          <w:tcPr>
            <w:tcW w:w="567"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U/R</w:t>
            </w:r>
          </w:p>
        </w:tc>
        <w:tc>
          <w:tcPr>
            <w:tcW w:w="4962" w:type="dxa"/>
            <w:tcBorders>
              <w:top w:val="nil"/>
              <w:left w:val="nil"/>
              <w:bottom w:val="single" w:sz="4" w:space="0" w:color="auto"/>
              <w:right w:val="single" w:sz="4" w:space="0" w:color="auto"/>
            </w:tcBorders>
            <w:shd w:val="clear" w:color="auto" w:fill="auto"/>
            <w:hideMark/>
          </w:tcPr>
          <w:p w:rsidR="009401BF" w:rsidRPr="009401BF" w:rsidRDefault="009401BF" w:rsidP="009401BF">
            <w:pPr>
              <w:spacing w:line="240" w:lineRule="auto"/>
              <w:jc w:val="left"/>
            </w:pPr>
            <w:r w:rsidRPr="009401BF">
              <w:t>The hazard is defined in terms of impact on the plant of permanent ground subsidence or ground heave due to strain release after an earthquake.</w:t>
            </w:r>
          </w:p>
        </w:tc>
      </w:tr>
    </w:tbl>
    <w:p w:rsidR="009401BF" w:rsidRPr="009401BF" w:rsidRDefault="009401BF" w:rsidP="00AE17C4"/>
    <w:p w:rsidR="009E0D36" w:rsidRPr="008A03C8" w:rsidRDefault="009E0D36" w:rsidP="009E0D36">
      <w:pPr>
        <w:pStyle w:val="ASAMPSAtable"/>
        <w:numPr>
          <w:ilvl w:val="0"/>
          <w:numId w:val="0"/>
        </w:numPr>
        <w:ind w:left="720" w:hanging="360"/>
        <w:jc w:val="left"/>
        <w:rPr>
          <w:iCs/>
        </w:rPr>
      </w:pPr>
      <w:bookmarkStart w:id="42" w:name="_Ref433385153"/>
      <w:bookmarkStart w:id="43" w:name="_Toc456012025"/>
      <w:r>
        <w:t xml:space="preserve">Table </w:t>
      </w:r>
      <w:r>
        <w:fldChar w:fldCharType="begin"/>
      </w:r>
      <w:r>
        <w:instrText xml:space="preserve"> SEQ Table \* ARABIC </w:instrText>
      </w:r>
      <w:r>
        <w:fldChar w:fldCharType="separate"/>
      </w:r>
      <w:r w:rsidR="00173034">
        <w:rPr>
          <w:noProof/>
        </w:rPr>
        <w:t>1</w:t>
      </w:r>
      <w:r>
        <w:fldChar w:fldCharType="end"/>
      </w:r>
      <w:bookmarkEnd w:id="42"/>
      <w:r>
        <w:t xml:space="preserve">. </w:t>
      </w:r>
      <w:r>
        <w:tab/>
        <w:t xml:space="preserve">List of seismotectonic hazards covered in the current document (from ASAMPSA_E D21.2). Explanation to columns: </w:t>
      </w:r>
      <w:r w:rsidRPr="00426087">
        <w:t>Dur.:</w:t>
      </w:r>
      <w:r>
        <w:t xml:space="preserve"> duration of hazard phenomena classified as s-m (seconds to minutes), m-h (minutes to hours), h-d (hours to days), d-l (days and longer). P&amp;P: Hazard predictability and hazard progression: predictable (P), unpredictable (U), progressing rapidly (R) or gradually (G). Ref: references to international standards introducing the hazard type.</w:t>
      </w:r>
      <w:bookmarkEnd w:id="43"/>
    </w:p>
    <w:p w:rsidR="009401BF" w:rsidRDefault="009401BF" w:rsidP="00AE17C4">
      <w:pPr>
        <w:rPr>
          <w:lang w:val="en-US"/>
        </w:rPr>
      </w:pPr>
    </w:p>
    <w:p w:rsidR="00AE17C4" w:rsidRPr="00AE17C4" w:rsidRDefault="00B76BD6" w:rsidP="00AE17C4">
      <w:pPr>
        <w:pStyle w:val="Titre2"/>
      </w:pPr>
      <w:r>
        <w:br w:type="page"/>
      </w:r>
      <w:bookmarkStart w:id="44" w:name="_Toc456011868"/>
      <w:r w:rsidR="00AE17C4" w:rsidRPr="00AE17C4">
        <w:lastRenderedPageBreak/>
        <w:t>Potential impacts on the plant</w:t>
      </w:r>
      <w:bookmarkEnd w:id="44"/>
    </w:p>
    <w:p w:rsidR="006A369E" w:rsidRDefault="006A369E" w:rsidP="00AE17C4">
      <w:pPr>
        <w:rPr>
          <w:lang w:val="en-US"/>
        </w:rPr>
      </w:pPr>
      <w:r>
        <w:rPr>
          <w:lang w:val="en-US"/>
        </w:rPr>
        <w:t>Unlike the effects of other external hazard</w:t>
      </w:r>
      <w:r w:rsidR="00532ACD">
        <w:rPr>
          <w:lang w:val="en-US"/>
        </w:rPr>
        <w:t>s</w:t>
      </w:r>
      <w:r>
        <w:rPr>
          <w:lang w:val="en-US"/>
        </w:rPr>
        <w:t xml:space="preserve"> s</w:t>
      </w:r>
      <w:r w:rsidR="00B76BD6">
        <w:rPr>
          <w:lang w:val="en-US"/>
        </w:rPr>
        <w:t xml:space="preserve">eismic events </w:t>
      </w:r>
      <w:r>
        <w:rPr>
          <w:lang w:val="en-US"/>
        </w:rPr>
        <w:t xml:space="preserve">and </w:t>
      </w:r>
      <w:r w:rsidR="00B76BD6">
        <w:rPr>
          <w:lang w:val="en-US"/>
        </w:rPr>
        <w:t xml:space="preserve">vibratory ground motion </w:t>
      </w:r>
      <w:r>
        <w:rPr>
          <w:lang w:val="en-US"/>
        </w:rPr>
        <w:t>simultaneously challenge</w:t>
      </w:r>
      <w:r w:rsidR="00B76BD6">
        <w:rPr>
          <w:lang w:val="en-US"/>
        </w:rPr>
        <w:t xml:space="preserve"> </w:t>
      </w:r>
      <w:r w:rsidR="00440749">
        <w:rPr>
          <w:lang w:val="en-US"/>
        </w:rPr>
        <w:t xml:space="preserve">all parts of the site of an NPP, all </w:t>
      </w:r>
      <w:r w:rsidR="00B76BD6">
        <w:rPr>
          <w:lang w:val="en-US"/>
        </w:rPr>
        <w:t>civil structures</w:t>
      </w:r>
      <w:r w:rsidR="00C9334D">
        <w:rPr>
          <w:lang w:val="en-US"/>
        </w:rPr>
        <w:t>,</w:t>
      </w:r>
      <w:r w:rsidR="00440749">
        <w:rPr>
          <w:lang w:val="en-US"/>
        </w:rPr>
        <w:t xml:space="preserve"> </w:t>
      </w:r>
      <w:r w:rsidR="00B76BD6">
        <w:rPr>
          <w:lang w:val="en-US"/>
        </w:rPr>
        <w:t>SSCs</w:t>
      </w:r>
      <w:r>
        <w:rPr>
          <w:lang w:val="en-US"/>
        </w:rPr>
        <w:t xml:space="preserve"> (both safety and non-safety related), and personnel. The simultaneous impact </w:t>
      </w:r>
      <w:r w:rsidR="005562CA">
        <w:rPr>
          <w:lang w:val="en-US"/>
        </w:rPr>
        <w:t>and the following characteristics distinguish vibratory ground motion from all other externa</w:t>
      </w:r>
      <w:r w:rsidR="00A8394B">
        <w:rPr>
          <w:lang w:val="en-US"/>
        </w:rPr>
        <w:t>l hazards and internal hazards:</w:t>
      </w:r>
    </w:p>
    <w:p w:rsidR="003E74B9" w:rsidRDefault="00440749" w:rsidP="00860D1D">
      <w:pPr>
        <w:numPr>
          <w:ilvl w:val="0"/>
          <w:numId w:val="24"/>
        </w:numPr>
        <w:rPr>
          <w:lang w:val="en-US"/>
        </w:rPr>
      </w:pPr>
      <w:r>
        <w:rPr>
          <w:lang w:val="en-US"/>
        </w:rPr>
        <w:t>Seismic e</w:t>
      </w:r>
      <w:r w:rsidR="005562CA">
        <w:rPr>
          <w:lang w:val="en-US"/>
        </w:rPr>
        <w:t xml:space="preserve">vents are not </w:t>
      </w:r>
      <w:r w:rsidR="003E74B9">
        <w:rPr>
          <w:lang w:val="en-US"/>
        </w:rPr>
        <w:t>predictable</w:t>
      </w:r>
      <w:r w:rsidR="005562CA">
        <w:rPr>
          <w:lang w:val="en-US"/>
        </w:rPr>
        <w:t xml:space="preserve"> and have no precursors (except for </w:t>
      </w:r>
      <w:r>
        <w:rPr>
          <w:lang w:val="en-US"/>
        </w:rPr>
        <w:t xml:space="preserve">foreshocks of </w:t>
      </w:r>
      <w:r w:rsidR="005562CA">
        <w:rPr>
          <w:lang w:val="en-US"/>
        </w:rPr>
        <w:t>earthquake; these, however, cannot be identified as such at the time of their occurrence)</w:t>
      </w:r>
      <w:r>
        <w:rPr>
          <w:lang w:val="en-US"/>
        </w:rPr>
        <w:t>.</w:t>
      </w:r>
    </w:p>
    <w:p w:rsidR="003E74B9" w:rsidRDefault="00440749" w:rsidP="00860D1D">
      <w:pPr>
        <w:numPr>
          <w:ilvl w:val="0"/>
          <w:numId w:val="24"/>
        </w:numPr>
        <w:rPr>
          <w:lang w:val="en-US"/>
        </w:rPr>
      </w:pPr>
      <w:r>
        <w:rPr>
          <w:lang w:val="en-US"/>
        </w:rPr>
        <w:t>Hazard progresses v</w:t>
      </w:r>
      <w:r w:rsidR="003E74B9">
        <w:rPr>
          <w:lang w:val="en-US"/>
        </w:rPr>
        <w:t>ery rapid</w:t>
      </w:r>
      <w:r>
        <w:rPr>
          <w:lang w:val="en-US"/>
        </w:rPr>
        <w:t xml:space="preserve">ly in </w:t>
      </w:r>
      <w:r w:rsidR="003E74B9">
        <w:rPr>
          <w:lang w:val="en-US"/>
        </w:rPr>
        <w:t xml:space="preserve">seconds </w:t>
      </w:r>
      <w:r w:rsidR="00842A88">
        <w:rPr>
          <w:lang w:val="en-US"/>
        </w:rPr>
        <w:t xml:space="preserve">and lasts up </w:t>
      </w:r>
      <w:r w:rsidR="003E74B9">
        <w:rPr>
          <w:lang w:val="en-US"/>
        </w:rPr>
        <w:t>to minutes</w:t>
      </w:r>
      <w:r w:rsidR="00A8394B">
        <w:rPr>
          <w:lang w:val="en-US"/>
        </w:rPr>
        <w:t>.</w:t>
      </w:r>
    </w:p>
    <w:p w:rsidR="00B57D5F" w:rsidRPr="00B57D5F" w:rsidRDefault="00B57D5F" w:rsidP="00860D1D">
      <w:pPr>
        <w:numPr>
          <w:ilvl w:val="0"/>
          <w:numId w:val="24"/>
        </w:numPr>
        <w:rPr>
          <w:lang w:val="en-US"/>
        </w:rPr>
      </w:pPr>
      <w:r>
        <w:rPr>
          <w:lang w:val="en-US"/>
        </w:rPr>
        <w:t>Potential of aftershocks may aggravate damage due to the higher vulnerability of pre-damaged civil stru</w:t>
      </w:r>
      <w:r>
        <w:rPr>
          <w:lang w:val="en-US"/>
        </w:rPr>
        <w:t>c</w:t>
      </w:r>
      <w:r>
        <w:rPr>
          <w:lang w:val="en-US"/>
        </w:rPr>
        <w:t>tures and SSCs as compared to intact ones.</w:t>
      </w:r>
    </w:p>
    <w:p w:rsidR="005562CA" w:rsidRDefault="00440749" w:rsidP="00860D1D">
      <w:pPr>
        <w:numPr>
          <w:ilvl w:val="0"/>
          <w:numId w:val="24"/>
        </w:numPr>
        <w:rPr>
          <w:lang w:val="en-US"/>
        </w:rPr>
      </w:pPr>
      <w:r>
        <w:rPr>
          <w:lang w:val="en-US"/>
        </w:rPr>
        <w:t xml:space="preserve">Vibratory ground motion impacts </w:t>
      </w:r>
      <w:r w:rsidR="005562CA">
        <w:rPr>
          <w:lang w:val="en-US"/>
        </w:rPr>
        <w:t xml:space="preserve">on non-safety classified civil structures </w:t>
      </w:r>
      <w:r>
        <w:rPr>
          <w:lang w:val="en-US"/>
        </w:rPr>
        <w:t xml:space="preserve">and equipment </w:t>
      </w:r>
      <w:r w:rsidR="005562CA">
        <w:rPr>
          <w:lang w:val="en-US"/>
        </w:rPr>
        <w:t xml:space="preserve">at the site such as </w:t>
      </w:r>
      <w:r>
        <w:rPr>
          <w:lang w:val="en-US"/>
        </w:rPr>
        <w:t xml:space="preserve">the </w:t>
      </w:r>
      <w:r w:rsidR="005562CA">
        <w:rPr>
          <w:lang w:val="en-US"/>
        </w:rPr>
        <w:t>fire brigade</w:t>
      </w:r>
      <w:r>
        <w:rPr>
          <w:lang w:val="en-US"/>
        </w:rPr>
        <w:t>s</w:t>
      </w:r>
      <w:r w:rsidR="002C46EE">
        <w:rPr>
          <w:rStyle w:val="Appelnotedebasdep"/>
          <w:lang w:val="en-US"/>
        </w:rPr>
        <w:footnoteReference w:id="2"/>
      </w:r>
      <w:r w:rsidR="002C46EE">
        <w:rPr>
          <w:lang w:val="en-US"/>
        </w:rPr>
        <w:t xml:space="preserve"> which</w:t>
      </w:r>
      <w:r>
        <w:rPr>
          <w:lang w:val="en-US"/>
        </w:rPr>
        <w:t xml:space="preserve"> are</w:t>
      </w:r>
      <w:r w:rsidR="002C46EE">
        <w:rPr>
          <w:lang w:val="en-US"/>
        </w:rPr>
        <w:t xml:space="preserve"> important for defence-in-depth</w:t>
      </w:r>
      <w:r>
        <w:rPr>
          <w:lang w:val="en-US"/>
        </w:rPr>
        <w:t>.</w:t>
      </w:r>
    </w:p>
    <w:p w:rsidR="00A22132" w:rsidRDefault="00A22132" w:rsidP="00860D1D">
      <w:pPr>
        <w:numPr>
          <w:ilvl w:val="0"/>
          <w:numId w:val="24"/>
        </w:numPr>
        <w:rPr>
          <w:lang w:val="en-US"/>
        </w:rPr>
      </w:pPr>
      <w:r>
        <w:rPr>
          <w:lang w:val="en-US"/>
        </w:rPr>
        <w:t>Seismic ground shaking at multi-unit sites affects all units contemporaneously stressing the recources for accident management. The effects and damage to the individual plants at the site</w:t>
      </w:r>
      <w:r w:rsidRPr="00A22132">
        <w:rPr>
          <w:lang w:val="en-US"/>
        </w:rPr>
        <w:t xml:space="preserve"> </w:t>
      </w:r>
      <w:r>
        <w:rPr>
          <w:lang w:val="en-US"/>
        </w:rPr>
        <w:t>may, however, be di</w:t>
      </w:r>
      <w:r>
        <w:rPr>
          <w:lang w:val="en-US"/>
        </w:rPr>
        <w:t>f</w:t>
      </w:r>
      <w:r>
        <w:rPr>
          <w:lang w:val="en-US"/>
        </w:rPr>
        <w:t>ferent due to different site effects (soil type below basemat), basemat depths, and construction details.</w:t>
      </w:r>
    </w:p>
    <w:p w:rsidR="005562CA" w:rsidRDefault="00440749" w:rsidP="00860D1D">
      <w:pPr>
        <w:numPr>
          <w:ilvl w:val="0"/>
          <w:numId w:val="24"/>
        </w:numPr>
        <w:rPr>
          <w:lang w:val="en-US"/>
        </w:rPr>
      </w:pPr>
      <w:r>
        <w:rPr>
          <w:lang w:val="en-US"/>
        </w:rPr>
        <w:t>Vibratory ground motion s</w:t>
      </w:r>
      <w:r w:rsidR="003E74B9">
        <w:rPr>
          <w:lang w:val="en-US"/>
        </w:rPr>
        <w:t>imultaneous</w:t>
      </w:r>
      <w:r>
        <w:rPr>
          <w:lang w:val="en-US"/>
        </w:rPr>
        <w:t>ly</w:t>
      </w:r>
      <w:r w:rsidR="003E74B9">
        <w:rPr>
          <w:lang w:val="en-US"/>
        </w:rPr>
        <w:t xml:space="preserve"> </w:t>
      </w:r>
      <w:r>
        <w:rPr>
          <w:lang w:val="en-US"/>
        </w:rPr>
        <w:t>affects the</w:t>
      </w:r>
      <w:r w:rsidR="003E74B9">
        <w:rPr>
          <w:lang w:val="en-US"/>
        </w:rPr>
        <w:t xml:space="preserve"> </w:t>
      </w:r>
      <w:r>
        <w:rPr>
          <w:lang w:val="en-US"/>
        </w:rPr>
        <w:t xml:space="preserve">whole </w:t>
      </w:r>
      <w:r w:rsidR="003E74B9">
        <w:rPr>
          <w:lang w:val="en-US"/>
        </w:rPr>
        <w:t xml:space="preserve">region around the site </w:t>
      </w:r>
      <w:r w:rsidR="005562CA">
        <w:rPr>
          <w:lang w:val="en-US"/>
        </w:rPr>
        <w:t>including</w:t>
      </w:r>
      <w:r w:rsidR="003E74B9">
        <w:rPr>
          <w:lang w:val="en-US"/>
        </w:rPr>
        <w:t xml:space="preserve"> traffic conne</w:t>
      </w:r>
      <w:r w:rsidR="003E74B9">
        <w:rPr>
          <w:lang w:val="en-US"/>
        </w:rPr>
        <w:t>c</w:t>
      </w:r>
      <w:r w:rsidR="003E74B9">
        <w:rPr>
          <w:lang w:val="en-US"/>
        </w:rPr>
        <w:t>tion</w:t>
      </w:r>
      <w:r>
        <w:rPr>
          <w:lang w:val="en-US"/>
        </w:rPr>
        <w:t>s</w:t>
      </w:r>
      <w:r w:rsidR="003E74B9">
        <w:rPr>
          <w:lang w:val="en-US"/>
        </w:rPr>
        <w:t xml:space="preserve">, support routes, </w:t>
      </w:r>
      <w:r w:rsidR="005562CA">
        <w:rPr>
          <w:lang w:val="en-US"/>
        </w:rPr>
        <w:t xml:space="preserve">and </w:t>
      </w:r>
      <w:r w:rsidR="003E74B9">
        <w:rPr>
          <w:lang w:val="en-US"/>
        </w:rPr>
        <w:t>electrical grid</w:t>
      </w:r>
      <w:r>
        <w:rPr>
          <w:lang w:val="en-US"/>
        </w:rPr>
        <w:t>.</w:t>
      </w:r>
    </w:p>
    <w:p w:rsidR="003E74B9" w:rsidRDefault="00440749" w:rsidP="00860D1D">
      <w:pPr>
        <w:numPr>
          <w:ilvl w:val="0"/>
          <w:numId w:val="24"/>
        </w:numPr>
        <w:rPr>
          <w:lang w:val="en-US"/>
        </w:rPr>
      </w:pPr>
      <w:r>
        <w:rPr>
          <w:lang w:val="en-US"/>
        </w:rPr>
        <w:t>Earthquake effects have a p</w:t>
      </w:r>
      <w:r w:rsidR="003E74B9">
        <w:rPr>
          <w:lang w:val="en-US"/>
        </w:rPr>
        <w:t xml:space="preserve">otential impact on regional communication </w:t>
      </w:r>
      <w:r w:rsidR="005562CA">
        <w:rPr>
          <w:lang w:val="en-US"/>
        </w:rPr>
        <w:t>networks</w:t>
      </w:r>
      <w:r>
        <w:rPr>
          <w:lang w:val="en-US"/>
        </w:rPr>
        <w:t>.</w:t>
      </w:r>
    </w:p>
    <w:p w:rsidR="00842A88" w:rsidRPr="00842A88" w:rsidRDefault="00842A88" w:rsidP="00860D1D">
      <w:pPr>
        <w:numPr>
          <w:ilvl w:val="0"/>
          <w:numId w:val="24"/>
        </w:numPr>
        <w:rPr>
          <w:lang w:val="en-US"/>
        </w:rPr>
      </w:pPr>
      <w:r>
        <w:rPr>
          <w:lang w:val="en-US"/>
        </w:rPr>
        <w:t>E</w:t>
      </w:r>
      <w:r w:rsidRPr="00842A88">
        <w:rPr>
          <w:lang w:val="en-US"/>
        </w:rPr>
        <w:t>arthquake</w:t>
      </w:r>
      <w:r>
        <w:rPr>
          <w:lang w:val="en-US"/>
        </w:rPr>
        <w:t>s challenge</w:t>
      </w:r>
      <w:r w:rsidRPr="00842A88">
        <w:rPr>
          <w:lang w:val="en-US"/>
        </w:rPr>
        <w:t xml:space="preserve"> </w:t>
      </w:r>
      <w:r>
        <w:rPr>
          <w:lang w:val="en-US"/>
        </w:rPr>
        <w:t xml:space="preserve">the </w:t>
      </w:r>
      <w:r w:rsidRPr="00842A88">
        <w:rPr>
          <w:lang w:val="en-US"/>
        </w:rPr>
        <w:t xml:space="preserve">availability of human resources from outside plant having an impact on human reliability </w:t>
      </w:r>
      <w:r w:rsidR="007047B7">
        <w:rPr>
          <w:lang w:val="en-US"/>
        </w:rPr>
        <w:t>(</w:t>
      </w:r>
      <w:r w:rsidRPr="00842A88">
        <w:rPr>
          <w:lang w:val="en-US"/>
        </w:rPr>
        <w:t>HRA</w:t>
      </w:r>
      <w:r w:rsidR="007047B7">
        <w:rPr>
          <w:lang w:val="en-US"/>
        </w:rPr>
        <w:t>)</w:t>
      </w:r>
      <w:r w:rsidR="007047B7">
        <w:rPr>
          <w:rStyle w:val="Appelnotedebasdep"/>
          <w:lang w:val="en-US"/>
        </w:rPr>
        <w:footnoteReference w:id="3"/>
      </w:r>
      <w:r>
        <w:rPr>
          <w:lang w:val="en-US"/>
        </w:rPr>
        <w:t>. Seismic events therefore are</w:t>
      </w:r>
      <w:r w:rsidRPr="00842A88">
        <w:rPr>
          <w:lang w:val="en-US"/>
        </w:rPr>
        <w:t xml:space="preserve"> different from other external hazard which progress slowly (as most types of flooding) or affect only very limited areas (such as airplane crash, lightning), but may be similar to some meteorological effects</w:t>
      </w:r>
      <w:r w:rsidR="00B57D5F">
        <w:rPr>
          <w:lang w:val="en-US"/>
        </w:rPr>
        <w:t xml:space="preserve">. </w:t>
      </w:r>
      <w:r w:rsidR="00B57D5F" w:rsidRPr="00B57D5F">
        <w:rPr>
          <w:lang w:val="en-US"/>
        </w:rPr>
        <w:t xml:space="preserve">NPP personnel </w:t>
      </w:r>
      <w:r w:rsidR="00B57D5F">
        <w:rPr>
          <w:lang w:val="en-US"/>
        </w:rPr>
        <w:t xml:space="preserve">may be </w:t>
      </w:r>
      <w:r w:rsidR="00B57D5F" w:rsidRPr="00B57D5F">
        <w:rPr>
          <w:lang w:val="en-US"/>
        </w:rPr>
        <w:t>distract</w:t>
      </w:r>
      <w:r w:rsidR="00B57D5F">
        <w:rPr>
          <w:lang w:val="en-US"/>
        </w:rPr>
        <w:t xml:space="preserve">ed </w:t>
      </w:r>
      <w:r w:rsidR="00B57D5F" w:rsidRPr="00B57D5F">
        <w:rPr>
          <w:lang w:val="en-US"/>
        </w:rPr>
        <w:t xml:space="preserve">from </w:t>
      </w:r>
      <w:r w:rsidR="00B57D5F">
        <w:rPr>
          <w:lang w:val="en-US"/>
        </w:rPr>
        <w:t xml:space="preserve">nuclear safety due to </w:t>
      </w:r>
      <w:r w:rsidR="00B57D5F" w:rsidRPr="00B57D5F">
        <w:rPr>
          <w:lang w:val="en-US"/>
        </w:rPr>
        <w:t>pr</w:t>
      </w:r>
      <w:r w:rsidR="00B57D5F" w:rsidRPr="00B57D5F">
        <w:rPr>
          <w:lang w:val="en-US"/>
        </w:rPr>
        <w:t>i</w:t>
      </w:r>
      <w:r w:rsidR="00B57D5F" w:rsidRPr="00B57D5F">
        <w:rPr>
          <w:lang w:val="en-US"/>
        </w:rPr>
        <w:t xml:space="preserve">vate concerns </w:t>
      </w:r>
      <w:r w:rsidR="00B57D5F">
        <w:rPr>
          <w:lang w:val="en-US"/>
        </w:rPr>
        <w:t>(</w:t>
      </w:r>
      <w:r w:rsidR="00B57D5F" w:rsidRPr="00B57D5F">
        <w:rPr>
          <w:lang w:val="en-US"/>
        </w:rPr>
        <w:t>rescue</w:t>
      </w:r>
      <w:r w:rsidR="00B57D5F">
        <w:rPr>
          <w:lang w:val="en-US"/>
        </w:rPr>
        <w:t xml:space="preserve">, </w:t>
      </w:r>
      <w:r w:rsidR="00B57D5F" w:rsidRPr="00B57D5F">
        <w:rPr>
          <w:lang w:val="en-US"/>
        </w:rPr>
        <w:t>securing homes</w:t>
      </w:r>
      <w:r w:rsidR="00B57D5F">
        <w:rPr>
          <w:lang w:val="en-US"/>
        </w:rPr>
        <w:t xml:space="preserve">) </w:t>
      </w:r>
      <w:r w:rsidR="00B57D5F" w:rsidRPr="00B57D5F">
        <w:rPr>
          <w:lang w:val="en-US"/>
        </w:rPr>
        <w:t>reduc</w:t>
      </w:r>
      <w:r w:rsidR="00B57D5F">
        <w:rPr>
          <w:lang w:val="en-US"/>
        </w:rPr>
        <w:t>ing</w:t>
      </w:r>
      <w:r w:rsidR="007047B7">
        <w:rPr>
          <w:lang w:val="en-US"/>
        </w:rPr>
        <w:t xml:space="preserve"> their</w:t>
      </w:r>
      <w:r w:rsidR="00B57D5F">
        <w:rPr>
          <w:lang w:val="en-US"/>
        </w:rPr>
        <w:t xml:space="preserve"> reliability.</w:t>
      </w:r>
      <w:r w:rsidR="00B57D5F" w:rsidRPr="00B57D5F">
        <w:rPr>
          <w:lang w:val="en-US"/>
        </w:rPr>
        <w:t xml:space="preserve"> </w:t>
      </w:r>
      <w:r w:rsidR="007047B7">
        <w:rPr>
          <w:lang w:val="en-US"/>
        </w:rPr>
        <w:t xml:space="preserve">HRA </w:t>
      </w:r>
      <w:r w:rsidRPr="00842A88">
        <w:rPr>
          <w:lang w:val="en-US"/>
        </w:rPr>
        <w:t>is thought to decrease with increa</w:t>
      </w:r>
      <w:r w:rsidRPr="00842A88">
        <w:rPr>
          <w:lang w:val="en-US"/>
        </w:rPr>
        <w:t>s</w:t>
      </w:r>
      <w:r w:rsidRPr="00842A88">
        <w:rPr>
          <w:lang w:val="en-US"/>
        </w:rPr>
        <w:t xml:space="preserve">ing impact </w:t>
      </w:r>
      <w:r w:rsidR="00B57D5F">
        <w:rPr>
          <w:lang w:val="en-US"/>
        </w:rPr>
        <w:t xml:space="preserve">(intensity) </w:t>
      </w:r>
      <w:r w:rsidRPr="00842A88">
        <w:rPr>
          <w:lang w:val="en-US"/>
        </w:rPr>
        <w:t>of the earthquake</w:t>
      </w:r>
      <w:r w:rsidR="00B57D5F">
        <w:rPr>
          <w:lang w:val="en-US"/>
        </w:rPr>
        <w:t>.</w:t>
      </w:r>
    </w:p>
    <w:p w:rsidR="003E74B9" w:rsidRDefault="00B57D5F" w:rsidP="00860D1D">
      <w:pPr>
        <w:numPr>
          <w:ilvl w:val="0"/>
          <w:numId w:val="24"/>
        </w:numPr>
        <w:rPr>
          <w:lang w:val="en-US"/>
        </w:rPr>
      </w:pPr>
      <w:r>
        <w:rPr>
          <w:lang w:val="en-US"/>
        </w:rPr>
        <w:t>U</w:t>
      </w:r>
      <w:r w:rsidRPr="00B57D5F">
        <w:rPr>
          <w:lang w:val="en-US"/>
        </w:rPr>
        <w:t>nclear priorities for overall emergency response by local authorities may be in conflict with the priorities for SAMG</w:t>
      </w:r>
      <w:r>
        <w:rPr>
          <w:lang w:val="en-US"/>
        </w:rPr>
        <w:t xml:space="preserve">. The availability of </w:t>
      </w:r>
      <w:r w:rsidR="003E74B9">
        <w:rPr>
          <w:lang w:val="en-US"/>
        </w:rPr>
        <w:t xml:space="preserve">rescue and support </w:t>
      </w:r>
      <w:r>
        <w:rPr>
          <w:lang w:val="en-US"/>
        </w:rPr>
        <w:t xml:space="preserve">from outside the plant </w:t>
      </w:r>
      <w:r w:rsidR="003E74B9">
        <w:rPr>
          <w:lang w:val="en-US"/>
        </w:rPr>
        <w:t>(e.g., fire brigades</w:t>
      </w:r>
      <w:r>
        <w:rPr>
          <w:lang w:val="en-US"/>
        </w:rPr>
        <w:t>, medical aid, and heavy machines for clean-up operations</w:t>
      </w:r>
      <w:r w:rsidR="003E74B9">
        <w:rPr>
          <w:lang w:val="en-US"/>
        </w:rPr>
        <w:t>) may be limited</w:t>
      </w:r>
      <w:r w:rsidR="005562CA">
        <w:rPr>
          <w:lang w:val="en-US"/>
        </w:rPr>
        <w:t xml:space="preserve"> due to the simultaneous needs of civil pr</w:t>
      </w:r>
      <w:r w:rsidR="005562CA">
        <w:rPr>
          <w:lang w:val="en-US"/>
        </w:rPr>
        <w:t>o</w:t>
      </w:r>
      <w:r w:rsidR="005562CA">
        <w:rPr>
          <w:lang w:val="en-US"/>
        </w:rPr>
        <w:t>tection outside the plant</w:t>
      </w:r>
      <w:r w:rsidR="00440749">
        <w:rPr>
          <w:lang w:val="en-US"/>
        </w:rPr>
        <w:t>.</w:t>
      </w:r>
    </w:p>
    <w:p w:rsidR="002C46EE" w:rsidRDefault="00440749" w:rsidP="00860D1D">
      <w:pPr>
        <w:numPr>
          <w:ilvl w:val="0"/>
          <w:numId w:val="24"/>
        </w:numPr>
        <w:rPr>
          <w:lang w:val="en-US"/>
        </w:rPr>
      </w:pPr>
      <w:r>
        <w:rPr>
          <w:lang w:val="en-US"/>
        </w:rPr>
        <w:lastRenderedPageBreak/>
        <w:t>Vibratory gro</w:t>
      </w:r>
      <w:r w:rsidR="00136FAE">
        <w:rPr>
          <w:lang w:val="en-US"/>
        </w:rPr>
        <w:t>und motion is correlated/associ</w:t>
      </w:r>
      <w:r>
        <w:rPr>
          <w:lang w:val="en-US"/>
        </w:rPr>
        <w:t>ated with a</w:t>
      </w:r>
      <w:r w:rsidR="002C46EE">
        <w:rPr>
          <w:lang w:val="en-US"/>
        </w:rPr>
        <w:t xml:space="preserve"> large number of hazards including man-made hazards</w:t>
      </w:r>
      <w:r>
        <w:rPr>
          <w:lang w:val="en-US"/>
        </w:rPr>
        <w:t>.</w:t>
      </w:r>
    </w:p>
    <w:p w:rsidR="005562CA" w:rsidRPr="005562CA" w:rsidRDefault="005562CA" w:rsidP="00860D1D">
      <w:pPr>
        <w:numPr>
          <w:ilvl w:val="0"/>
          <w:numId w:val="24"/>
        </w:numPr>
        <w:rPr>
          <w:lang w:val="en-US"/>
        </w:rPr>
      </w:pPr>
      <w:r>
        <w:rPr>
          <w:lang w:val="en-US"/>
        </w:rPr>
        <w:t>Issues related to (</w:t>
      </w:r>
      <w:r w:rsidR="00B57D5F">
        <w:rPr>
          <w:lang w:val="en-US"/>
        </w:rPr>
        <w:t>6</w:t>
      </w:r>
      <w:r>
        <w:rPr>
          <w:lang w:val="en-US"/>
        </w:rPr>
        <w:t>) to (</w:t>
      </w:r>
      <w:r w:rsidR="00B57D5F">
        <w:rPr>
          <w:lang w:val="en-US"/>
        </w:rPr>
        <w:t>9</w:t>
      </w:r>
      <w:r>
        <w:rPr>
          <w:lang w:val="en-US"/>
        </w:rPr>
        <w:t xml:space="preserve">) may arise from events </w:t>
      </w:r>
      <w:r w:rsidR="0042471B">
        <w:rPr>
          <w:lang w:val="en-US"/>
        </w:rPr>
        <w:t xml:space="preserve">with ground motion values below the design basis of the NPP </w:t>
      </w:r>
      <w:r>
        <w:rPr>
          <w:lang w:val="en-US"/>
        </w:rPr>
        <w:t xml:space="preserve">which by themselves are not challenging the </w:t>
      </w:r>
      <w:r w:rsidR="0042471B">
        <w:rPr>
          <w:lang w:val="en-US"/>
        </w:rPr>
        <w:t xml:space="preserve">nuclear installation. However, they may cause severe damage to other </w:t>
      </w:r>
      <w:r>
        <w:rPr>
          <w:lang w:val="en-US"/>
        </w:rPr>
        <w:t xml:space="preserve">structures </w:t>
      </w:r>
      <w:r w:rsidR="0042471B">
        <w:rPr>
          <w:lang w:val="en-US"/>
        </w:rPr>
        <w:t xml:space="preserve">due to the fact that these </w:t>
      </w:r>
      <w:r>
        <w:rPr>
          <w:lang w:val="en-US"/>
        </w:rPr>
        <w:t>are not designed for equally high safety standards and have higher vulnerabilities than the NPP</w:t>
      </w:r>
      <w:r w:rsidR="0042471B">
        <w:rPr>
          <w:lang w:val="en-US"/>
        </w:rPr>
        <w:t>.</w:t>
      </w:r>
    </w:p>
    <w:p w:rsidR="0066178B" w:rsidRPr="003E74B9" w:rsidRDefault="0066178B" w:rsidP="00EC412F">
      <w:pPr>
        <w:rPr>
          <w:lang w:val="en-US"/>
        </w:rPr>
      </w:pPr>
    </w:p>
    <w:p w:rsidR="00AE17C4" w:rsidRDefault="00B76BD6" w:rsidP="00AE17C4">
      <w:pPr>
        <w:pStyle w:val="Titre2"/>
      </w:pPr>
      <w:r w:rsidRPr="004B3B07">
        <w:rPr>
          <w:lang w:val="en-US"/>
        </w:rPr>
        <w:br w:type="page"/>
      </w:r>
      <w:bookmarkStart w:id="45" w:name="_Ref450577600"/>
      <w:bookmarkStart w:id="46" w:name="_Toc456011869"/>
      <w:r w:rsidR="00AE17C4" w:rsidRPr="00AE17C4">
        <w:lastRenderedPageBreak/>
        <w:t>Lessons learned from past events</w:t>
      </w:r>
      <w:bookmarkEnd w:id="45"/>
      <w:bookmarkEnd w:id="46"/>
    </w:p>
    <w:p w:rsidR="00B878B3" w:rsidRDefault="00B878B3" w:rsidP="00EC412F">
      <w:r>
        <w:t xml:space="preserve">Deliverable D10.3 of the ASAMPSA_E Project </w:t>
      </w:r>
      <w:r w:rsidR="00AD0D87">
        <w:t xml:space="preserve">(Nitoi et al., 2015) </w:t>
      </w:r>
      <w:r>
        <w:t>includes a detailed list of earthquakes that affec</w:t>
      </w:r>
      <w:r>
        <w:t>t</w:t>
      </w:r>
      <w:r>
        <w:t>ed nuclear power plants. Among them, the foll</w:t>
      </w:r>
      <w:r w:rsidR="000868F0">
        <w:t>owing deserve special attention.</w:t>
      </w:r>
    </w:p>
    <w:p w:rsidR="008336AE" w:rsidRPr="00E72F0B" w:rsidRDefault="00A275CB" w:rsidP="00E72F0B">
      <w:pPr>
        <w:pStyle w:val="Titre3"/>
        <w:rPr>
          <w:lang w:val="en-US"/>
        </w:rPr>
      </w:pPr>
      <w:bookmarkStart w:id="47" w:name="_Toc456011870"/>
      <w:r w:rsidRPr="00E72F0B">
        <w:rPr>
          <w:lang w:val="en-US"/>
        </w:rPr>
        <w:t xml:space="preserve">Kozloduy </w:t>
      </w:r>
      <w:r w:rsidR="008C257B" w:rsidRPr="00E72F0B">
        <w:rPr>
          <w:lang w:val="en-US"/>
        </w:rPr>
        <w:t xml:space="preserve">NPP </w:t>
      </w:r>
      <w:r w:rsidRPr="00E72F0B">
        <w:rPr>
          <w:lang w:val="en-US"/>
        </w:rPr>
        <w:t>(</w:t>
      </w:r>
      <w:r w:rsidR="008C257B" w:rsidRPr="00E72F0B">
        <w:rPr>
          <w:lang w:val="en-US"/>
        </w:rPr>
        <w:t>Bulgaria)</w:t>
      </w:r>
      <w:bookmarkEnd w:id="47"/>
    </w:p>
    <w:p w:rsidR="00A275CB" w:rsidRPr="004B3B07" w:rsidRDefault="00A275CB" w:rsidP="00A275CB">
      <w:pPr>
        <w:rPr>
          <w:lang w:val="fr-FR"/>
        </w:rPr>
      </w:pPr>
      <w:r w:rsidRPr="004B3B07">
        <w:rPr>
          <w:lang w:val="fr-FR"/>
        </w:rPr>
        <w:t xml:space="preserve">Vrancea earthquake </w:t>
      </w:r>
      <w:r w:rsidR="00BE7F05" w:rsidRPr="004B3B07">
        <w:rPr>
          <w:lang w:val="fr-FR"/>
        </w:rPr>
        <w:t>04.03.</w:t>
      </w:r>
      <w:r w:rsidR="008C257B" w:rsidRPr="004B3B07">
        <w:rPr>
          <w:lang w:val="fr-FR"/>
        </w:rPr>
        <w:t>1977, Mw 7.2</w:t>
      </w:r>
      <w:r w:rsidR="007D4583" w:rsidRPr="004B3B07">
        <w:rPr>
          <w:lang w:val="fr-FR"/>
        </w:rPr>
        <w:t xml:space="preserve"> (R</w:t>
      </w:r>
      <w:r w:rsidR="00AD0D87" w:rsidRPr="004B3B07">
        <w:rPr>
          <w:lang w:val="fr-FR"/>
        </w:rPr>
        <w:t>a</w:t>
      </w:r>
      <w:r w:rsidR="007D4583" w:rsidRPr="004B3B07">
        <w:rPr>
          <w:lang w:val="fr-FR"/>
        </w:rPr>
        <w:t>du et al., 1979)</w:t>
      </w:r>
    </w:p>
    <w:p w:rsidR="00650F02" w:rsidRPr="00650F02" w:rsidRDefault="00076909" w:rsidP="00A275CB">
      <w:r w:rsidRPr="00650F02">
        <w:t xml:space="preserve">The earthquake </w:t>
      </w:r>
      <w:r w:rsidR="00650F02" w:rsidRPr="00650F02">
        <w:t xml:space="preserve">with its epicenter in Romania (region of Vrancea, c. 270 km from the site) </w:t>
      </w:r>
      <w:r w:rsidRPr="00650F02">
        <w:t>was felt with an inte</w:t>
      </w:r>
      <w:r w:rsidRPr="00650F02">
        <w:t>n</w:t>
      </w:r>
      <w:r w:rsidRPr="00650F02">
        <w:t xml:space="preserve">sity of MSK~6 at the site. </w:t>
      </w:r>
      <w:r w:rsidR="00650F02" w:rsidRPr="00650F02">
        <w:t>The event had no impact on safety.</w:t>
      </w:r>
    </w:p>
    <w:p w:rsidR="00AB0F31" w:rsidRPr="001D2827" w:rsidRDefault="00AB0F31" w:rsidP="00AB0F31">
      <w:r w:rsidRPr="008336AE">
        <w:rPr>
          <w:b/>
          <w:i/>
        </w:rPr>
        <w:t>“Lessons learned”</w:t>
      </w:r>
      <w:r w:rsidRPr="001D2827">
        <w:t xml:space="preserve"> includes the re-evaluation of site seismicity and upgrading of SSCs. An overview on the most important activities on the Kozloduy NPP site till 1997 can be found in IAEA (2001). Issues concerning the site sei</w:t>
      </w:r>
      <w:r w:rsidRPr="001D2827">
        <w:t>s</w:t>
      </w:r>
      <w:r w:rsidRPr="001D2827">
        <w:t>micity are also described and discussed in BNRA (2011) and BNRA (2012)</w:t>
      </w:r>
      <w:r w:rsidR="00F7701C">
        <w:t xml:space="preserve"> stating</w:t>
      </w:r>
      <w:r w:rsidRPr="001D2827">
        <w:t xml:space="preserve"> that according to the design of Kozloduy NPP Units 1 and 2 (of 1973), the seismic activity in the region had been evaluated as below </w:t>
      </w:r>
      <w:r w:rsidR="00F13639" w:rsidRPr="001D2827">
        <w:t>I</w:t>
      </w:r>
      <w:r w:rsidR="00F13639" w:rsidRPr="001D2827">
        <w:rPr>
          <w:vertAlign w:val="subscript"/>
        </w:rPr>
        <w:t>MSK</w:t>
      </w:r>
      <w:r w:rsidR="00F13639" w:rsidRPr="001D2827">
        <w:t>=</w:t>
      </w:r>
      <w:r w:rsidRPr="001D2827">
        <w:t xml:space="preserve">VI degree of the Medvedev-Sponheuer-Karnik seismic intensity scale (MSK-64). Following the March 1977 earthquake, a site seismic re-evaluation had been per-formed. The Operational Base Earthquake (OBE) was set to </w:t>
      </w:r>
      <w:r w:rsidR="00F13639" w:rsidRPr="001D2827">
        <w:t>I</w:t>
      </w:r>
      <w:r w:rsidR="00F13639" w:rsidRPr="001D2827">
        <w:rPr>
          <w:vertAlign w:val="subscript"/>
        </w:rPr>
        <w:t>MSK</w:t>
      </w:r>
      <w:r w:rsidR="00F13639" w:rsidRPr="001D2827">
        <w:t xml:space="preserve">=VI </w:t>
      </w:r>
      <w:r w:rsidRPr="001D2827">
        <w:t>degree with Peak Ground Acceleration (PGA) of 0.05g and Design Basis Eart</w:t>
      </w:r>
      <w:r w:rsidRPr="001D2827">
        <w:t>h</w:t>
      </w:r>
      <w:r w:rsidRPr="001D2827">
        <w:t xml:space="preserve">quake (DBE) to </w:t>
      </w:r>
      <w:r w:rsidR="00F13639" w:rsidRPr="001D2827">
        <w:t>I</w:t>
      </w:r>
      <w:r w:rsidR="00F13639" w:rsidRPr="001D2827">
        <w:rPr>
          <w:vertAlign w:val="subscript"/>
        </w:rPr>
        <w:t>MSK</w:t>
      </w:r>
      <w:r w:rsidR="00F13639" w:rsidRPr="001D2827">
        <w:t>=VI</w:t>
      </w:r>
      <w:r w:rsidRPr="001D2827">
        <w:t>I degree with PGA of 0.1g.</w:t>
      </w:r>
    </w:p>
    <w:p w:rsidR="00AB0F31" w:rsidRPr="001D2827" w:rsidRDefault="00AB0F31" w:rsidP="00AB0F31">
      <w:r w:rsidRPr="001D2827">
        <w:t>The lessons learned from this strongest earthquake were taken into consideration in the design on the next units built on the Kozlo</w:t>
      </w:r>
      <w:r w:rsidR="00F13639" w:rsidRPr="001D2827">
        <w:t xml:space="preserve">duy NPP site. According to the </w:t>
      </w:r>
      <w:r w:rsidRPr="001D2827">
        <w:t>BNRA</w:t>
      </w:r>
      <w:r w:rsidR="00F13639" w:rsidRPr="001D2827">
        <w:t xml:space="preserve"> (</w:t>
      </w:r>
      <w:r w:rsidRPr="001D2827">
        <w:t>2012), the following site maximum seismic impact had been adopted in the design of Kozloduy NPP Units 3 and 4:</w:t>
      </w:r>
    </w:p>
    <w:p w:rsidR="00AB0F31" w:rsidRPr="001D2827" w:rsidRDefault="00AB0F31" w:rsidP="00860D1D">
      <w:pPr>
        <w:numPr>
          <w:ilvl w:val="0"/>
          <w:numId w:val="44"/>
        </w:numPr>
      </w:pPr>
      <w:r w:rsidRPr="001D2827">
        <w:t xml:space="preserve">OBE - </w:t>
      </w:r>
      <w:r w:rsidR="00F13639" w:rsidRPr="001D2827">
        <w:t>I</w:t>
      </w:r>
      <w:r w:rsidR="00F13639" w:rsidRPr="001D2827">
        <w:rPr>
          <w:vertAlign w:val="subscript"/>
        </w:rPr>
        <w:t>MSK</w:t>
      </w:r>
      <w:r w:rsidR="00F13639" w:rsidRPr="001D2827">
        <w:t>=VI (</w:t>
      </w:r>
      <w:r w:rsidRPr="001D2827">
        <w:t>MSK-64 scale</w:t>
      </w:r>
      <w:r w:rsidR="00F13639" w:rsidRPr="001D2827">
        <w:t>);</w:t>
      </w:r>
    </w:p>
    <w:p w:rsidR="00AB0F31" w:rsidRPr="001D2827" w:rsidRDefault="00AB0F31" w:rsidP="00860D1D">
      <w:pPr>
        <w:numPr>
          <w:ilvl w:val="0"/>
          <w:numId w:val="44"/>
        </w:numPr>
      </w:pPr>
      <w:r w:rsidRPr="001D2827">
        <w:t xml:space="preserve">DBE - </w:t>
      </w:r>
      <w:r w:rsidR="00F13639" w:rsidRPr="001D2827">
        <w:t>I</w:t>
      </w:r>
      <w:r w:rsidR="00F13639" w:rsidRPr="001D2827">
        <w:rPr>
          <w:vertAlign w:val="subscript"/>
        </w:rPr>
        <w:t>MSK</w:t>
      </w:r>
      <w:r w:rsidR="00F13639" w:rsidRPr="001D2827">
        <w:t>=VII (</w:t>
      </w:r>
      <w:r w:rsidRPr="001D2827">
        <w:t>MSK-64 scale</w:t>
      </w:r>
      <w:r w:rsidR="00F13639" w:rsidRPr="001D2827">
        <w:t>)</w:t>
      </w:r>
      <w:r w:rsidRPr="001D2827">
        <w:t>;</w:t>
      </w:r>
    </w:p>
    <w:p w:rsidR="00AB0F31" w:rsidRPr="001D2827" w:rsidRDefault="00AB0F31" w:rsidP="00860D1D">
      <w:pPr>
        <w:numPr>
          <w:ilvl w:val="0"/>
          <w:numId w:val="44"/>
        </w:numPr>
      </w:pPr>
      <w:r w:rsidRPr="001D2827">
        <w:t>Surface response spectrum – the spectrum of Vrancha earthquake accelerogram dated 04.03.1977, re</w:t>
      </w:r>
      <w:r w:rsidRPr="001D2827">
        <w:t>c</w:t>
      </w:r>
      <w:r w:rsidRPr="001D2827">
        <w:t>orded in Bucuresti and aligned to PGA of 0.1 g.</w:t>
      </w:r>
    </w:p>
    <w:p w:rsidR="00AB0F31" w:rsidRPr="001D2827" w:rsidRDefault="00AB0F31" w:rsidP="00860D1D">
      <w:pPr>
        <w:numPr>
          <w:ilvl w:val="0"/>
          <w:numId w:val="44"/>
        </w:numPr>
      </w:pPr>
      <w:r w:rsidRPr="001D2827">
        <w:t>The design of Units 5 and 6 had been developed based on the following seismic characteristics:</w:t>
      </w:r>
    </w:p>
    <w:p w:rsidR="00AB0F31" w:rsidRPr="001D2827" w:rsidRDefault="00AB0F31" w:rsidP="00860D1D">
      <w:pPr>
        <w:numPr>
          <w:ilvl w:val="0"/>
          <w:numId w:val="44"/>
        </w:numPr>
      </w:pPr>
      <w:r w:rsidRPr="001D2827">
        <w:t>OBE - VI degree by MSK-64 scale with PGA of 0.05g for recurrence period of 100 years; and</w:t>
      </w:r>
    </w:p>
    <w:p w:rsidR="00AB0F31" w:rsidRPr="001D2827" w:rsidRDefault="00AB0F31" w:rsidP="00860D1D">
      <w:pPr>
        <w:numPr>
          <w:ilvl w:val="0"/>
          <w:numId w:val="44"/>
        </w:numPr>
      </w:pPr>
      <w:r w:rsidRPr="001D2827">
        <w:t>DBE - VII degree by MSK 64 scale with PGA of 0.1g for recurrence period of 10</w:t>
      </w:r>
      <w:r w:rsidR="000F196E">
        <w:t>,</w:t>
      </w:r>
      <w:r w:rsidRPr="001D2827">
        <w:t>000 years.</w:t>
      </w:r>
    </w:p>
    <w:p w:rsidR="00AB0F31" w:rsidRPr="001D2827" w:rsidRDefault="001D2827" w:rsidP="00AB0F31">
      <w:r w:rsidRPr="001D2827">
        <w:t>A further r</w:t>
      </w:r>
      <w:r w:rsidR="00AB0F31" w:rsidRPr="001D2827">
        <w:t>eassessment of seismic design basis</w:t>
      </w:r>
      <w:r w:rsidRPr="001D2827">
        <w:t xml:space="preserve"> was performed </w:t>
      </w:r>
      <w:r w:rsidR="00AB0F31" w:rsidRPr="001D2827">
        <w:t>during the period 1990-1992 under a joint IAEA pr</w:t>
      </w:r>
      <w:r w:rsidR="00AB0F31" w:rsidRPr="001D2827">
        <w:t>o</w:t>
      </w:r>
      <w:r w:rsidR="00AB0F31" w:rsidRPr="001D2827">
        <w:t>ject BUL 9/012 “Site and Seismic Safety of Kozloduy and Belene NPPs”</w:t>
      </w:r>
      <w:r w:rsidRPr="001D2827">
        <w:t xml:space="preserve"> (BNRA, 2011; 2012). N</w:t>
      </w:r>
      <w:r w:rsidR="00AB0F31" w:rsidRPr="001D2827">
        <w:t>ew site seismic cha</w:t>
      </w:r>
      <w:r w:rsidR="00AB0F31" w:rsidRPr="001D2827">
        <w:t>r</w:t>
      </w:r>
      <w:r w:rsidR="00AB0F31" w:rsidRPr="001D2827">
        <w:t>acteristics were defined</w:t>
      </w:r>
      <w:r w:rsidRPr="001D2827">
        <w:t xml:space="preserve"> accordingly</w:t>
      </w:r>
      <w:r w:rsidR="00AB0F31" w:rsidRPr="001D2827">
        <w:t>. Seismic levels for recurrence period of 100 and 10</w:t>
      </w:r>
      <w:r w:rsidR="000F196E">
        <w:t>,</w:t>
      </w:r>
      <w:r w:rsidR="00AB0F31" w:rsidRPr="001D2827">
        <w:t>000 years respectively were determined using probabilistic and deterministic methods. Thus, for Kozloduy NPP site</w:t>
      </w:r>
      <w:r w:rsidR="00CA6C9B">
        <w:t>,</w:t>
      </w:r>
      <w:r w:rsidR="00AB0F31" w:rsidRPr="001D2827">
        <w:t xml:space="preserve"> were defined:</w:t>
      </w:r>
    </w:p>
    <w:p w:rsidR="00AB0F31" w:rsidRPr="001D2827" w:rsidRDefault="000868F0" w:rsidP="00860D1D">
      <w:pPr>
        <w:numPr>
          <w:ilvl w:val="0"/>
          <w:numId w:val="44"/>
        </w:numPr>
      </w:pPr>
      <w:r>
        <w:tab/>
        <w:t>f</w:t>
      </w:r>
      <w:r w:rsidR="00AB0F31" w:rsidRPr="001D2827">
        <w:t>or recurrence period of 100 years - PGA of 0.10g;</w:t>
      </w:r>
    </w:p>
    <w:p w:rsidR="00AB0F31" w:rsidRPr="001D2827" w:rsidRDefault="000868F0" w:rsidP="00860D1D">
      <w:pPr>
        <w:numPr>
          <w:ilvl w:val="0"/>
          <w:numId w:val="44"/>
        </w:numPr>
      </w:pPr>
      <w:r>
        <w:tab/>
        <w:t>f</w:t>
      </w:r>
      <w:r w:rsidR="00AB0F31" w:rsidRPr="001D2827">
        <w:t>or recurrence period of 10</w:t>
      </w:r>
      <w:r w:rsidR="000F196E">
        <w:t>,</w:t>
      </w:r>
      <w:r w:rsidR="00AB0F31" w:rsidRPr="001D2827">
        <w:t>000 years - PGA of 0.20g; and</w:t>
      </w:r>
    </w:p>
    <w:p w:rsidR="00AB0F31" w:rsidRPr="001D2827" w:rsidRDefault="000868F0" w:rsidP="00860D1D">
      <w:pPr>
        <w:numPr>
          <w:ilvl w:val="0"/>
          <w:numId w:val="44"/>
        </w:numPr>
      </w:pPr>
      <w:r>
        <w:tab/>
        <w:t>r</w:t>
      </w:r>
      <w:r w:rsidR="00AB0F31" w:rsidRPr="001D2827">
        <w:t>esultant floor design response spectra and respective three-component accelerograms for duration of 61</w:t>
      </w:r>
      <w:r w:rsidR="000F196E">
        <w:t xml:space="preserve"> </w:t>
      </w:r>
      <w:r w:rsidR="00AB0F31" w:rsidRPr="001D2827">
        <w:t>s</w:t>
      </w:r>
      <w:r w:rsidR="000F196E">
        <w:t>econds</w:t>
      </w:r>
      <w:r w:rsidR="00AB0F31" w:rsidRPr="001D2827">
        <w:t>.</w:t>
      </w:r>
    </w:p>
    <w:p w:rsidR="00AB0F31" w:rsidRPr="001D2827" w:rsidRDefault="00AB0F31" w:rsidP="00AB0F31">
      <w:r w:rsidRPr="001D2827">
        <w:t>Moreover, following an IAEA recommendation, floor design response spectra and respective three</w:t>
      </w:r>
      <w:r w:rsidR="001D2827" w:rsidRPr="001D2827">
        <w:t xml:space="preserve"> </w:t>
      </w:r>
      <w:r w:rsidRPr="001D2827">
        <w:t>component a</w:t>
      </w:r>
      <w:r w:rsidRPr="001D2827">
        <w:t>c</w:t>
      </w:r>
      <w:r w:rsidRPr="001D2827">
        <w:t>celerograms (for duration of 20 s) were additionally defined for local earthquakes.</w:t>
      </w:r>
    </w:p>
    <w:p w:rsidR="00AB0F31" w:rsidRPr="001D2827" w:rsidRDefault="00AB0F31" w:rsidP="00AB0F31">
      <w:r w:rsidRPr="001D2827">
        <w:t xml:space="preserve">The seismic characteristics – seismic levels, resultant design floor response spectra and respective three-component accelerograms were reviewed and confirmed by IAEA experts in the period from 1992 till 2008. The so </w:t>
      </w:r>
      <w:r w:rsidRPr="001D2827">
        <w:lastRenderedPageBreak/>
        <w:t>called Review Level Earthquake (RLE) was also defined. This is the level, for which all SSCs of 1</w:t>
      </w:r>
      <w:r w:rsidRPr="001D2827">
        <w:rPr>
          <w:vertAlign w:val="superscript"/>
        </w:rPr>
        <w:t>st</w:t>
      </w:r>
      <w:r w:rsidRPr="001D2827">
        <w:t xml:space="preserve"> seismic category of plants already designed and commissioned should be reviewed in respect of seismic resistance (BNRA, 2012).</w:t>
      </w:r>
    </w:p>
    <w:p w:rsidR="00AB0F31" w:rsidRPr="001D2827" w:rsidRDefault="00AB0F31" w:rsidP="00AB0F31">
      <w:r w:rsidRPr="001D2827">
        <w:t>Current seismic characteristics of the Kozloduy NPP site were defined in the period 1990-1992 and are valid for all facilities located on the site (BNRA, 2011</w:t>
      </w:r>
      <w:r w:rsidR="001D2827" w:rsidRPr="001D2827">
        <w:t xml:space="preserve">; </w:t>
      </w:r>
      <w:r w:rsidRPr="001D2827">
        <w:t>2012).</w:t>
      </w:r>
      <w:r w:rsidR="001D2827" w:rsidRPr="001D2827">
        <w:t xml:space="preserve"> </w:t>
      </w:r>
      <w:r w:rsidRPr="001D2827">
        <w:t>It should be noted that only two units - Unit 5 and Unit 6, co</w:t>
      </w:r>
      <w:r w:rsidRPr="001D2827">
        <w:t>m</w:t>
      </w:r>
      <w:r w:rsidRPr="001D2827">
        <w:t>missioned respectively in 1987 and 1991, are in operation. In pursuance of the Bulgarian commitments made for the country’s accession to the European Union, the first four reactors on the Kozloduy NPP site were shut down before the end of their design lifetime.</w:t>
      </w:r>
    </w:p>
    <w:p w:rsidR="00D61BA6" w:rsidRPr="00E72F0B" w:rsidRDefault="00D61BA6" w:rsidP="00D61BA6">
      <w:pPr>
        <w:pStyle w:val="Titre3"/>
        <w:rPr>
          <w:lang w:val="en-US"/>
        </w:rPr>
      </w:pPr>
      <w:bookmarkStart w:id="48" w:name="_Toc456011871"/>
      <w:r w:rsidRPr="00E72F0B">
        <w:rPr>
          <w:lang w:val="en-US"/>
        </w:rPr>
        <w:t>Humbolt Bay NPP (California, USA)</w:t>
      </w:r>
      <w:bookmarkEnd w:id="48"/>
      <w:r w:rsidRPr="00E72F0B">
        <w:rPr>
          <w:lang w:val="en-US"/>
        </w:rPr>
        <w:t xml:space="preserve"> </w:t>
      </w:r>
    </w:p>
    <w:p w:rsidR="00D61BA6" w:rsidRDefault="00D61BA6" w:rsidP="00D61BA6">
      <w:r>
        <w:t>Eureka earthquake 08.11.1980, M 7.2</w:t>
      </w:r>
    </w:p>
    <w:p w:rsidR="00D61BA6" w:rsidRDefault="00D61BA6" w:rsidP="00D61BA6">
      <w:r>
        <w:t>The earthquake epicentre was located at a distance of 120 km from the site. The peak ground acceleration assoc</w:t>
      </w:r>
      <w:r>
        <w:t>i</w:t>
      </w:r>
      <w:r>
        <w:t xml:space="preserve">ated with the event (free flied) was 0.2 – 0.25 g while the plant was originally designed for 0.25 g and upgraded to 0.5 g. The event did not cause visable damage (IAEA, 2003 </w:t>
      </w:r>
      <w:r w:rsidRPr="008C257B">
        <w:rPr>
          <w:color w:val="0070C0"/>
        </w:rPr>
        <w:t>TECDOC-1341</w:t>
      </w:r>
      <w:r w:rsidR="00136FAE">
        <w:t>).</w:t>
      </w:r>
    </w:p>
    <w:p w:rsidR="00D61BA6" w:rsidRDefault="00D61BA6" w:rsidP="00D61BA6">
      <w:r>
        <w:t>IAEA (2003) lists th</w:t>
      </w:r>
      <w:r w:rsidR="00136FAE">
        <w:t>e following “Lessions learned”:</w:t>
      </w:r>
    </w:p>
    <w:p w:rsidR="00D61BA6" w:rsidRPr="00274CE2" w:rsidRDefault="00D61BA6" w:rsidP="00860D1D">
      <w:pPr>
        <w:numPr>
          <w:ilvl w:val="0"/>
          <w:numId w:val="23"/>
        </w:numPr>
        <w:rPr>
          <w:i/>
        </w:rPr>
      </w:pPr>
      <w:r>
        <w:rPr>
          <w:i/>
        </w:rPr>
        <w:t>“</w:t>
      </w:r>
      <w:r w:rsidRPr="00274CE2">
        <w:rPr>
          <w:i/>
        </w:rPr>
        <w:t>Upgraded structures can withstand events higher than the original design basis.</w:t>
      </w:r>
      <w:r>
        <w:rPr>
          <w:i/>
        </w:rPr>
        <w:t>”</w:t>
      </w:r>
    </w:p>
    <w:p w:rsidR="00D61BA6" w:rsidRPr="00E72F0B" w:rsidRDefault="00D61BA6" w:rsidP="00D61BA6">
      <w:pPr>
        <w:pStyle w:val="Titre3"/>
        <w:rPr>
          <w:lang w:val="en-US"/>
        </w:rPr>
      </w:pPr>
      <w:bookmarkStart w:id="49" w:name="_Toc456011872"/>
      <w:r w:rsidRPr="00E72F0B">
        <w:rPr>
          <w:lang w:val="en-US"/>
        </w:rPr>
        <w:t>Perry NPP (Ohio, USA)</w:t>
      </w:r>
      <w:bookmarkEnd w:id="49"/>
      <w:r w:rsidRPr="00E72F0B">
        <w:rPr>
          <w:lang w:val="en-US"/>
        </w:rPr>
        <w:t xml:space="preserve"> </w:t>
      </w:r>
    </w:p>
    <w:p w:rsidR="00D61BA6" w:rsidRDefault="00D61BA6" w:rsidP="00D61BA6">
      <w:r>
        <w:t>Leroy earthquake 31.01.1986, M 5</w:t>
      </w:r>
    </w:p>
    <w:p w:rsidR="00D61BA6" w:rsidRDefault="00D61BA6" w:rsidP="00D61BA6">
      <w:r>
        <w:t>The earthquake epicentre was located 18 km from the NPP. The event caused strong motion duration of 1 second and a total earthquake duration of 2.7 seconds at the site. Peak ground acc</w:t>
      </w:r>
      <w:r w:rsidR="000868F0">
        <w:t>eleration of 0.19 g exceeded th</w:t>
      </w:r>
      <w:r>
        <w:t>e d</w:t>
      </w:r>
      <w:r>
        <w:t>e</w:t>
      </w:r>
      <w:r>
        <w:t xml:space="preserve">sign basis of 0.15 g. All SSCs operated properly during and after the earthquake. Post-event inspections and walkdowns by a large group of technicians did not find damage to any SSC (IAEA, 2003 </w:t>
      </w:r>
      <w:r w:rsidRPr="008C257B">
        <w:rPr>
          <w:color w:val="0070C0"/>
        </w:rPr>
        <w:t>TECDOC-1341</w:t>
      </w:r>
      <w:r>
        <w:t>).</w:t>
      </w:r>
    </w:p>
    <w:p w:rsidR="00D61BA6" w:rsidRDefault="00D61BA6" w:rsidP="00D61BA6">
      <w:r>
        <w:t>IAEA (2003) lists the following “Lessio</w:t>
      </w:r>
      <w:r w:rsidR="00136FAE">
        <w:t>ns learned”:</w:t>
      </w:r>
    </w:p>
    <w:p w:rsidR="00D61BA6" w:rsidRPr="00365051" w:rsidRDefault="00D61BA6" w:rsidP="00860D1D">
      <w:pPr>
        <w:numPr>
          <w:ilvl w:val="0"/>
          <w:numId w:val="23"/>
        </w:numPr>
        <w:rPr>
          <w:i/>
        </w:rPr>
      </w:pPr>
      <w:r>
        <w:rPr>
          <w:i/>
        </w:rPr>
        <w:t>“PGA</w:t>
      </w:r>
      <w:r w:rsidRPr="00365051">
        <w:rPr>
          <w:i/>
        </w:rPr>
        <w:t xml:space="preserve"> as damage indicator is not a suitable choice, while CAV or relative displacement confirmed their validity”</w:t>
      </w:r>
    </w:p>
    <w:p w:rsidR="00D61BA6" w:rsidRPr="00365051" w:rsidRDefault="00D61BA6" w:rsidP="00860D1D">
      <w:pPr>
        <w:numPr>
          <w:ilvl w:val="0"/>
          <w:numId w:val="23"/>
        </w:numPr>
        <w:rPr>
          <w:i/>
        </w:rPr>
      </w:pPr>
      <w:r w:rsidRPr="00365051">
        <w:rPr>
          <w:i/>
        </w:rPr>
        <w:t>“Low energy earthquakes, even if very close to the site, induce low damage because of their short dur</w:t>
      </w:r>
      <w:r w:rsidRPr="00365051">
        <w:rPr>
          <w:i/>
        </w:rPr>
        <w:t>a</w:t>
      </w:r>
      <w:r w:rsidRPr="00365051">
        <w:rPr>
          <w:i/>
        </w:rPr>
        <w:t>tion and high frequency content”</w:t>
      </w:r>
    </w:p>
    <w:p w:rsidR="00D61BA6" w:rsidRPr="00365051" w:rsidRDefault="00D61BA6" w:rsidP="00860D1D">
      <w:pPr>
        <w:numPr>
          <w:ilvl w:val="0"/>
          <w:numId w:val="23"/>
        </w:numPr>
        <w:rPr>
          <w:i/>
        </w:rPr>
      </w:pPr>
      <w:r w:rsidRPr="00365051">
        <w:rPr>
          <w:i/>
        </w:rPr>
        <w:t>“65 people for a walkdown is too large a number and technical outcomes could be confused and contr</w:t>
      </w:r>
      <w:r w:rsidRPr="00365051">
        <w:rPr>
          <w:i/>
        </w:rPr>
        <w:t>a</w:t>
      </w:r>
      <w:r w:rsidRPr="00365051">
        <w:rPr>
          <w:i/>
        </w:rPr>
        <w:t>dictory”</w:t>
      </w:r>
    </w:p>
    <w:p w:rsidR="00D61BA6" w:rsidRPr="00E72F0B" w:rsidRDefault="00D61BA6" w:rsidP="00D61BA6">
      <w:pPr>
        <w:pStyle w:val="Titre3"/>
        <w:rPr>
          <w:lang w:val="en-US"/>
        </w:rPr>
      </w:pPr>
      <w:bookmarkStart w:id="50" w:name="_Toc456011873"/>
      <w:r>
        <w:rPr>
          <w:lang w:val="en-US"/>
        </w:rPr>
        <w:t xml:space="preserve">Metzamor NPP </w:t>
      </w:r>
      <w:r w:rsidRPr="00E72F0B">
        <w:rPr>
          <w:lang w:val="en-US"/>
        </w:rPr>
        <w:t>(</w:t>
      </w:r>
      <w:r>
        <w:rPr>
          <w:lang w:val="en-US"/>
        </w:rPr>
        <w:t>Armenia</w:t>
      </w:r>
      <w:r w:rsidRPr="00E72F0B">
        <w:rPr>
          <w:lang w:val="en-US"/>
        </w:rPr>
        <w:t>)</w:t>
      </w:r>
      <w:bookmarkEnd w:id="50"/>
      <w:r w:rsidRPr="00E72F0B">
        <w:rPr>
          <w:lang w:val="en-US"/>
        </w:rPr>
        <w:t xml:space="preserve"> </w:t>
      </w:r>
    </w:p>
    <w:p w:rsidR="00D61BA6" w:rsidRPr="000868F0" w:rsidRDefault="00D61BA6" w:rsidP="00D61BA6">
      <w:pPr>
        <w:spacing w:line="320" w:lineRule="exact"/>
        <w:rPr>
          <w:rFonts w:eastAsia="Meiryo" w:cs="Meiryo"/>
          <w:szCs w:val="18"/>
        </w:rPr>
      </w:pPr>
      <w:r w:rsidRPr="000868F0">
        <w:rPr>
          <w:rFonts w:eastAsia="Meiryo" w:cs="Meiryo"/>
          <w:szCs w:val="18"/>
        </w:rPr>
        <w:t>Spitak earthquake 07.12.1988, Ms 6.8</w:t>
      </w:r>
    </w:p>
    <w:p w:rsidR="00D61BA6" w:rsidRPr="00A33A40" w:rsidRDefault="00A33A40" w:rsidP="00D61BA6">
      <w:pPr>
        <w:spacing w:line="320" w:lineRule="exact"/>
      </w:pPr>
      <w:r>
        <w:t>The Armenian (former USSR) NPP Metzamor is located about 70 km SSW of the epicentre of the 1988 Spitak eart</w:t>
      </w:r>
      <w:r>
        <w:t>h</w:t>
      </w:r>
      <w:r>
        <w:t xml:space="preserve">quake. </w:t>
      </w:r>
      <w:r w:rsidR="00D61BA6">
        <w:t xml:space="preserve">After the earthquake </w:t>
      </w:r>
      <w:r>
        <w:t xml:space="preserve">the </w:t>
      </w:r>
      <w:hyperlink r:id="rId14" w:tooltip="Council of Ministers of the Soviet Union" w:history="1">
        <w:r w:rsidR="00D61BA6" w:rsidRPr="00A33A40">
          <w:t>USSR Ministers Council</w:t>
        </w:r>
      </w:hyperlink>
      <w:r w:rsidR="00D61BA6">
        <w:t xml:space="preserve"> decided </w:t>
      </w:r>
      <w:r w:rsidR="00E02119">
        <w:t>to shut down</w:t>
      </w:r>
      <w:r w:rsidR="00D61BA6">
        <w:t xml:space="preserve"> the existing two units of the NPP.</w:t>
      </w:r>
      <w:r>
        <w:t xml:space="preserve"> Detailed descriptions of the impact of the earthquake </w:t>
      </w:r>
      <w:r w:rsidR="00D60F91">
        <w:t xml:space="preserve">on the NPP and </w:t>
      </w:r>
      <w:r>
        <w:t xml:space="preserve">of damage </w:t>
      </w:r>
      <w:r w:rsidR="00D60F91">
        <w:t xml:space="preserve">to SSCs </w:t>
      </w:r>
      <w:r w:rsidR="00E02119">
        <w:t>are not available. In 1995 the Unit 2 of the NPP was re-commissioned after retrofitting of the reactor building, DG buildings and seismic qualification of the primary circuit equipment</w:t>
      </w:r>
      <w:r w:rsidR="00D60F91">
        <w:t>. Since 1995 several additional seismic upgrading programs were implemented. Actions further include novel PSHA studies for the site (Armenian Nuclear Regulatory Authority, 2015).</w:t>
      </w:r>
    </w:p>
    <w:p w:rsidR="00E72F0B" w:rsidRPr="00E72F0B" w:rsidRDefault="00650F02" w:rsidP="00E72F0B">
      <w:pPr>
        <w:pStyle w:val="Titre3"/>
        <w:rPr>
          <w:lang w:val="en-US"/>
        </w:rPr>
      </w:pPr>
      <w:bookmarkStart w:id="51" w:name="_Toc456011874"/>
      <w:r w:rsidRPr="00E72F0B">
        <w:rPr>
          <w:lang w:val="en-US"/>
        </w:rPr>
        <w:lastRenderedPageBreak/>
        <w:t>Kashiwazaki Kariwa (Japan)</w:t>
      </w:r>
      <w:bookmarkEnd w:id="51"/>
      <w:r w:rsidRPr="00E72F0B">
        <w:rPr>
          <w:lang w:val="en-US"/>
        </w:rPr>
        <w:t xml:space="preserve"> </w:t>
      </w:r>
    </w:p>
    <w:p w:rsidR="00D73E17" w:rsidRPr="00136FAE" w:rsidRDefault="00D73E17" w:rsidP="00D73E17">
      <w:pPr>
        <w:spacing w:line="320" w:lineRule="exact"/>
        <w:rPr>
          <w:rFonts w:eastAsia="Meiryo" w:cs="Meiryo"/>
          <w:szCs w:val="18"/>
        </w:rPr>
      </w:pPr>
      <w:r w:rsidRPr="00136FAE">
        <w:rPr>
          <w:rFonts w:eastAsia="Meiryo" w:cs="Meiryo"/>
          <w:szCs w:val="18"/>
        </w:rPr>
        <w:t>Niigataken Chuetsu-Oki (</w:t>
      </w:r>
      <w:r w:rsidRPr="00136FAE">
        <w:rPr>
          <w:rFonts w:eastAsia="Meiryo" w:cs="Meiryo" w:hint="eastAsia"/>
          <w:szCs w:val="18"/>
        </w:rPr>
        <w:t>NCO</w:t>
      </w:r>
      <w:r w:rsidRPr="00136FAE">
        <w:rPr>
          <w:rFonts w:eastAsia="Meiryo" w:cs="Meiryo"/>
          <w:szCs w:val="18"/>
        </w:rPr>
        <w:t>) earthquake 16.07.2007, Mw 6.6</w:t>
      </w:r>
    </w:p>
    <w:p w:rsidR="00D73E17" w:rsidRPr="00136FAE" w:rsidRDefault="00D73E17" w:rsidP="00D73E17">
      <w:pPr>
        <w:autoSpaceDE w:val="0"/>
        <w:autoSpaceDN w:val="0"/>
        <w:adjustRightInd w:val="0"/>
        <w:spacing w:line="320" w:lineRule="exact"/>
        <w:rPr>
          <w:rFonts w:eastAsia="TTA6Co00" w:cs="TTA6Co00"/>
          <w:szCs w:val="18"/>
        </w:rPr>
      </w:pPr>
      <w:r w:rsidRPr="00136FAE">
        <w:rPr>
          <w:rFonts w:eastAsia="Meiryo" w:cs="Meiryo"/>
          <w:szCs w:val="18"/>
        </w:rPr>
        <w:t xml:space="preserve">The </w:t>
      </w:r>
      <w:r w:rsidRPr="00136FAE">
        <w:rPr>
          <w:rFonts w:eastAsia="TTA6Co00" w:cs="TTA6Co00"/>
          <w:szCs w:val="18"/>
        </w:rPr>
        <w:t xml:space="preserve">epicentre of the </w:t>
      </w:r>
      <w:r w:rsidRPr="00136FAE">
        <w:rPr>
          <w:rFonts w:eastAsia="Meiryo" w:cs="Meiryo"/>
          <w:szCs w:val="18"/>
        </w:rPr>
        <w:t xml:space="preserve">earthquake </w:t>
      </w:r>
      <w:r w:rsidRPr="00136FAE">
        <w:rPr>
          <w:rFonts w:eastAsia="TTA6Co00" w:cs="TTA6Co00"/>
          <w:szCs w:val="18"/>
        </w:rPr>
        <w:t xml:space="preserve">was about 16 km north of the site of the Kashiwazaki-Kariwa NPP. </w:t>
      </w:r>
    </w:p>
    <w:p w:rsidR="00D73E17" w:rsidRDefault="00D73E17" w:rsidP="00D73E17">
      <w:pPr>
        <w:autoSpaceDE w:val="0"/>
        <w:autoSpaceDN w:val="0"/>
        <w:adjustRightInd w:val="0"/>
        <w:spacing w:line="320" w:lineRule="exact"/>
        <w:rPr>
          <w:rFonts w:eastAsia="Meiryo" w:cs="Meiryo"/>
          <w:szCs w:val="18"/>
        </w:rPr>
      </w:pPr>
      <w:r w:rsidRPr="00136FAE">
        <w:rPr>
          <w:rFonts w:eastAsia="Meiryo" w:cs="Meiryo"/>
          <w:szCs w:val="18"/>
        </w:rPr>
        <w:t>There are seven units in Kashiwazaki-Kariwa NPP site.</w:t>
      </w:r>
    </w:p>
    <w:p w:rsidR="00136FAE" w:rsidRPr="00136FAE" w:rsidRDefault="00136FAE" w:rsidP="00D73E17">
      <w:pPr>
        <w:autoSpaceDE w:val="0"/>
        <w:autoSpaceDN w:val="0"/>
        <w:adjustRightInd w:val="0"/>
        <w:spacing w:line="320" w:lineRule="exact"/>
        <w:rPr>
          <w:rFonts w:eastAsia="TTA6Co00" w:cs="TTA6Co00"/>
          <w:szCs w:val="18"/>
        </w:rPr>
      </w:pPr>
    </w:p>
    <w:p w:rsidR="00D73E17" w:rsidRPr="00136FAE" w:rsidRDefault="00D73E17" w:rsidP="00D73E17">
      <w:pPr>
        <w:autoSpaceDE w:val="0"/>
        <w:autoSpaceDN w:val="0"/>
        <w:adjustRightInd w:val="0"/>
        <w:spacing w:line="320" w:lineRule="exact"/>
        <w:rPr>
          <w:rFonts w:eastAsia="TTA6Co00" w:cs="TTA6Co00"/>
          <w:szCs w:val="18"/>
        </w:rPr>
      </w:pPr>
      <w:r w:rsidRPr="00136FAE">
        <w:rPr>
          <w:rFonts w:eastAsia="TTA6Co00" w:cs="TTA6Co00"/>
          <w:b/>
          <w:i/>
          <w:szCs w:val="18"/>
        </w:rPr>
        <w:t>Design basis:</w:t>
      </w:r>
      <w:r w:rsidRPr="00136FAE">
        <w:rPr>
          <w:rFonts w:eastAsia="TTA6Co00" w:cs="TTA6Co00"/>
          <w:szCs w:val="18"/>
        </w:rPr>
        <w:t xml:space="preserve"> The design basis earthquake ground motion was </w:t>
      </w:r>
      <w:r w:rsidRPr="00136FAE">
        <w:rPr>
          <w:rFonts w:eastAsia="TTA6Co00" w:cs="TTA6Co00" w:hint="eastAsia"/>
          <w:szCs w:val="18"/>
        </w:rPr>
        <w:t>specified at</w:t>
      </w:r>
      <w:r w:rsidRPr="00136FAE">
        <w:rPr>
          <w:rFonts w:eastAsia="TTA6Co00" w:cs="TTA6Co00"/>
          <w:szCs w:val="18"/>
        </w:rPr>
        <w:t xml:space="preserve"> the </w:t>
      </w:r>
      <w:r w:rsidRPr="00136FAE">
        <w:rPr>
          <w:rFonts w:eastAsia="TTA6Co00" w:cs="TTA6Co00" w:hint="eastAsia"/>
          <w:szCs w:val="18"/>
        </w:rPr>
        <w:t>free</w:t>
      </w:r>
      <w:r w:rsidRPr="00136FAE">
        <w:rPr>
          <w:rFonts w:eastAsia="TTA6Co00" w:cs="TTA6Co00"/>
          <w:szCs w:val="18"/>
        </w:rPr>
        <w:t xml:space="preserve"> surface </w:t>
      </w:r>
      <w:r w:rsidRPr="00136FAE">
        <w:rPr>
          <w:rFonts w:eastAsia="TTA6Co00" w:cs="TTA6Co00" w:hint="eastAsia"/>
          <w:szCs w:val="18"/>
        </w:rPr>
        <w:t xml:space="preserve">of the base stratum </w:t>
      </w:r>
      <w:r w:rsidRPr="00136FAE">
        <w:rPr>
          <w:rFonts w:eastAsia="TTA6Co00" w:cs="TTA6Co00"/>
          <w:szCs w:val="18"/>
        </w:rPr>
        <w:t xml:space="preserve">at the level of about -150m to </w:t>
      </w:r>
      <w:r w:rsidRPr="00136FAE">
        <w:rPr>
          <w:rFonts w:eastAsia="TTA6Co00" w:cs="TTA6Co00" w:hint="eastAsia"/>
          <w:szCs w:val="18"/>
        </w:rPr>
        <w:t>-</w:t>
      </w:r>
      <w:r w:rsidRPr="00136FAE">
        <w:rPr>
          <w:rFonts w:eastAsia="TTA6Co00" w:cs="TTA6Co00"/>
          <w:szCs w:val="18"/>
        </w:rPr>
        <w:t xml:space="preserve">300m (different for each unit) from the ground surface. At </w:t>
      </w:r>
      <w:r w:rsidRPr="00136FAE">
        <w:rPr>
          <w:rFonts w:eastAsia="TTA6Co00" w:cs="TTA6Co00" w:hint="eastAsia"/>
          <w:szCs w:val="18"/>
        </w:rPr>
        <w:t>the</w:t>
      </w:r>
      <w:r w:rsidRPr="00136FAE">
        <w:rPr>
          <w:rFonts w:eastAsia="TTA6Co00" w:cs="TTA6Co00"/>
          <w:szCs w:val="18"/>
        </w:rPr>
        <w:t xml:space="preserve"> time </w:t>
      </w:r>
      <w:r w:rsidRPr="00136FAE">
        <w:rPr>
          <w:rFonts w:eastAsia="TTA6Co00" w:cs="TTA6Co00" w:hint="eastAsia"/>
          <w:szCs w:val="18"/>
        </w:rPr>
        <w:t xml:space="preserve">of design, </w:t>
      </w:r>
      <w:r w:rsidRPr="00136FAE">
        <w:rPr>
          <w:rFonts w:eastAsia="TTA6Co00" w:cs="TTA6Co00"/>
          <w:szCs w:val="18"/>
        </w:rPr>
        <w:t>the vertical component of the earthquake was taken into account by static seismic force and vertical ground motion was not specified. The maximum acceleration of design basis eart</w:t>
      </w:r>
      <w:r w:rsidRPr="00136FAE">
        <w:rPr>
          <w:rFonts w:eastAsia="TTA6Co00" w:cs="TTA6Co00"/>
          <w:szCs w:val="18"/>
        </w:rPr>
        <w:t>h</w:t>
      </w:r>
      <w:r w:rsidRPr="00136FAE">
        <w:rPr>
          <w:rFonts w:eastAsia="TTA6Co00" w:cs="TTA6Co00"/>
          <w:szCs w:val="18"/>
        </w:rPr>
        <w:t>quake ground motion</w:t>
      </w:r>
      <w:r w:rsidR="00E72F0B" w:rsidRPr="00136FAE">
        <w:rPr>
          <w:rFonts w:eastAsia="TTA6Co00" w:cs="TTA6Co00"/>
          <w:szCs w:val="18"/>
        </w:rPr>
        <w:t xml:space="preserve"> is:</w:t>
      </w:r>
      <w:r w:rsidRPr="00136FAE">
        <w:rPr>
          <w:rFonts w:eastAsia="TTA6Co00" w:cs="TTA6Co00"/>
          <w:szCs w:val="18"/>
        </w:rPr>
        <w:t xml:space="preserve"> </w:t>
      </w:r>
    </w:p>
    <w:p w:rsidR="00D73E17" w:rsidRDefault="00D73E17" w:rsidP="00D73E17">
      <w:pPr>
        <w:autoSpaceDE w:val="0"/>
        <w:autoSpaceDN w:val="0"/>
        <w:adjustRightInd w:val="0"/>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H</w:t>
      </w:r>
      <w:r w:rsidRPr="00136FAE">
        <w:rPr>
          <w:rFonts w:eastAsia="TTA6Co00" w:cs="TTA6Co00"/>
          <w:szCs w:val="18"/>
        </w:rPr>
        <w:t xml:space="preserve">  450cm/s</w:t>
      </w:r>
      <w:r w:rsidRPr="00136FAE">
        <w:rPr>
          <w:rFonts w:eastAsia="TTA6Co00" w:cs="TTA6Co00"/>
          <w:szCs w:val="18"/>
          <w:vertAlign w:val="superscript"/>
        </w:rPr>
        <w:t>2</w:t>
      </w:r>
      <w:r w:rsidRPr="00136FAE">
        <w:rPr>
          <w:rFonts w:eastAsia="TTA6Co00" w:cs="TTA6Co00"/>
          <w:szCs w:val="18"/>
        </w:rPr>
        <w:t xml:space="preserve">   (in horizontal direction)</w:t>
      </w:r>
    </w:p>
    <w:p w:rsidR="00136FAE" w:rsidRPr="00136FAE" w:rsidRDefault="00136FAE" w:rsidP="00D73E17">
      <w:pPr>
        <w:autoSpaceDE w:val="0"/>
        <w:autoSpaceDN w:val="0"/>
        <w:adjustRightInd w:val="0"/>
        <w:spacing w:line="320" w:lineRule="exact"/>
        <w:rPr>
          <w:rFonts w:eastAsia="TTA6Co00" w:cs="TTA6Co00"/>
          <w:szCs w:val="18"/>
        </w:rPr>
      </w:pPr>
    </w:p>
    <w:p w:rsidR="00D73E17" w:rsidRPr="00136FAE" w:rsidRDefault="00D73E17" w:rsidP="00D73E17">
      <w:pPr>
        <w:autoSpaceDE w:val="0"/>
        <w:autoSpaceDN w:val="0"/>
        <w:adjustRightInd w:val="0"/>
        <w:spacing w:line="320" w:lineRule="exact"/>
        <w:rPr>
          <w:rFonts w:eastAsia="TTA6Co00" w:cs="TTA6Co00"/>
          <w:szCs w:val="18"/>
        </w:rPr>
      </w:pPr>
      <w:r w:rsidRPr="00136FAE">
        <w:rPr>
          <w:rFonts w:eastAsia="TTA6Co00" w:cs="TTA6Co00"/>
          <w:b/>
          <w:i/>
          <w:szCs w:val="18"/>
        </w:rPr>
        <w:t>Ground motion at the site during the earthquake:</w:t>
      </w:r>
      <w:r w:rsidRPr="00136FAE">
        <w:rPr>
          <w:rFonts w:eastAsia="TTA6Co00" w:cs="TTA6Co00"/>
          <w:szCs w:val="18"/>
        </w:rPr>
        <w:t xml:space="preserve"> the maximum horizontal acceleration</w:t>
      </w:r>
      <w:r w:rsidRPr="00136FAE">
        <w:rPr>
          <w:rFonts w:eastAsia="TTA6Co00" w:cs="TTA6Co00" w:hint="eastAsia"/>
          <w:szCs w:val="18"/>
        </w:rPr>
        <w:t>s</w:t>
      </w:r>
      <w:r w:rsidRPr="00136FAE">
        <w:rPr>
          <w:rFonts w:eastAsia="TTA6Co00" w:cs="TTA6Co00"/>
          <w:szCs w:val="18"/>
        </w:rPr>
        <w:t xml:space="preserve"> </w:t>
      </w:r>
      <w:r w:rsidRPr="00136FAE">
        <w:rPr>
          <w:rFonts w:eastAsia="TTA6Co00" w:cs="TTA6Co00" w:hint="eastAsia"/>
          <w:szCs w:val="18"/>
        </w:rPr>
        <w:t>(</w:t>
      </w:r>
      <w:r w:rsidRPr="00136FAE">
        <w:rPr>
          <w:rFonts w:eastAsia="Meiryo" w:cs="Meiryo"/>
          <w:szCs w:val="18"/>
        </w:rPr>
        <w:t>A</w:t>
      </w:r>
      <w:r w:rsidRPr="00136FAE">
        <w:rPr>
          <w:rFonts w:eastAsia="Meiryo" w:cs="Meiryo"/>
          <w:szCs w:val="18"/>
          <w:vertAlign w:val="subscript"/>
        </w:rPr>
        <w:t>Hmax</w:t>
      </w:r>
      <w:r w:rsidRPr="00136FAE">
        <w:rPr>
          <w:rFonts w:eastAsia="TTA6Co00" w:cs="TTA6Co00" w:hint="eastAsia"/>
          <w:szCs w:val="18"/>
        </w:rPr>
        <w:t>)</w:t>
      </w:r>
      <w:r w:rsidRPr="00136FAE">
        <w:rPr>
          <w:rFonts w:eastAsia="Meiryo" w:cs="Meiryo"/>
          <w:szCs w:val="18"/>
        </w:rPr>
        <w:t xml:space="preserve"> </w:t>
      </w:r>
      <w:r w:rsidRPr="00136FAE">
        <w:rPr>
          <w:rFonts w:eastAsia="TTA6Co00" w:cs="TTA6Co00"/>
          <w:szCs w:val="18"/>
        </w:rPr>
        <w:t>observed on the base mat of the reactor building are as follows (</w:t>
      </w:r>
      <w:r w:rsidR="00D05FFB" w:rsidRPr="00136FAE">
        <w:rPr>
          <w:rFonts w:eastAsia="TTA6Co00" w:cs="TTA6Co00"/>
          <w:szCs w:val="18"/>
        </w:rPr>
        <w:t xml:space="preserve">IAEA, 2007b; </w:t>
      </w:r>
      <w:r w:rsidRPr="00136FAE">
        <w:rPr>
          <w:rFonts w:eastAsia="TTA6Co00" w:cs="TTA6Co00"/>
          <w:szCs w:val="18"/>
        </w:rPr>
        <w:t>n</w:t>
      </w:r>
      <w:r w:rsidRPr="00136FAE">
        <w:rPr>
          <w:rFonts w:eastAsia="Meiryo" w:cs="Meiryo"/>
          <w:szCs w:val="18"/>
        </w:rPr>
        <w:t>umbers in the parenthes</w:t>
      </w:r>
      <w:r w:rsidRPr="00136FAE">
        <w:rPr>
          <w:rFonts w:eastAsia="Meiryo" w:cs="Meiryo" w:hint="eastAsia"/>
          <w:szCs w:val="18"/>
        </w:rPr>
        <w:t>e</w:t>
      </w:r>
      <w:r w:rsidRPr="00136FAE">
        <w:rPr>
          <w:rFonts w:eastAsia="Meiryo" w:cs="Meiryo"/>
          <w:szCs w:val="18"/>
        </w:rPr>
        <w:t xml:space="preserve">s are </w:t>
      </w:r>
      <w:r w:rsidRPr="00136FAE">
        <w:rPr>
          <w:rFonts w:eastAsia="Meiryo" w:cs="Meiryo" w:hint="eastAsia"/>
          <w:szCs w:val="18"/>
        </w:rPr>
        <w:t xml:space="preserve">the </w:t>
      </w:r>
      <w:r w:rsidRPr="00136FAE">
        <w:rPr>
          <w:rFonts w:eastAsia="TTA6Co00" w:cs="TTA6Co00"/>
          <w:szCs w:val="18"/>
        </w:rPr>
        <w:t>maximum acce</w:t>
      </w:r>
      <w:r w:rsidRPr="00136FAE">
        <w:rPr>
          <w:rFonts w:eastAsia="TTA6Co00" w:cs="TTA6Co00"/>
          <w:szCs w:val="18"/>
        </w:rPr>
        <w:t>l</w:t>
      </w:r>
      <w:r w:rsidRPr="00136FAE">
        <w:rPr>
          <w:rFonts w:eastAsia="TTA6Co00" w:cs="TTA6Co00"/>
          <w:szCs w:val="18"/>
        </w:rPr>
        <w:t xml:space="preserve">eration from </w:t>
      </w:r>
      <w:r w:rsidRPr="00136FAE">
        <w:rPr>
          <w:rFonts w:eastAsia="Meiryo" w:cs="Meiryo"/>
          <w:szCs w:val="18"/>
        </w:rPr>
        <w:t xml:space="preserve">the response analysis </w:t>
      </w:r>
      <w:r w:rsidRPr="00136FAE">
        <w:rPr>
          <w:rFonts w:eastAsia="Meiryo" w:cs="Meiryo" w:hint="eastAsia"/>
          <w:szCs w:val="18"/>
        </w:rPr>
        <w:t>at</w:t>
      </w:r>
      <w:r w:rsidRPr="00136FAE">
        <w:rPr>
          <w:rFonts w:eastAsia="Meiryo" w:cs="Meiryo"/>
          <w:szCs w:val="18"/>
        </w:rPr>
        <w:t xml:space="preserve"> the design stage using </w:t>
      </w:r>
      <w:r w:rsidRPr="00136FAE">
        <w:rPr>
          <w:rFonts w:eastAsia="TTA6Co00" w:cs="TTA6Co00"/>
          <w:szCs w:val="18"/>
        </w:rPr>
        <w:t>design basis earthquake ground motion):</w:t>
      </w:r>
    </w:p>
    <w:p w:rsidR="00D73E17" w:rsidRPr="00136FAE" w:rsidRDefault="00D73E17" w:rsidP="00D73E17">
      <w:pPr>
        <w:spacing w:line="320" w:lineRule="exact"/>
        <w:rPr>
          <w:rFonts w:eastAsia="Meiryo" w:cs="Meiryo"/>
          <w:szCs w:val="18"/>
        </w:rPr>
      </w:pPr>
      <w:r w:rsidRPr="00136FAE">
        <w:rPr>
          <w:rFonts w:eastAsia="Meiryo" w:cs="Meiryo"/>
          <w:szCs w:val="18"/>
        </w:rPr>
        <w:t>Unit 1</w:t>
      </w:r>
      <w:r w:rsidRPr="00136FAE">
        <w:rPr>
          <w:rFonts w:eastAsia="Meiryo" w:cs="Meiryo"/>
          <w:szCs w:val="18"/>
        </w:rPr>
        <w:t xml:space="preserve">　</w:t>
      </w:r>
      <w:r w:rsidRPr="00136FAE">
        <w:rPr>
          <w:rFonts w:eastAsia="Meiryo" w:cs="Meiryo" w:hint="eastAsia"/>
          <w:szCs w:val="18"/>
        </w:rPr>
        <w:t xml:space="preserve"> </w:t>
      </w:r>
      <w:r w:rsidRPr="00136FAE">
        <w:rPr>
          <w:rFonts w:eastAsia="Meiryo" w:cs="Meiryo"/>
          <w:szCs w:val="18"/>
        </w:rPr>
        <w:t>A</w:t>
      </w:r>
      <w:r w:rsidRPr="00136FAE">
        <w:rPr>
          <w:rFonts w:eastAsia="Meiryo" w:cs="Meiryo"/>
          <w:szCs w:val="18"/>
          <w:vertAlign w:val="subscript"/>
        </w:rPr>
        <w:t>Hmax</w:t>
      </w:r>
      <w:r w:rsidRPr="00136FAE">
        <w:rPr>
          <w:rFonts w:eastAsia="Meiryo" w:cs="Meiryo"/>
          <w:szCs w:val="18"/>
        </w:rPr>
        <w:t xml:space="preserve">   680</w:t>
      </w:r>
      <w:r w:rsidRPr="00136FAE">
        <w:rPr>
          <w:rFonts w:eastAsia="TTA6Co00" w:cs="TTA6Co00"/>
          <w:szCs w:val="18"/>
        </w:rPr>
        <w:t xml:space="preserve"> cm/s2</w:t>
      </w:r>
      <w:r w:rsidRPr="00136FAE">
        <w:rPr>
          <w:rFonts w:eastAsia="Meiryo" w:cs="Meiryo"/>
          <w:szCs w:val="18"/>
        </w:rPr>
        <w:t xml:space="preserve">  (273</w:t>
      </w:r>
      <w:r w:rsidRPr="00136FAE">
        <w:rPr>
          <w:rFonts w:eastAsia="TTA6Co00" w:cs="TTA6Co00"/>
          <w:szCs w:val="18"/>
        </w:rPr>
        <w:t xml:space="preserve"> cm/s2</w:t>
      </w:r>
      <w:r w:rsidRPr="00136FAE">
        <w:rPr>
          <w:rFonts w:eastAsia="Meiryo" w:cs="Meiryo"/>
          <w:szCs w:val="18"/>
        </w:rPr>
        <w:t xml:space="preserve">)  </w:t>
      </w:r>
    </w:p>
    <w:p w:rsidR="00D73E17" w:rsidRPr="00136FAE" w:rsidRDefault="00D73E17" w:rsidP="00D73E17">
      <w:pPr>
        <w:spacing w:line="320" w:lineRule="exact"/>
        <w:rPr>
          <w:rFonts w:eastAsia="Meiryo" w:cs="Meiryo"/>
          <w:szCs w:val="18"/>
        </w:rPr>
      </w:pPr>
      <w:r w:rsidRPr="00136FAE">
        <w:rPr>
          <w:rFonts w:eastAsia="Meiryo" w:cs="Meiryo"/>
          <w:szCs w:val="18"/>
        </w:rPr>
        <w:t>Unit 2</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606</w:t>
      </w:r>
      <w:r w:rsidRPr="00136FAE">
        <w:rPr>
          <w:rFonts w:eastAsia="TTA6Co00" w:cs="TTA6Co00"/>
          <w:szCs w:val="18"/>
        </w:rPr>
        <w:t xml:space="preserve"> cm/s2</w:t>
      </w:r>
      <w:r w:rsidRPr="00136FAE">
        <w:rPr>
          <w:rFonts w:eastAsia="Meiryo" w:cs="Meiryo"/>
          <w:szCs w:val="18"/>
        </w:rPr>
        <w:t xml:space="preserve">  (167</w:t>
      </w:r>
      <w:r w:rsidRPr="00136FAE">
        <w:rPr>
          <w:rFonts w:eastAsia="TTA6Co00" w:cs="TTA6Co00"/>
          <w:szCs w:val="18"/>
        </w:rPr>
        <w:t xml:space="preserve"> cm/s2</w:t>
      </w:r>
      <w:r w:rsidRPr="00136FAE">
        <w:rPr>
          <w:rFonts w:eastAsia="Meiryo" w:cs="Meiryo"/>
          <w:szCs w:val="18"/>
        </w:rPr>
        <w:t>)</w:t>
      </w:r>
    </w:p>
    <w:p w:rsidR="00D73E17" w:rsidRPr="00136FAE" w:rsidRDefault="00D73E17" w:rsidP="00D73E17">
      <w:pPr>
        <w:spacing w:line="320" w:lineRule="exact"/>
        <w:rPr>
          <w:rFonts w:eastAsia="Meiryo" w:cs="Meiryo"/>
          <w:szCs w:val="18"/>
        </w:rPr>
      </w:pPr>
      <w:r w:rsidRPr="00136FAE">
        <w:rPr>
          <w:rFonts w:eastAsia="Meiryo" w:cs="Meiryo"/>
          <w:szCs w:val="18"/>
        </w:rPr>
        <w:t>Unit 3</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384</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(193</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D73E17" w:rsidRPr="00136FAE" w:rsidRDefault="00D73E17" w:rsidP="00D73E17">
      <w:pPr>
        <w:spacing w:line="320" w:lineRule="exact"/>
        <w:rPr>
          <w:rFonts w:eastAsia="Meiryo" w:cs="Meiryo"/>
          <w:szCs w:val="18"/>
        </w:rPr>
      </w:pPr>
      <w:r w:rsidRPr="00136FAE">
        <w:rPr>
          <w:rFonts w:eastAsia="Meiryo" w:cs="Meiryo"/>
          <w:szCs w:val="18"/>
        </w:rPr>
        <w:t>Unit 4</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492</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(194</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D73E17" w:rsidRPr="00136FAE" w:rsidRDefault="00D73E17" w:rsidP="00D73E17">
      <w:pPr>
        <w:spacing w:line="320" w:lineRule="exact"/>
        <w:rPr>
          <w:rFonts w:eastAsia="Meiryo" w:cs="Meiryo"/>
          <w:szCs w:val="18"/>
        </w:rPr>
      </w:pPr>
      <w:r w:rsidRPr="00136FAE">
        <w:rPr>
          <w:rFonts w:eastAsia="Meiryo" w:cs="Meiryo"/>
          <w:szCs w:val="18"/>
        </w:rPr>
        <w:t>Unit 5</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442</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(254</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D73E17" w:rsidRPr="00136FAE" w:rsidRDefault="00D73E17" w:rsidP="00D73E17">
      <w:pPr>
        <w:spacing w:line="320" w:lineRule="exact"/>
        <w:rPr>
          <w:rFonts w:eastAsia="Meiryo" w:cs="Meiryo"/>
          <w:szCs w:val="18"/>
        </w:rPr>
      </w:pPr>
      <w:r w:rsidRPr="00136FAE">
        <w:rPr>
          <w:rFonts w:eastAsia="Meiryo" w:cs="Meiryo"/>
          <w:szCs w:val="18"/>
        </w:rPr>
        <w:t>Unit 6</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322</w:t>
      </w:r>
      <w:r w:rsidRPr="00136FAE">
        <w:rPr>
          <w:rFonts w:eastAsia="TTA6Co00" w:cs="TTA6Co00"/>
          <w:szCs w:val="18"/>
        </w:rPr>
        <w:t xml:space="preserve"> cm/</w:t>
      </w:r>
      <w:r w:rsidRPr="00136FAE">
        <w:rPr>
          <w:rFonts w:eastAsia="TTA6Co00" w:cs="TTA6Co00"/>
          <w:szCs w:val="18"/>
          <w:vertAlign w:val="superscript"/>
        </w:rPr>
        <w:t>s2</w:t>
      </w:r>
      <w:r w:rsidRPr="00136FAE">
        <w:rPr>
          <w:rFonts w:eastAsia="Meiryo" w:cs="Meiryo"/>
          <w:szCs w:val="18"/>
        </w:rPr>
        <w:t xml:space="preserve">  (263</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w:t>
      </w:r>
    </w:p>
    <w:p w:rsidR="00D73E17" w:rsidRPr="00136FAE" w:rsidRDefault="00D73E17" w:rsidP="00D73E17">
      <w:pPr>
        <w:spacing w:line="320" w:lineRule="exact"/>
        <w:rPr>
          <w:rFonts w:eastAsia="Meiryo" w:cs="Meiryo"/>
          <w:szCs w:val="18"/>
        </w:rPr>
      </w:pPr>
      <w:r w:rsidRPr="00136FAE">
        <w:rPr>
          <w:rFonts w:eastAsia="Meiryo" w:cs="Meiryo"/>
          <w:szCs w:val="18"/>
        </w:rPr>
        <w:t>Unit 7</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356</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(263</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D73E17" w:rsidRPr="00136FAE" w:rsidRDefault="00D73E17" w:rsidP="00D73E17">
      <w:pPr>
        <w:spacing w:line="320" w:lineRule="exact"/>
        <w:rPr>
          <w:rFonts w:eastAsia="Meiryo" w:cs="Meiryo"/>
          <w:szCs w:val="18"/>
        </w:rPr>
      </w:pPr>
    </w:p>
    <w:p w:rsidR="00D73E17" w:rsidRPr="00136FAE" w:rsidRDefault="00D73E17" w:rsidP="00D73E17">
      <w:pPr>
        <w:autoSpaceDE w:val="0"/>
        <w:autoSpaceDN w:val="0"/>
        <w:adjustRightInd w:val="0"/>
        <w:spacing w:line="320" w:lineRule="exact"/>
        <w:rPr>
          <w:rFonts w:eastAsia="TTA6Co00" w:cs="TTA6Co00"/>
          <w:szCs w:val="18"/>
        </w:rPr>
      </w:pPr>
      <w:r w:rsidRPr="00136FAE">
        <w:rPr>
          <w:rFonts w:eastAsia="TTA6Co00" w:cs="TTA6Co00"/>
          <w:szCs w:val="18"/>
        </w:rPr>
        <w:t>Estimated PGA</w:t>
      </w:r>
      <w:r w:rsidRPr="00136FAE">
        <w:rPr>
          <w:rFonts w:eastAsia="TTA6Co00" w:cs="TTA6Co00" w:hint="eastAsia"/>
          <w:szCs w:val="18"/>
        </w:rPr>
        <w:t xml:space="preserve"> (Peak Ground Acceleration) </w:t>
      </w:r>
      <w:r w:rsidRPr="00136FAE">
        <w:rPr>
          <w:rFonts w:eastAsia="TTA6Co00" w:cs="TTA6Co00"/>
          <w:szCs w:val="18"/>
        </w:rPr>
        <w:t xml:space="preserve">in horizontal </w:t>
      </w:r>
      <w:r w:rsidRPr="00136FAE">
        <w:rPr>
          <w:rFonts w:eastAsia="TTA6Co00" w:cs="TTA6Co00" w:hint="eastAsia"/>
          <w:szCs w:val="18"/>
        </w:rPr>
        <w:t xml:space="preserve">direction </w:t>
      </w:r>
      <w:r w:rsidRPr="00136FAE">
        <w:rPr>
          <w:rFonts w:eastAsia="TTA6Co00" w:cs="TTA6Co00"/>
          <w:szCs w:val="18"/>
        </w:rPr>
        <w:t>PGA</w:t>
      </w:r>
      <w:r w:rsidRPr="00136FAE">
        <w:rPr>
          <w:rFonts w:eastAsia="TTA6Co00" w:cs="TTA6Co00"/>
          <w:szCs w:val="18"/>
          <w:vertAlign w:val="subscript"/>
        </w:rPr>
        <w:t>H</w:t>
      </w:r>
      <w:r w:rsidRPr="00136FAE">
        <w:rPr>
          <w:rFonts w:eastAsia="TTA6Co00" w:cs="TTA6Co00"/>
          <w:szCs w:val="18"/>
        </w:rPr>
        <w:t xml:space="preserve"> </w:t>
      </w:r>
      <w:r w:rsidRPr="00136FAE">
        <w:rPr>
          <w:rFonts w:eastAsia="TTA6Co00" w:cs="TTA6Co00" w:hint="eastAsia"/>
          <w:szCs w:val="18"/>
        </w:rPr>
        <w:t>at</w:t>
      </w:r>
      <w:r w:rsidRPr="00136FAE">
        <w:rPr>
          <w:rFonts w:eastAsia="TTA6Co00" w:cs="TTA6Co00"/>
          <w:szCs w:val="18"/>
        </w:rPr>
        <w:t xml:space="preserve"> the </w:t>
      </w:r>
      <w:r w:rsidRPr="00136FAE">
        <w:rPr>
          <w:rFonts w:eastAsia="TTA6Co00" w:cs="TTA6Co00" w:hint="eastAsia"/>
          <w:szCs w:val="18"/>
        </w:rPr>
        <w:t>free</w:t>
      </w:r>
      <w:r w:rsidRPr="00136FAE">
        <w:rPr>
          <w:rFonts w:eastAsia="TTA6Co00" w:cs="TTA6Co00"/>
          <w:szCs w:val="18"/>
        </w:rPr>
        <w:t xml:space="preserve"> surface of </w:t>
      </w:r>
      <w:r w:rsidRPr="00136FAE">
        <w:rPr>
          <w:rFonts w:eastAsia="TTA6Co00" w:cs="TTA6Co00" w:hint="eastAsia"/>
          <w:szCs w:val="18"/>
        </w:rPr>
        <w:t>the base stratum</w:t>
      </w:r>
      <w:r w:rsidRPr="00136FAE">
        <w:rPr>
          <w:rFonts w:eastAsia="TTA6Co00" w:cs="TTA6Co00"/>
          <w:szCs w:val="18"/>
        </w:rPr>
        <w:t xml:space="preserve"> about -150m to </w:t>
      </w:r>
      <w:r w:rsidRPr="00136FAE">
        <w:rPr>
          <w:rFonts w:eastAsia="TTA6Co00" w:cs="TTA6Co00" w:hint="eastAsia"/>
          <w:szCs w:val="18"/>
        </w:rPr>
        <w:t>-</w:t>
      </w:r>
      <w:r w:rsidRPr="00136FAE">
        <w:rPr>
          <w:rFonts w:eastAsia="TTA6Co00" w:cs="TTA6Co00"/>
          <w:szCs w:val="18"/>
        </w:rPr>
        <w:t>300m</w:t>
      </w:r>
      <w:r w:rsidRPr="00136FAE">
        <w:rPr>
          <w:rFonts w:eastAsia="TTA6Co00" w:cs="TTA6Co00" w:hint="eastAsia"/>
          <w:szCs w:val="18"/>
        </w:rPr>
        <w:t xml:space="preserve"> (different for each rector) underground,</w:t>
      </w:r>
      <w:r w:rsidRPr="00136FAE">
        <w:rPr>
          <w:rFonts w:eastAsia="TTA6Co00" w:cs="TTA6Co00"/>
          <w:szCs w:val="18"/>
        </w:rPr>
        <w:t xml:space="preserve"> </w:t>
      </w:r>
      <w:r w:rsidRPr="00136FAE">
        <w:rPr>
          <w:rFonts w:eastAsia="TTA6Co00" w:cs="TTA6Co00" w:hint="eastAsia"/>
          <w:szCs w:val="18"/>
        </w:rPr>
        <w:t>where design earthquake ground motion is spec</w:t>
      </w:r>
      <w:r w:rsidRPr="00136FAE">
        <w:rPr>
          <w:rFonts w:eastAsia="TTA6Co00" w:cs="TTA6Co00" w:hint="eastAsia"/>
          <w:szCs w:val="18"/>
        </w:rPr>
        <w:t>i</w:t>
      </w:r>
      <w:r w:rsidRPr="00136FAE">
        <w:rPr>
          <w:rFonts w:eastAsia="TTA6Co00" w:cs="TTA6Co00" w:hint="eastAsia"/>
          <w:szCs w:val="18"/>
        </w:rPr>
        <w:t xml:space="preserve">fied, </w:t>
      </w:r>
      <w:r w:rsidRPr="00136FAE">
        <w:rPr>
          <w:rFonts w:eastAsia="TTA6Co00" w:cs="TTA6Co00"/>
          <w:szCs w:val="18"/>
        </w:rPr>
        <w:t>was estimated by deconvolusion</w:t>
      </w:r>
      <w:r w:rsidR="00E72F0B" w:rsidRPr="00136FAE">
        <w:rPr>
          <w:rFonts w:eastAsia="TTA6Co00" w:cs="TTA6Co00"/>
          <w:szCs w:val="18"/>
        </w:rPr>
        <w:t xml:space="preserve"> analysis:</w:t>
      </w:r>
    </w:p>
    <w:p w:rsidR="00D73E17" w:rsidRPr="00136FAE" w:rsidRDefault="00D73E17" w:rsidP="00D73E17">
      <w:pPr>
        <w:spacing w:line="320" w:lineRule="exact"/>
        <w:rPr>
          <w:rFonts w:eastAsia="Meiryo" w:cs="Meiryo"/>
          <w:szCs w:val="18"/>
        </w:rPr>
      </w:pPr>
      <w:r w:rsidRPr="00136FAE">
        <w:rPr>
          <w:rFonts w:eastAsia="Meiryo" w:cs="Meiryo"/>
          <w:szCs w:val="18"/>
        </w:rPr>
        <w:t>Unit 1</w:t>
      </w:r>
      <w:r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1699 </w:t>
      </w:r>
      <w:r w:rsidRPr="00136FAE">
        <w:rPr>
          <w:rFonts w:eastAsia="TTA6Co00" w:cs="TTA6Co00"/>
          <w:szCs w:val="18"/>
        </w:rPr>
        <w:t>cm/s</w:t>
      </w:r>
      <w:r w:rsidRPr="00136FAE">
        <w:rPr>
          <w:rFonts w:eastAsia="TTA6Co00" w:cs="TTA6Co00"/>
          <w:szCs w:val="18"/>
          <w:vertAlign w:val="superscript"/>
        </w:rPr>
        <w:t>2</w:t>
      </w:r>
    </w:p>
    <w:p w:rsidR="00D73E17" w:rsidRPr="00136FAE" w:rsidRDefault="00D73E17" w:rsidP="00D73E17">
      <w:pPr>
        <w:spacing w:line="320" w:lineRule="exact"/>
        <w:rPr>
          <w:rFonts w:eastAsia="Meiryo" w:cs="Meiryo"/>
          <w:szCs w:val="18"/>
        </w:rPr>
      </w:pPr>
      <w:r w:rsidRPr="00136FAE">
        <w:rPr>
          <w:rFonts w:eastAsia="Meiryo" w:cs="Meiryo"/>
          <w:szCs w:val="18"/>
        </w:rPr>
        <w:t>Unit 2</w:t>
      </w:r>
      <w:r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1011</w:t>
      </w:r>
      <w:r w:rsidRPr="00136FAE">
        <w:rPr>
          <w:rFonts w:eastAsia="TTA6Co00" w:cs="TTA6Co00"/>
          <w:szCs w:val="18"/>
        </w:rPr>
        <w:t xml:space="preserve"> cm/s</w:t>
      </w:r>
      <w:r w:rsidRPr="00136FAE">
        <w:rPr>
          <w:rFonts w:eastAsia="TTA6Co00" w:cs="TTA6Co00"/>
          <w:szCs w:val="18"/>
          <w:vertAlign w:val="superscript"/>
        </w:rPr>
        <w:t>2</w:t>
      </w:r>
    </w:p>
    <w:p w:rsidR="00D73E17" w:rsidRPr="00136FAE" w:rsidRDefault="00D73E17" w:rsidP="00D73E17">
      <w:pPr>
        <w:spacing w:line="320" w:lineRule="exact"/>
        <w:rPr>
          <w:rFonts w:eastAsia="Meiryo" w:cs="Meiryo"/>
          <w:szCs w:val="18"/>
        </w:rPr>
      </w:pPr>
      <w:r w:rsidRPr="00136FAE">
        <w:rPr>
          <w:rFonts w:eastAsia="Meiryo" w:cs="Meiryo"/>
          <w:szCs w:val="18"/>
        </w:rPr>
        <w:t>Unit 3</w:t>
      </w:r>
      <w:r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1113</w:t>
      </w:r>
      <w:r w:rsidRPr="00136FAE">
        <w:rPr>
          <w:rFonts w:eastAsia="TTA6Co00" w:cs="TTA6Co00"/>
          <w:szCs w:val="18"/>
        </w:rPr>
        <w:t xml:space="preserve"> cm/s</w:t>
      </w:r>
      <w:r w:rsidRPr="00136FAE">
        <w:rPr>
          <w:rFonts w:eastAsia="TTA6Co00" w:cs="TTA6Co00"/>
          <w:szCs w:val="18"/>
          <w:vertAlign w:val="superscript"/>
        </w:rPr>
        <w:t>2</w:t>
      </w:r>
    </w:p>
    <w:p w:rsidR="00D73E17" w:rsidRPr="00136FAE" w:rsidRDefault="00D73E17" w:rsidP="00D73E17">
      <w:pPr>
        <w:spacing w:line="320" w:lineRule="exact"/>
        <w:rPr>
          <w:rFonts w:eastAsia="Meiryo" w:cs="Meiryo"/>
          <w:szCs w:val="18"/>
        </w:rPr>
      </w:pPr>
      <w:r w:rsidRPr="00136FAE">
        <w:rPr>
          <w:rFonts w:eastAsia="Meiryo" w:cs="Meiryo"/>
          <w:szCs w:val="18"/>
        </w:rPr>
        <w:t>Unit 4</w:t>
      </w:r>
      <w:r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1478</w:t>
      </w:r>
      <w:r w:rsidRPr="00136FAE">
        <w:rPr>
          <w:rFonts w:eastAsia="TTA6Co00" w:cs="TTA6Co00"/>
          <w:szCs w:val="18"/>
        </w:rPr>
        <w:t xml:space="preserve"> cm/s</w:t>
      </w:r>
      <w:r w:rsidRPr="00136FAE">
        <w:rPr>
          <w:rFonts w:eastAsia="TTA6Co00" w:cs="TTA6Co00"/>
          <w:szCs w:val="18"/>
          <w:vertAlign w:val="superscript"/>
        </w:rPr>
        <w:t>2</w:t>
      </w:r>
    </w:p>
    <w:p w:rsidR="00D73E17" w:rsidRPr="00136FAE" w:rsidRDefault="00D73E17" w:rsidP="00D73E17">
      <w:pPr>
        <w:spacing w:line="320" w:lineRule="exact"/>
        <w:rPr>
          <w:rFonts w:eastAsia="Meiryo" w:cs="Meiryo"/>
          <w:szCs w:val="18"/>
        </w:rPr>
      </w:pPr>
      <w:r w:rsidRPr="00136FAE">
        <w:rPr>
          <w:rFonts w:eastAsia="Meiryo" w:cs="Meiryo"/>
          <w:szCs w:val="18"/>
        </w:rPr>
        <w:t>Unit 5</w:t>
      </w:r>
      <w:r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766</w:t>
      </w:r>
      <w:r w:rsidRPr="00136FAE">
        <w:rPr>
          <w:rFonts w:eastAsia="TTA6Co00" w:cs="TTA6Co00"/>
          <w:szCs w:val="18"/>
        </w:rPr>
        <w:t xml:space="preserve"> cm/s</w:t>
      </w:r>
      <w:r w:rsidRPr="00136FAE">
        <w:rPr>
          <w:rFonts w:eastAsia="TTA6Co00" w:cs="TTA6Co00"/>
          <w:szCs w:val="18"/>
          <w:vertAlign w:val="superscript"/>
        </w:rPr>
        <w:t>2</w:t>
      </w:r>
    </w:p>
    <w:p w:rsidR="00D73E17" w:rsidRPr="00136FAE" w:rsidRDefault="00D73E17" w:rsidP="00D73E17">
      <w:pPr>
        <w:spacing w:line="320" w:lineRule="exact"/>
        <w:rPr>
          <w:rFonts w:eastAsia="Meiryo" w:cs="Meiryo"/>
          <w:szCs w:val="18"/>
        </w:rPr>
      </w:pPr>
      <w:r w:rsidRPr="00136FAE">
        <w:rPr>
          <w:rFonts w:eastAsia="Meiryo" w:cs="Meiryo"/>
          <w:szCs w:val="18"/>
        </w:rPr>
        <w:t>Unit 6</w:t>
      </w:r>
      <w:r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539</w:t>
      </w:r>
      <w:r w:rsidRPr="00136FAE">
        <w:rPr>
          <w:rFonts w:eastAsia="TTA6Co00" w:cs="TTA6Co00"/>
          <w:szCs w:val="18"/>
        </w:rPr>
        <w:t xml:space="preserve"> cm/s</w:t>
      </w:r>
      <w:r w:rsidRPr="00136FAE">
        <w:rPr>
          <w:rFonts w:eastAsia="TTA6Co00" w:cs="TTA6Co00"/>
          <w:szCs w:val="18"/>
          <w:vertAlign w:val="superscript"/>
        </w:rPr>
        <w:t>2</w:t>
      </w:r>
    </w:p>
    <w:p w:rsidR="00D73E17" w:rsidRPr="00136FAE" w:rsidRDefault="00D73E17" w:rsidP="00D73E17">
      <w:pPr>
        <w:spacing w:line="320" w:lineRule="exact"/>
        <w:rPr>
          <w:rFonts w:eastAsia="TTA6Co00" w:cs="TTA6Co00"/>
          <w:szCs w:val="18"/>
        </w:rPr>
      </w:pPr>
      <w:r w:rsidRPr="00136FAE">
        <w:rPr>
          <w:rFonts w:eastAsia="Meiryo" w:cs="Meiryo"/>
          <w:szCs w:val="18"/>
        </w:rPr>
        <w:t>Unit 7</w:t>
      </w:r>
      <w:r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613</w:t>
      </w:r>
      <w:r w:rsidRPr="00136FAE">
        <w:rPr>
          <w:rFonts w:eastAsia="TTA6Co00" w:cs="TTA6Co00"/>
          <w:szCs w:val="18"/>
        </w:rPr>
        <w:t xml:space="preserve"> cm/s</w:t>
      </w:r>
      <w:r w:rsidRPr="00136FAE">
        <w:rPr>
          <w:rFonts w:eastAsia="TTA6Co00" w:cs="TTA6Co00"/>
          <w:szCs w:val="18"/>
          <w:vertAlign w:val="superscript"/>
        </w:rPr>
        <w:t>2</w:t>
      </w:r>
    </w:p>
    <w:p w:rsidR="00D73E17" w:rsidRPr="00136FAE" w:rsidRDefault="00D73E17" w:rsidP="00D73E17">
      <w:pPr>
        <w:spacing w:line="320" w:lineRule="exact"/>
        <w:rPr>
          <w:rFonts w:eastAsia="Meiryo" w:cs="Meiryo"/>
          <w:szCs w:val="18"/>
        </w:rPr>
      </w:pPr>
      <w:r w:rsidRPr="00136FAE">
        <w:rPr>
          <w:rFonts w:eastAsia="Meiryo" w:cs="Meiryo"/>
          <w:szCs w:val="18"/>
        </w:rPr>
        <w:t xml:space="preserve">    </w:t>
      </w:r>
    </w:p>
    <w:p w:rsidR="00D73E17" w:rsidRPr="00136FAE" w:rsidRDefault="00D73E17" w:rsidP="00D73E17">
      <w:pPr>
        <w:autoSpaceDE w:val="0"/>
        <w:autoSpaceDN w:val="0"/>
        <w:adjustRightInd w:val="0"/>
        <w:spacing w:line="320" w:lineRule="exact"/>
        <w:rPr>
          <w:rFonts w:eastAsia="Meiryo" w:cs="Meiryo"/>
          <w:szCs w:val="18"/>
        </w:rPr>
      </w:pPr>
      <w:r w:rsidRPr="00136FAE">
        <w:rPr>
          <w:rFonts w:eastAsia="Meiryo" w:cs="Meiryo"/>
          <w:b/>
          <w:i/>
          <w:szCs w:val="18"/>
        </w:rPr>
        <w:t>Damage:</w:t>
      </w:r>
      <w:r w:rsidRPr="00136FAE">
        <w:rPr>
          <w:rFonts w:eastAsia="Meiryo" w:cs="Meiryo"/>
          <w:szCs w:val="18"/>
        </w:rPr>
        <w:t xml:space="preserve"> </w:t>
      </w:r>
      <w:r w:rsidRPr="00136FAE">
        <w:rPr>
          <w:rFonts w:eastAsia="TTA6Co00" w:cs="TTA6Co00"/>
          <w:szCs w:val="18"/>
        </w:rPr>
        <w:t>No significant damages to safety related structures, systems and components were found by the plant walkdowns which were confirmed by thorough and detailed inspection and investigation later conducted</w:t>
      </w:r>
      <w:r w:rsidR="00D05FFB" w:rsidRPr="00136FAE">
        <w:rPr>
          <w:rFonts w:eastAsia="TTA6Co00" w:cs="TTA6Co00"/>
          <w:szCs w:val="18"/>
        </w:rPr>
        <w:t xml:space="preserve"> (IAEA, 2007a)</w:t>
      </w:r>
      <w:r w:rsidRPr="00136FAE">
        <w:rPr>
          <w:rFonts w:eastAsia="TTA6Co00" w:cs="TTA6Co00"/>
          <w:szCs w:val="18"/>
        </w:rPr>
        <w:t>.</w:t>
      </w:r>
      <w:r w:rsidRPr="00136FAE">
        <w:rPr>
          <w:rFonts w:eastAsia="Meiryo" w:cs="Meiryo"/>
          <w:szCs w:val="18"/>
        </w:rPr>
        <w:t xml:space="preserve"> </w:t>
      </w:r>
    </w:p>
    <w:p w:rsidR="00D73E17" w:rsidRPr="00136FAE" w:rsidRDefault="00D73E17" w:rsidP="00D73E17">
      <w:pPr>
        <w:autoSpaceDE w:val="0"/>
        <w:autoSpaceDN w:val="0"/>
        <w:adjustRightInd w:val="0"/>
        <w:spacing w:line="320" w:lineRule="exact"/>
        <w:rPr>
          <w:rFonts w:eastAsia="TTA6Co00" w:cs="TTA6Co00"/>
          <w:szCs w:val="18"/>
        </w:rPr>
      </w:pPr>
    </w:p>
    <w:p w:rsidR="00D73E17" w:rsidRPr="00136FAE" w:rsidRDefault="00D73E17" w:rsidP="00D73E17">
      <w:pPr>
        <w:autoSpaceDE w:val="0"/>
        <w:autoSpaceDN w:val="0"/>
        <w:adjustRightInd w:val="0"/>
        <w:spacing w:line="320" w:lineRule="exact"/>
        <w:rPr>
          <w:rFonts w:eastAsia="TTA6Co00" w:cs="TTA6Co00"/>
          <w:szCs w:val="18"/>
        </w:rPr>
      </w:pPr>
      <w:r w:rsidRPr="00136FAE">
        <w:rPr>
          <w:rFonts w:eastAsia="TTA6Co00" w:cs="TTA6Co00"/>
          <w:b/>
          <w:i/>
          <w:szCs w:val="18"/>
        </w:rPr>
        <w:t>Large soil deformations:</w:t>
      </w:r>
      <w:r w:rsidRPr="00136FAE">
        <w:rPr>
          <w:rFonts w:eastAsia="TTA6Co00" w:cs="TTA6Co00"/>
          <w:szCs w:val="18"/>
        </w:rPr>
        <w:t xml:space="preserve"> Many of the problems on the Kashiwazaki-Kariwa nuclear power plant site were induced by large soil deformations.</w:t>
      </w:r>
    </w:p>
    <w:p w:rsidR="00D73E17" w:rsidRPr="00136FAE" w:rsidRDefault="00D73E17" w:rsidP="00D73E17">
      <w:pPr>
        <w:autoSpaceDE w:val="0"/>
        <w:autoSpaceDN w:val="0"/>
        <w:adjustRightInd w:val="0"/>
        <w:spacing w:line="320" w:lineRule="exact"/>
        <w:rPr>
          <w:rFonts w:eastAsia="Meiryo" w:cs="Meiryo"/>
          <w:szCs w:val="18"/>
        </w:rPr>
      </w:pPr>
    </w:p>
    <w:p w:rsidR="00D73E17" w:rsidRPr="00136FAE" w:rsidRDefault="00D73E17" w:rsidP="00D73E17">
      <w:pPr>
        <w:autoSpaceDE w:val="0"/>
        <w:autoSpaceDN w:val="0"/>
        <w:adjustRightInd w:val="0"/>
        <w:spacing w:line="320" w:lineRule="exact"/>
        <w:rPr>
          <w:rFonts w:eastAsia="Meiryo" w:cs="Meiryo"/>
          <w:szCs w:val="18"/>
        </w:rPr>
      </w:pPr>
      <w:r w:rsidRPr="00136FAE">
        <w:rPr>
          <w:rFonts w:eastAsia="Meiryo" w:cs="Meiryo"/>
          <w:b/>
          <w:i/>
          <w:szCs w:val="18"/>
        </w:rPr>
        <w:t>Fire:</w:t>
      </w:r>
      <w:r w:rsidRPr="00136FAE">
        <w:rPr>
          <w:rFonts w:eastAsia="Meiryo" w:cs="Meiryo"/>
          <w:szCs w:val="18"/>
        </w:rPr>
        <w:t xml:space="preserve"> Unit 3 in-house electrical transformer fire, which was not directly related to nuclear safety,</w:t>
      </w:r>
    </w:p>
    <w:p w:rsidR="00D73E17" w:rsidRPr="00136FAE" w:rsidRDefault="00D73E17" w:rsidP="00D73E17">
      <w:pPr>
        <w:autoSpaceDE w:val="0"/>
        <w:autoSpaceDN w:val="0"/>
        <w:adjustRightInd w:val="0"/>
        <w:spacing w:line="320" w:lineRule="exact"/>
        <w:rPr>
          <w:rFonts w:eastAsia="Meiryo" w:cs="Meiryo"/>
          <w:szCs w:val="18"/>
        </w:rPr>
      </w:pPr>
      <w:r w:rsidRPr="00136FAE">
        <w:rPr>
          <w:rFonts w:eastAsia="Meiryo" w:cs="Meiryo"/>
          <w:szCs w:val="18"/>
        </w:rPr>
        <w:lastRenderedPageBreak/>
        <w:t>Anchorage Failures: there were a limited number of anchorage failures mainly on transformers and water tanks that are not safety related equipment.</w:t>
      </w:r>
    </w:p>
    <w:p w:rsidR="00D73E17" w:rsidRPr="00136FAE" w:rsidRDefault="00D73E17" w:rsidP="00D73E17">
      <w:pPr>
        <w:autoSpaceDE w:val="0"/>
        <w:autoSpaceDN w:val="0"/>
        <w:adjustRightInd w:val="0"/>
        <w:spacing w:line="320" w:lineRule="exact"/>
        <w:rPr>
          <w:rFonts w:eastAsia="Meiryo" w:cs="Meiryo"/>
          <w:szCs w:val="18"/>
        </w:rPr>
      </w:pPr>
    </w:p>
    <w:p w:rsidR="00D73E17" w:rsidRPr="00136FAE" w:rsidRDefault="00D73E17" w:rsidP="00D73E17">
      <w:pPr>
        <w:autoSpaceDE w:val="0"/>
        <w:autoSpaceDN w:val="0"/>
        <w:adjustRightInd w:val="0"/>
        <w:spacing w:line="320" w:lineRule="exact"/>
        <w:rPr>
          <w:rFonts w:eastAsia="TTA6Co00" w:cs="TTA6Co00"/>
          <w:szCs w:val="18"/>
        </w:rPr>
      </w:pPr>
      <w:r w:rsidRPr="00136FAE">
        <w:rPr>
          <w:rFonts w:eastAsia="Meiryo" w:cs="Meiryo"/>
          <w:b/>
          <w:i/>
          <w:szCs w:val="18"/>
        </w:rPr>
        <w:t>Design basis review:</w:t>
      </w:r>
      <w:r w:rsidRPr="00136FAE">
        <w:rPr>
          <w:rFonts w:eastAsia="Meiryo" w:cs="Meiryo"/>
          <w:szCs w:val="18"/>
        </w:rPr>
        <w:t xml:space="preserve"> in September 2006, i.e.</w:t>
      </w:r>
      <w:r w:rsidRPr="00136FAE">
        <w:rPr>
          <w:rFonts w:eastAsia="Meiryo" w:cs="Meiryo" w:hint="eastAsia"/>
          <w:szCs w:val="18"/>
        </w:rPr>
        <w:t>,</w:t>
      </w:r>
      <w:r w:rsidRPr="00136FAE">
        <w:rPr>
          <w:rFonts w:eastAsia="Meiryo" w:cs="Meiryo"/>
          <w:szCs w:val="18"/>
        </w:rPr>
        <w:t xml:space="preserve"> before the </w:t>
      </w:r>
      <w:r w:rsidRPr="00136FAE">
        <w:rPr>
          <w:rFonts w:eastAsia="Meiryo" w:cs="Meiryo" w:hint="eastAsia"/>
          <w:szCs w:val="18"/>
        </w:rPr>
        <w:t>NCO</w:t>
      </w:r>
      <w:r w:rsidRPr="00136FAE">
        <w:rPr>
          <w:rFonts w:eastAsia="Meiryo" w:cs="Meiryo"/>
          <w:szCs w:val="18"/>
        </w:rPr>
        <w:t xml:space="preserve"> earthquake occurred, guidelines were </w:t>
      </w:r>
      <w:r w:rsidRPr="00136FAE">
        <w:rPr>
          <w:rFonts w:eastAsia="Meiryo" w:cs="Meiryo" w:hint="eastAsia"/>
          <w:szCs w:val="18"/>
        </w:rPr>
        <w:t>revised</w:t>
      </w:r>
      <w:r w:rsidRPr="00136FAE">
        <w:rPr>
          <w:rFonts w:eastAsia="Meiryo" w:cs="Meiryo"/>
          <w:szCs w:val="18"/>
        </w:rPr>
        <w:t xml:space="preserve"> by the regulator </w:t>
      </w:r>
      <w:r w:rsidRPr="00136FAE">
        <w:rPr>
          <w:rFonts w:eastAsia="Meiryo" w:cs="Meiryo" w:hint="eastAsia"/>
          <w:szCs w:val="18"/>
        </w:rPr>
        <w:t xml:space="preserve">(NSC: Nuclear Safety Commission, Japan) </w:t>
      </w:r>
      <w:r w:rsidRPr="00136FAE">
        <w:rPr>
          <w:rFonts w:eastAsia="Meiryo" w:cs="Meiryo"/>
          <w:szCs w:val="18"/>
        </w:rPr>
        <w:t>concerning the review of the seismic design of nuclear power plants in Japan. Th</w:t>
      </w:r>
      <w:r w:rsidRPr="00136FAE">
        <w:rPr>
          <w:rFonts w:eastAsia="Meiryo" w:cs="Meiryo" w:hint="eastAsia"/>
          <w:szCs w:val="18"/>
        </w:rPr>
        <w:t xml:space="preserve">e </w:t>
      </w:r>
      <w:r w:rsidRPr="00136FAE">
        <w:rPr>
          <w:rFonts w:eastAsia="Meiryo" w:cs="Meiryo"/>
          <w:szCs w:val="18"/>
        </w:rPr>
        <w:t>guidelines address</w:t>
      </w:r>
      <w:r w:rsidR="0094535F" w:rsidRPr="00136FAE">
        <w:rPr>
          <w:rFonts w:eastAsia="Meiryo" w:cs="Meiryo"/>
          <w:szCs w:val="18"/>
        </w:rPr>
        <w:t xml:space="preserve"> that</w:t>
      </w:r>
      <w:r w:rsidRPr="00136FAE">
        <w:rPr>
          <w:rFonts w:eastAsia="Meiryo" w:cs="Meiryo"/>
          <w:szCs w:val="18"/>
        </w:rPr>
        <w:t xml:space="preserve"> both horizontal and vertical d</w:t>
      </w:r>
      <w:r w:rsidRPr="00136FAE">
        <w:rPr>
          <w:rFonts w:eastAsia="Meiryo" w:cs="Meiryo"/>
          <w:szCs w:val="18"/>
        </w:rPr>
        <w:t>e</w:t>
      </w:r>
      <w:r w:rsidRPr="00136FAE">
        <w:rPr>
          <w:rFonts w:eastAsia="Meiryo" w:cs="Meiryo"/>
          <w:szCs w:val="18"/>
        </w:rPr>
        <w:t>sign earthquake ground motions are to be considered. Reflecting the guidelines as well as knowledge obtained from the</w:t>
      </w:r>
      <w:r w:rsidRPr="00136FAE">
        <w:rPr>
          <w:rFonts w:eastAsia="Meiryo" w:cs="Meiryo" w:hint="eastAsia"/>
          <w:szCs w:val="18"/>
        </w:rPr>
        <w:t xml:space="preserve"> NCO </w:t>
      </w:r>
      <w:r w:rsidRPr="00136FAE">
        <w:rPr>
          <w:rFonts w:eastAsia="Meiryo" w:cs="Meiryo"/>
          <w:szCs w:val="18"/>
        </w:rPr>
        <w:t xml:space="preserve">earthquake, TEPCO newly proposed the design basis earthquake ground motion specified </w:t>
      </w:r>
      <w:r w:rsidRPr="00136FAE">
        <w:rPr>
          <w:rFonts w:eastAsia="Meiryo" w:cs="Meiryo" w:hint="eastAsia"/>
          <w:szCs w:val="18"/>
        </w:rPr>
        <w:t>at the free</w:t>
      </w:r>
      <w:r w:rsidRPr="00136FAE">
        <w:rPr>
          <w:rFonts w:eastAsia="Meiryo" w:cs="Meiryo"/>
          <w:szCs w:val="18"/>
        </w:rPr>
        <w:t xml:space="preserve"> surface </w:t>
      </w:r>
      <w:r w:rsidRPr="00136FAE">
        <w:rPr>
          <w:rFonts w:eastAsia="Meiryo" w:cs="Meiryo" w:hint="eastAsia"/>
          <w:szCs w:val="18"/>
        </w:rPr>
        <w:t xml:space="preserve">of the base stratum </w:t>
      </w:r>
      <w:r w:rsidRPr="00136FAE">
        <w:rPr>
          <w:rFonts w:eastAsia="Meiryo" w:cs="Meiryo"/>
          <w:szCs w:val="18"/>
        </w:rPr>
        <w:t xml:space="preserve">about </w:t>
      </w:r>
      <w:r w:rsidRPr="00136FAE">
        <w:rPr>
          <w:rFonts w:eastAsia="TTA6Co00" w:cs="TTA6Co00"/>
          <w:szCs w:val="18"/>
        </w:rPr>
        <w:t>-150</w:t>
      </w:r>
      <w:r w:rsidR="0094535F" w:rsidRPr="00136FAE">
        <w:rPr>
          <w:rFonts w:eastAsia="TTA6Co00" w:cs="TTA6Co00"/>
          <w:szCs w:val="18"/>
        </w:rPr>
        <w:t xml:space="preserve"> </w:t>
      </w:r>
      <w:r w:rsidRPr="00136FAE">
        <w:rPr>
          <w:rFonts w:eastAsia="TTA6Co00" w:cs="TTA6Co00"/>
          <w:szCs w:val="18"/>
        </w:rPr>
        <w:t>m to -300</w:t>
      </w:r>
      <w:r w:rsidR="0094535F" w:rsidRPr="00136FAE">
        <w:rPr>
          <w:rFonts w:eastAsia="TTA6Co00" w:cs="TTA6Co00"/>
          <w:szCs w:val="18"/>
        </w:rPr>
        <w:t xml:space="preserve"> </w:t>
      </w:r>
      <w:r w:rsidRPr="00136FAE">
        <w:rPr>
          <w:rFonts w:eastAsia="TTA6Co00" w:cs="TTA6Co00"/>
          <w:szCs w:val="18"/>
        </w:rPr>
        <w:t>m underground. Maximum a</w:t>
      </w:r>
      <w:r w:rsidRPr="00136FAE">
        <w:rPr>
          <w:rFonts w:eastAsia="TTA6Co00" w:cs="TTA6Co00"/>
          <w:szCs w:val="18"/>
        </w:rPr>
        <w:t>c</w:t>
      </w:r>
      <w:r w:rsidRPr="00136FAE">
        <w:rPr>
          <w:rFonts w:eastAsia="TTA6Co00" w:cs="TTA6Co00"/>
          <w:szCs w:val="18"/>
        </w:rPr>
        <w:t>celeration of</w:t>
      </w:r>
      <w:r w:rsidRPr="00136FAE">
        <w:rPr>
          <w:rFonts w:eastAsia="TTA6Co00" w:cs="TTA6Co00" w:hint="eastAsia"/>
          <w:szCs w:val="18"/>
        </w:rPr>
        <w:t xml:space="preserve"> the design earthquake ground motion PGA</w:t>
      </w:r>
      <w:r w:rsidRPr="00136FAE">
        <w:rPr>
          <w:rFonts w:eastAsia="TTA6Co00" w:cs="TTA6Co00" w:hint="eastAsia"/>
          <w:szCs w:val="18"/>
          <w:vertAlign w:val="subscript"/>
        </w:rPr>
        <w:t>H</w:t>
      </w:r>
      <w:r w:rsidRPr="00136FAE">
        <w:rPr>
          <w:rFonts w:eastAsia="TTA6Co00" w:cs="TTA6Co00" w:hint="eastAsia"/>
          <w:szCs w:val="18"/>
        </w:rPr>
        <w:t xml:space="preserve"> (</w:t>
      </w:r>
      <w:r w:rsidRPr="00136FAE">
        <w:rPr>
          <w:rFonts w:eastAsia="TTA6Co00" w:cs="TTA6Co00"/>
          <w:szCs w:val="18"/>
        </w:rPr>
        <w:t>horizontal</w:t>
      </w:r>
      <w:r w:rsidRPr="00136FAE">
        <w:rPr>
          <w:rFonts w:eastAsia="TTA6Co00" w:cs="TTA6Co00" w:hint="eastAsia"/>
          <w:szCs w:val="18"/>
        </w:rPr>
        <w:t>)</w:t>
      </w:r>
      <w:r w:rsidRPr="00136FAE">
        <w:rPr>
          <w:rFonts w:eastAsia="TTA6Co00" w:cs="TTA6Co00"/>
          <w:szCs w:val="18"/>
        </w:rPr>
        <w:t xml:space="preserve"> and </w:t>
      </w:r>
      <w:r w:rsidRPr="00136FAE">
        <w:rPr>
          <w:rFonts w:eastAsia="TTA6Co00" w:cs="TTA6Co00" w:hint="eastAsia"/>
          <w:szCs w:val="18"/>
        </w:rPr>
        <w:t>PGA</w:t>
      </w:r>
      <w:r w:rsidRPr="00136FAE">
        <w:rPr>
          <w:rFonts w:eastAsia="TTA6Co00" w:cs="TTA6Co00" w:hint="eastAsia"/>
          <w:szCs w:val="18"/>
          <w:vertAlign w:val="subscript"/>
        </w:rPr>
        <w:t>V</w:t>
      </w:r>
      <w:r w:rsidRPr="00136FAE">
        <w:rPr>
          <w:rFonts w:eastAsia="TTA6Co00" w:cs="TTA6Co00" w:hint="eastAsia"/>
          <w:szCs w:val="18"/>
        </w:rPr>
        <w:t xml:space="preserve"> (</w:t>
      </w:r>
      <w:r w:rsidRPr="00136FAE">
        <w:rPr>
          <w:rFonts w:eastAsia="TTA6Co00" w:cs="TTA6Co00"/>
          <w:szCs w:val="18"/>
        </w:rPr>
        <w:t>vertical</w:t>
      </w:r>
      <w:r w:rsidRPr="00136FAE">
        <w:rPr>
          <w:rFonts w:eastAsia="TTA6Co00" w:cs="TTA6Co00" w:hint="eastAsia"/>
          <w:szCs w:val="18"/>
        </w:rPr>
        <w:t>)</w:t>
      </w:r>
      <w:r w:rsidRPr="00136FAE">
        <w:rPr>
          <w:rFonts w:eastAsia="TTA6Co00" w:cs="TTA6Co00"/>
          <w:szCs w:val="18"/>
        </w:rPr>
        <w:t xml:space="preserve"> are as fo</w:t>
      </w:r>
      <w:r w:rsidRPr="00136FAE">
        <w:rPr>
          <w:rFonts w:eastAsia="TTA6Co00" w:cs="TTA6Co00"/>
          <w:szCs w:val="18"/>
        </w:rPr>
        <w:t>l</w:t>
      </w:r>
      <w:r w:rsidRPr="00136FAE">
        <w:rPr>
          <w:rFonts w:eastAsia="TTA6Co00" w:cs="TTA6Co00"/>
          <w:szCs w:val="18"/>
        </w:rPr>
        <w:t xml:space="preserve">lows. </w:t>
      </w:r>
      <w:r w:rsidRPr="00136FAE">
        <w:rPr>
          <w:rFonts w:eastAsia="Meiryo" w:cs="Meiryo"/>
          <w:szCs w:val="18"/>
        </w:rPr>
        <w:t>Numbers in the parenthes</w:t>
      </w:r>
      <w:r w:rsidRPr="00136FAE">
        <w:rPr>
          <w:rFonts w:eastAsia="Meiryo" w:cs="Meiryo" w:hint="eastAsia"/>
          <w:szCs w:val="18"/>
        </w:rPr>
        <w:t>e</w:t>
      </w:r>
      <w:r w:rsidRPr="00136FAE">
        <w:rPr>
          <w:rFonts w:eastAsia="Meiryo" w:cs="Meiryo"/>
          <w:szCs w:val="18"/>
        </w:rPr>
        <w:t xml:space="preserve">s are </w:t>
      </w:r>
      <w:r w:rsidRPr="00136FAE">
        <w:rPr>
          <w:rFonts w:eastAsia="TTA6Co00" w:cs="TTA6Co00" w:hint="eastAsia"/>
          <w:szCs w:val="18"/>
        </w:rPr>
        <w:t>the</w:t>
      </w:r>
      <w:r w:rsidR="00B4524D" w:rsidRPr="00B4524D">
        <w:rPr>
          <w:rFonts w:eastAsia="TTA6Co00" w:cs="TTA6Co00"/>
          <w:szCs w:val="18"/>
        </w:rPr>
        <w:t xml:space="preserve"> </w:t>
      </w:r>
      <w:r w:rsidR="00B4524D" w:rsidRPr="00136FAE">
        <w:rPr>
          <w:rFonts w:eastAsia="TTA6Co00" w:cs="TTA6Co00"/>
          <w:szCs w:val="18"/>
        </w:rPr>
        <w:t>maximum</w:t>
      </w:r>
      <w:r w:rsidRPr="00136FAE">
        <w:rPr>
          <w:rFonts w:eastAsia="TTA6Co00" w:cs="TTA6Co00" w:hint="eastAsia"/>
          <w:szCs w:val="18"/>
        </w:rPr>
        <w:t xml:space="preserve"> </w:t>
      </w:r>
      <w:r w:rsidRPr="00136FAE">
        <w:rPr>
          <w:rFonts w:eastAsia="TTA6Co00" w:cs="TTA6Co00"/>
          <w:szCs w:val="18"/>
        </w:rPr>
        <w:t xml:space="preserve">acceleration </w:t>
      </w:r>
      <w:r w:rsidRPr="00136FAE">
        <w:rPr>
          <w:rFonts w:eastAsia="TTA6Co00" w:cs="TTA6Co00" w:hint="eastAsia"/>
          <w:szCs w:val="18"/>
        </w:rPr>
        <w:t xml:space="preserve">on the base mat of the reactor building </w:t>
      </w:r>
      <w:r w:rsidRPr="00136FAE">
        <w:rPr>
          <w:rFonts w:eastAsia="TTA6Co00" w:cs="TTA6Co00"/>
          <w:szCs w:val="18"/>
        </w:rPr>
        <w:t xml:space="preserve">from </w:t>
      </w:r>
      <w:r w:rsidRPr="00136FAE">
        <w:rPr>
          <w:rFonts w:eastAsia="Meiryo" w:cs="Meiryo"/>
          <w:szCs w:val="18"/>
        </w:rPr>
        <w:t xml:space="preserve">the response analysis using </w:t>
      </w:r>
      <w:r w:rsidRPr="00136FAE">
        <w:rPr>
          <w:rFonts w:eastAsia="Meiryo" w:cs="Meiryo" w:hint="eastAsia"/>
          <w:szCs w:val="18"/>
        </w:rPr>
        <w:t xml:space="preserve">the revised </w:t>
      </w:r>
      <w:r w:rsidRPr="00136FAE">
        <w:rPr>
          <w:rFonts w:eastAsia="TTA6Co00" w:cs="TTA6Co00"/>
          <w:szCs w:val="18"/>
        </w:rPr>
        <w:t>design basis earthquake ground m</w:t>
      </w:r>
      <w:r w:rsidRPr="00136FAE">
        <w:rPr>
          <w:rFonts w:eastAsia="TTA6Co00" w:cs="TTA6Co00"/>
          <w:szCs w:val="18"/>
        </w:rPr>
        <w:t>o</w:t>
      </w:r>
      <w:r w:rsidRPr="00136FAE">
        <w:rPr>
          <w:rFonts w:eastAsia="TTA6Co00" w:cs="TTA6Co00"/>
          <w:szCs w:val="18"/>
        </w:rPr>
        <w:t>tion</w:t>
      </w:r>
      <w:r w:rsidR="0094535F" w:rsidRPr="00136FAE">
        <w:rPr>
          <w:rFonts w:eastAsia="TTA6Co00" w:cs="TTA6Co00"/>
          <w:szCs w:val="18"/>
        </w:rPr>
        <w:t>:</w:t>
      </w:r>
    </w:p>
    <w:p w:rsidR="00D73E17" w:rsidRPr="00136FAE" w:rsidRDefault="00D73E17" w:rsidP="00D73E17">
      <w:pPr>
        <w:autoSpaceDE w:val="0"/>
        <w:autoSpaceDN w:val="0"/>
        <w:adjustRightInd w:val="0"/>
        <w:spacing w:line="320" w:lineRule="exact"/>
        <w:rPr>
          <w:rFonts w:eastAsia="TTA6Co00" w:cs="TTA6Co00"/>
          <w:szCs w:val="18"/>
        </w:rPr>
      </w:pPr>
    </w:p>
    <w:p w:rsidR="00D73E17" w:rsidRPr="00024672" w:rsidRDefault="0094535F" w:rsidP="00D73E17">
      <w:pPr>
        <w:spacing w:line="320" w:lineRule="exact"/>
        <w:rPr>
          <w:rFonts w:eastAsia="Meiryo" w:cs="Meiryo"/>
          <w:szCs w:val="18"/>
          <w:lang w:val="en-US"/>
        </w:rPr>
      </w:pPr>
      <w:r w:rsidRPr="00136FAE">
        <w:rPr>
          <w:rFonts w:eastAsia="Meiryo" w:cs="Meiryo"/>
          <w:szCs w:val="18"/>
        </w:rPr>
        <w:t>U</w:t>
      </w:r>
      <w:r w:rsidR="00D73E17" w:rsidRPr="00136FAE">
        <w:rPr>
          <w:rFonts w:eastAsia="Meiryo" w:cs="Meiryo"/>
          <w:szCs w:val="18"/>
        </w:rPr>
        <w:t>nit</w:t>
      </w:r>
      <w:r w:rsidRPr="00136FAE">
        <w:rPr>
          <w:rFonts w:eastAsia="Meiryo" w:cs="Meiryo"/>
          <w:szCs w:val="18"/>
        </w:rPr>
        <w:t xml:space="preserve"> </w:t>
      </w:r>
      <w:r w:rsidR="00D73E17" w:rsidRPr="00136FAE">
        <w:rPr>
          <w:rFonts w:eastAsia="Meiryo" w:cs="Meiryo"/>
          <w:szCs w:val="18"/>
        </w:rPr>
        <w:t>1</w:t>
      </w:r>
      <w:r w:rsidR="00D73E17"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w:t>
      </w:r>
      <w:r w:rsidR="00D73E17" w:rsidRPr="00136FAE">
        <w:rPr>
          <w:rFonts w:eastAsia="Meiryo" w:cs="Meiryo"/>
          <w:szCs w:val="18"/>
        </w:rPr>
        <w:t xml:space="preserve"> 2300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(845</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r w:rsidR="00D73E17" w:rsidRPr="00136FAE">
        <w:rPr>
          <w:rFonts w:eastAsia="Meiryo" w:cs="Meiryo"/>
          <w:szCs w:val="18"/>
        </w:rPr>
        <w:t xml:space="preserve">　　　</w:t>
      </w:r>
      <w:r w:rsidRPr="00136FAE">
        <w:rPr>
          <w:rFonts w:eastAsia="Meiryo" w:cs="Meiryo"/>
          <w:szCs w:val="18"/>
        </w:rPr>
        <w:t>PGA</w:t>
      </w:r>
      <w:r w:rsidRPr="00136FAE">
        <w:rPr>
          <w:rFonts w:eastAsia="Meiryo" w:cs="Meiryo"/>
          <w:szCs w:val="18"/>
          <w:vertAlign w:val="subscript"/>
        </w:rPr>
        <w:t>V</w:t>
      </w:r>
      <w:r w:rsidRPr="00136FAE">
        <w:rPr>
          <w:rFonts w:eastAsia="Meiryo" w:cs="Meiryo"/>
          <w:szCs w:val="18"/>
        </w:rPr>
        <w:t xml:space="preserve">  </w:t>
      </w:r>
      <w:r w:rsidR="00D73E17" w:rsidRPr="00136FAE">
        <w:rPr>
          <w:rFonts w:eastAsia="Meiryo" w:cs="Meiryo"/>
          <w:szCs w:val="18"/>
        </w:rPr>
        <w:t>1050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p>
    <w:p w:rsidR="00D73E17" w:rsidRPr="00136FAE" w:rsidRDefault="0094535F" w:rsidP="00D73E17">
      <w:pPr>
        <w:spacing w:line="320" w:lineRule="exact"/>
        <w:rPr>
          <w:rFonts w:eastAsia="Meiryo" w:cs="Meiryo"/>
          <w:szCs w:val="18"/>
        </w:rPr>
      </w:pPr>
      <w:r w:rsidRPr="00136FAE">
        <w:rPr>
          <w:rFonts w:eastAsia="Meiryo" w:cs="Meiryo"/>
          <w:szCs w:val="18"/>
        </w:rPr>
        <w:t>U</w:t>
      </w:r>
      <w:r w:rsidR="00D73E17" w:rsidRPr="00136FAE">
        <w:rPr>
          <w:rFonts w:eastAsia="Meiryo" w:cs="Meiryo"/>
          <w:szCs w:val="18"/>
        </w:rPr>
        <w:t>nit</w:t>
      </w:r>
      <w:r w:rsidRPr="00136FAE">
        <w:rPr>
          <w:rFonts w:eastAsia="Meiryo" w:cs="Meiryo"/>
          <w:szCs w:val="18"/>
        </w:rPr>
        <w:t xml:space="preserve"> </w:t>
      </w:r>
      <w:r w:rsidR="00D73E17" w:rsidRPr="00136FAE">
        <w:rPr>
          <w:rFonts w:eastAsia="Meiryo" w:cs="Meiryo"/>
          <w:szCs w:val="18"/>
        </w:rPr>
        <w:t>2</w:t>
      </w:r>
      <w:r w:rsidR="00D73E17"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w:t>
      </w:r>
      <w:r w:rsidR="00D73E17" w:rsidRPr="00136FAE">
        <w:rPr>
          <w:rFonts w:eastAsia="Meiryo" w:cs="Meiryo"/>
          <w:szCs w:val="18"/>
        </w:rPr>
        <w:t xml:space="preserve"> 2300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(809</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w:t>
      </w:r>
      <w:r w:rsidR="00D73E17" w:rsidRPr="00136FAE">
        <w:rPr>
          <w:rFonts w:eastAsia="Meiryo" w:cs="Meiryo"/>
          <w:szCs w:val="18"/>
        </w:rPr>
        <w:t xml:space="preserve">　　　</w:t>
      </w:r>
      <w:r w:rsidR="00D73E17" w:rsidRPr="00136FAE">
        <w:rPr>
          <w:rFonts w:eastAsia="Meiryo" w:cs="Meiryo"/>
          <w:szCs w:val="18"/>
        </w:rPr>
        <w:t xml:space="preserve"> </w:t>
      </w:r>
      <w:r w:rsidRPr="00136FAE">
        <w:rPr>
          <w:rFonts w:eastAsia="Meiryo" w:cs="Meiryo"/>
          <w:szCs w:val="18"/>
        </w:rPr>
        <w:t>PGA</w:t>
      </w:r>
      <w:r w:rsidRPr="00136FAE">
        <w:rPr>
          <w:rFonts w:eastAsia="Meiryo" w:cs="Meiryo"/>
          <w:szCs w:val="18"/>
          <w:vertAlign w:val="subscript"/>
        </w:rPr>
        <w:t>V</w:t>
      </w:r>
      <w:r w:rsidRPr="00136FAE">
        <w:rPr>
          <w:rFonts w:eastAsia="Meiryo" w:cs="Meiryo"/>
          <w:szCs w:val="18"/>
        </w:rPr>
        <w:t xml:space="preserve">  </w:t>
      </w:r>
      <w:r w:rsidR="00D73E17" w:rsidRPr="00136FAE">
        <w:rPr>
          <w:rFonts w:eastAsia="Meiryo" w:cs="Meiryo"/>
          <w:szCs w:val="18"/>
        </w:rPr>
        <w:t>1050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p>
    <w:p w:rsidR="00D73E17" w:rsidRPr="00136FAE" w:rsidRDefault="0094535F" w:rsidP="00D73E17">
      <w:pPr>
        <w:spacing w:line="320" w:lineRule="exact"/>
        <w:rPr>
          <w:rFonts w:eastAsia="Meiryo" w:cs="Meiryo"/>
          <w:szCs w:val="18"/>
        </w:rPr>
      </w:pPr>
      <w:r w:rsidRPr="00136FAE">
        <w:rPr>
          <w:rFonts w:eastAsia="Meiryo" w:cs="Meiryo"/>
          <w:szCs w:val="18"/>
        </w:rPr>
        <w:t>U</w:t>
      </w:r>
      <w:r w:rsidR="00D73E17" w:rsidRPr="00136FAE">
        <w:rPr>
          <w:rFonts w:eastAsia="Meiryo" w:cs="Meiryo"/>
          <w:szCs w:val="18"/>
        </w:rPr>
        <w:t>nit</w:t>
      </w:r>
      <w:r w:rsidRPr="00136FAE">
        <w:rPr>
          <w:rFonts w:eastAsia="Meiryo" w:cs="Meiryo"/>
          <w:szCs w:val="18"/>
        </w:rPr>
        <w:t xml:space="preserve"> </w:t>
      </w:r>
      <w:r w:rsidR="00D73E17" w:rsidRPr="00136FAE">
        <w:rPr>
          <w:rFonts w:eastAsia="Meiryo" w:cs="Meiryo"/>
          <w:szCs w:val="18"/>
        </w:rPr>
        <w:t>3</w:t>
      </w:r>
      <w:r w:rsidR="00D73E17"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w:t>
      </w:r>
      <w:r w:rsidR="00D73E17" w:rsidRPr="00136FAE">
        <w:rPr>
          <w:rFonts w:eastAsia="Meiryo" w:cs="Meiryo"/>
          <w:szCs w:val="18"/>
        </w:rPr>
        <w:t>2300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(761</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w:t>
      </w:r>
      <w:r w:rsidR="00D73E17" w:rsidRPr="00136FAE">
        <w:rPr>
          <w:rFonts w:eastAsia="Meiryo" w:cs="Meiryo"/>
          <w:szCs w:val="18"/>
        </w:rPr>
        <w:t xml:space="preserve">　　　</w:t>
      </w:r>
      <w:r w:rsidR="00D73E17" w:rsidRPr="00136FAE">
        <w:rPr>
          <w:rFonts w:eastAsia="Meiryo" w:cs="Meiryo"/>
          <w:szCs w:val="18"/>
        </w:rPr>
        <w:t xml:space="preserve"> </w:t>
      </w:r>
      <w:r w:rsidRPr="00136FAE">
        <w:rPr>
          <w:rFonts w:eastAsia="Meiryo" w:cs="Meiryo"/>
          <w:szCs w:val="18"/>
        </w:rPr>
        <w:t>PGA</w:t>
      </w:r>
      <w:r w:rsidRPr="00136FAE">
        <w:rPr>
          <w:rFonts w:eastAsia="Meiryo" w:cs="Meiryo"/>
          <w:szCs w:val="18"/>
          <w:vertAlign w:val="subscript"/>
        </w:rPr>
        <w:t>V</w:t>
      </w:r>
      <w:r w:rsidRPr="00136FAE">
        <w:rPr>
          <w:rFonts w:eastAsia="Meiryo" w:cs="Meiryo"/>
          <w:szCs w:val="18"/>
        </w:rPr>
        <w:t xml:space="preserve">  </w:t>
      </w:r>
      <w:r w:rsidR="00D73E17" w:rsidRPr="00136FAE">
        <w:rPr>
          <w:rFonts w:eastAsia="Meiryo" w:cs="Meiryo"/>
          <w:szCs w:val="18"/>
        </w:rPr>
        <w:t>1050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p>
    <w:p w:rsidR="00D73E17" w:rsidRPr="00136FAE" w:rsidRDefault="0094535F" w:rsidP="00D73E17">
      <w:pPr>
        <w:spacing w:line="320" w:lineRule="exact"/>
        <w:rPr>
          <w:rFonts w:eastAsia="Meiryo" w:cs="Meiryo"/>
          <w:szCs w:val="18"/>
        </w:rPr>
      </w:pPr>
      <w:r w:rsidRPr="00136FAE">
        <w:rPr>
          <w:rFonts w:eastAsia="Meiryo" w:cs="Meiryo"/>
          <w:szCs w:val="18"/>
        </w:rPr>
        <w:t>U</w:t>
      </w:r>
      <w:r w:rsidR="00D73E17" w:rsidRPr="00136FAE">
        <w:rPr>
          <w:rFonts w:eastAsia="Meiryo" w:cs="Meiryo"/>
          <w:szCs w:val="18"/>
        </w:rPr>
        <w:t>nit</w:t>
      </w:r>
      <w:r w:rsidRPr="00136FAE">
        <w:rPr>
          <w:rFonts w:eastAsia="Meiryo" w:cs="Meiryo"/>
          <w:szCs w:val="18"/>
        </w:rPr>
        <w:t xml:space="preserve"> </w:t>
      </w:r>
      <w:r w:rsidR="00D73E17" w:rsidRPr="00136FAE">
        <w:rPr>
          <w:rFonts w:eastAsia="Meiryo" w:cs="Meiryo"/>
          <w:szCs w:val="18"/>
        </w:rPr>
        <w:t>4</w:t>
      </w:r>
      <w:r w:rsidR="00D73E17"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w:t>
      </w:r>
      <w:r w:rsidR="00D73E17" w:rsidRPr="00136FAE">
        <w:rPr>
          <w:rFonts w:eastAsia="Meiryo" w:cs="Meiryo"/>
          <w:szCs w:val="18"/>
        </w:rPr>
        <w:t>2300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(704</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w:t>
      </w:r>
      <w:r w:rsidR="00D73E17" w:rsidRPr="00136FAE">
        <w:rPr>
          <w:rFonts w:eastAsia="Meiryo" w:cs="Meiryo"/>
          <w:szCs w:val="18"/>
        </w:rPr>
        <w:t xml:space="preserve">　　　</w:t>
      </w:r>
      <w:r w:rsidR="00D73E17" w:rsidRPr="00136FAE">
        <w:rPr>
          <w:rFonts w:eastAsia="Meiryo" w:cs="Meiryo"/>
          <w:szCs w:val="18"/>
        </w:rPr>
        <w:t xml:space="preserve"> </w:t>
      </w:r>
      <w:r w:rsidRPr="00136FAE">
        <w:rPr>
          <w:rFonts w:eastAsia="Meiryo" w:cs="Meiryo"/>
          <w:szCs w:val="18"/>
        </w:rPr>
        <w:t>PGA</w:t>
      </w:r>
      <w:r w:rsidRPr="00136FAE">
        <w:rPr>
          <w:rFonts w:eastAsia="Meiryo" w:cs="Meiryo"/>
          <w:szCs w:val="18"/>
          <w:vertAlign w:val="subscript"/>
        </w:rPr>
        <w:t>V</w:t>
      </w:r>
      <w:r w:rsidRPr="00136FAE">
        <w:rPr>
          <w:rFonts w:eastAsia="Meiryo" w:cs="Meiryo"/>
          <w:szCs w:val="18"/>
        </w:rPr>
        <w:t xml:space="preserve">  </w:t>
      </w:r>
      <w:r w:rsidR="00D73E17" w:rsidRPr="00136FAE">
        <w:rPr>
          <w:rFonts w:eastAsia="Meiryo" w:cs="Meiryo"/>
          <w:szCs w:val="18"/>
        </w:rPr>
        <w:t>1050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p>
    <w:p w:rsidR="00D73E17" w:rsidRPr="00136FAE" w:rsidRDefault="0094535F" w:rsidP="00D73E17">
      <w:pPr>
        <w:spacing w:line="320" w:lineRule="exact"/>
        <w:rPr>
          <w:rFonts w:eastAsia="Meiryo" w:cs="Meiryo"/>
          <w:szCs w:val="18"/>
        </w:rPr>
      </w:pPr>
      <w:r w:rsidRPr="00136FAE">
        <w:rPr>
          <w:rFonts w:eastAsia="Meiryo" w:cs="Meiryo"/>
          <w:szCs w:val="18"/>
        </w:rPr>
        <w:t>U</w:t>
      </w:r>
      <w:r w:rsidR="00D73E17" w:rsidRPr="00136FAE">
        <w:rPr>
          <w:rFonts w:eastAsia="Meiryo" w:cs="Meiryo"/>
          <w:szCs w:val="18"/>
        </w:rPr>
        <w:t>nit</w:t>
      </w:r>
      <w:r w:rsidRPr="00136FAE">
        <w:rPr>
          <w:rFonts w:eastAsia="Meiryo" w:cs="Meiryo"/>
          <w:szCs w:val="18"/>
        </w:rPr>
        <w:t xml:space="preserve"> </w:t>
      </w:r>
      <w:r w:rsidR="00D73E17" w:rsidRPr="00136FAE">
        <w:rPr>
          <w:rFonts w:eastAsia="Meiryo" w:cs="Meiryo"/>
          <w:szCs w:val="18"/>
        </w:rPr>
        <w:t>5</w:t>
      </w:r>
      <w:r w:rsidR="00D73E17"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w:t>
      </w:r>
      <w:r w:rsidR="00D73E17" w:rsidRPr="00136FAE">
        <w:rPr>
          <w:rFonts w:eastAsia="Meiryo" w:cs="Meiryo"/>
          <w:szCs w:val="18"/>
        </w:rPr>
        <w:t>1050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(606</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w:t>
      </w:r>
      <w:r w:rsidR="00D73E17" w:rsidRPr="00136FAE">
        <w:rPr>
          <w:rFonts w:eastAsia="Meiryo" w:cs="Meiryo"/>
          <w:szCs w:val="18"/>
        </w:rPr>
        <w:t xml:space="preserve">　　　</w:t>
      </w:r>
      <w:r w:rsidR="00D73E17" w:rsidRPr="00136FAE">
        <w:rPr>
          <w:rFonts w:eastAsia="Meiryo" w:cs="Meiryo"/>
          <w:szCs w:val="18"/>
        </w:rPr>
        <w:t xml:space="preserve"> </w:t>
      </w:r>
      <w:r w:rsidRPr="00136FAE">
        <w:rPr>
          <w:rFonts w:eastAsia="Meiryo" w:cs="Meiryo"/>
          <w:szCs w:val="18"/>
        </w:rPr>
        <w:t>PGA</w:t>
      </w:r>
      <w:r w:rsidRPr="00136FAE">
        <w:rPr>
          <w:rFonts w:eastAsia="Meiryo" w:cs="Meiryo"/>
          <w:szCs w:val="18"/>
          <w:vertAlign w:val="subscript"/>
        </w:rPr>
        <w:t>V</w:t>
      </w:r>
      <w:r w:rsidRPr="00136FAE">
        <w:rPr>
          <w:rFonts w:eastAsia="Meiryo" w:cs="Meiryo"/>
          <w:szCs w:val="18"/>
        </w:rPr>
        <w:t xml:space="preserve">    </w:t>
      </w:r>
      <w:r w:rsidR="00D73E17" w:rsidRPr="00136FAE">
        <w:rPr>
          <w:rFonts w:eastAsia="Meiryo" w:cs="Meiryo"/>
          <w:szCs w:val="18"/>
        </w:rPr>
        <w:t>650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p>
    <w:p w:rsidR="00D73E17" w:rsidRPr="00136FAE" w:rsidRDefault="0094535F" w:rsidP="00D73E17">
      <w:pPr>
        <w:spacing w:line="320" w:lineRule="exact"/>
        <w:rPr>
          <w:rFonts w:eastAsia="Meiryo" w:cs="Meiryo"/>
          <w:szCs w:val="18"/>
        </w:rPr>
      </w:pPr>
      <w:r w:rsidRPr="00136FAE">
        <w:rPr>
          <w:rFonts w:eastAsia="Meiryo" w:cs="Meiryo"/>
          <w:szCs w:val="18"/>
        </w:rPr>
        <w:t>U</w:t>
      </w:r>
      <w:r w:rsidR="00D73E17" w:rsidRPr="00136FAE">
        <w:rPr>
          <w:rFonts w:eastAsia="Meiryo" w:cs="Meiryo"/>
          <w:szCs w:val="18"/>
        </w:rPr>
        <w:t>nit</w:t>
      </w:r>
      <w:r w:rsidRPr="00136FAE">
        <w:rPr>
          <w:rFonts w:eastAsia="Meiryo" w:cs="Meiryo"/>
          <w:szCs w:val="18"/>
        </w:rPr>
        <w:t xml:space="preserve"> </w:t>
      </w:r>
      <w:r w:rsidR="00D73E17" w:rsidRPr="00136FAE">
        <w:rPr>
          <w:rFonts w:eastAsia="Meiryo" w:cs="Meiryo"/>
          <w:szCs w:val="18"/>
        </w:rPr>
        <w:t>6</w:t>
      </w:r>
      <w:r w:rsidR="00D73E17"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w:t>
      </w:r>
      <w:r w:rsidR="00D73E17" w:rsidRPr="00136FAE">
        <w:rPr>
          <w:rFonts w:eastAsia="Meiryo" w:cs="Meiryo"/>
          <w:szCs w:val="18"/>
        </w:rPr>
        <w:t>1050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(724</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w:t>
      </w:r>
      <w:r w:rsidR="00D73E17" w:rsidRPr="00136FAE">
        <w:rPr>
          <w:rFonts w:eastAsia="Meiryo" w:cs="Meiryo"/>
          <w:szCs w:val="18"/>
        </w:rPr>
        <w:t xml:space="preserve">　　　</w:t>
      </w:r>
      <w:r w:rsidR="00D73E17" w:rsidRPr="00136FAE">
        <w:rPr>
          <w:rFonts w:eastAsia="Meiryo" w:cs="Meiryo"/>
          <w:szCs w:val="18"/>
        </w:rPr>
        <w:t xml:space="preserve"> </w:t>
      </w:r>
      <w:r w:rsidRPr="00136FAE">
        <w:rPr>
          <w:rFonts w:eastAsia="Meiryo" w:cs="Meiryo"/>
          <w:szCs w:val="18"/>
        </w:rPr>
        <w:t>PGA</w:t>
      </w:r>
      <w:r w:rsidRPr="00136FAE">
        <w:rPr>
          <w:rFonts w:eastAsia="Meiryo" w:cs="Meiryo"/>
          <w:szCs w:val="18"/>
          <w:vertAlign w:val="subscript"/>
        </w:rPr>
        <w:t>V</w:t>
      </w:r>
      <w:r w:rsidRPr="00136FAE">
        <w:rPr>
          <w:rFonts w:eastAsia="Meiryo" w:cs="Meiryo"/>
          <w:szCs w:val="18"/>
        </w:rPr>
        <w:t xml:space="preserve">    </w:t>
      </w:r>
      <w:r w:rsidR="00D73E17" w:rsidRPr="00136FAE">
        <w:rPr>
          <w:rFonts w:eastAsia="Meiryo" w:cs="Meiryo"/>
          <w:szCs w:val="18"/>
        </w:rPr>
        <w:t>650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p>
    <w:p w:rsidR="00D73E17" w:rsidRPr="00136FAE" w:rsidRDefault="0094535F" w:rsidP="00D73E17">
      <w:pPr>
        <w:spacing w:line="320" w:lineRule="exact"/>
        <w:rPr>
          <w:rFonts w:eastAsia="Meiryo" w:cs="Meiryo"/>
          <w:szCs w:val="18"/>
        </w:rPr>
      </w:pPr>
      <w:r w:rsidRPr="00136FAE">
        <w:rPr>
          <w:rFonts w:eastAsia="Meiryo" w:cs="Meiryo"/>
          <w:szCs w:val="18"/>
        </w:rPr>
        <w:t>U</w:t>
      </w:r>
      <w:r w:rsidR="00D73E17" w:rsidRPr="00136FAE">
        <w:rPr>
          <w:rFonts w:eastAsia="Meiryo" w:cs="Meiryo"/>
          <w:szCs w:val="18"/>
        </w:rPr>
        <w:t>nit</w:t>
      </w:r>
      <w:r w:rsidRPr="00136FAE">
        <w:rPr>
          <w:rFonts w:eastAsia="Meiryo" w:cs="Meiryo"/>
          <w:szCs w:val="18"/>
        </w:rPr>
        <w:t xml:space="preserve"> </w:t>
      </w:r>
      <w:r w:rsidR="00D73E17" w:rsidRPr="00136FAE">
        <w:rPr>
          <w:rFonts w:eastAsia="Meiryo" w:cs="Meiryo"/>
          <w:szCs w:val="18"/>
        </w:rPr>
        <w:t>7</w:t>
      </w:r>
      <w:r w:rsidR="00D73E17" w:rsidRPr="00136FAE">
        <w:rPr>
          <w:rFonts w:eastAsia="Meiryo" w:cs="Meiryo"/>
          <w:szCs w:val="18"/>
        </w:rPr>
        <w:t xml:space="preserve">　</w:t>
      </w:r>
      <w:r w:rsidRPr="00136FAE">
        <w:rPr>
          <w:rFonts w:eastAsia="TTA6Co00" w:cs="TTA6Co00"/>
          <w:szCs w:val="18"/>
        </w:rPr>
        <w:t xml:space="preserve"> PGA</w:t>
      </w:r>
      <w:r w:rsidRPr="00136FAE">
        <w:rPr>
          <w:rFonts w:eastAsia="Meiryo" w:cs="Meiryo"/>
          <w:szCs w:val="18"/>
          <w:vertAlign w:val="subscript"/>
        </w:rPr>
        <w:t>H</w:t>
      </w:r>
      <w:r w:rsidRPr="00136FAE">
        <w:rPr>
          <w:rFonts w:eastAsia="Meiryo" w:cs="Meiryo"/>
          <w:szCs w:val="18"/>
        </w:rPr>
        <w:t xml:space="preserve">     </w:t>
      </w:r>
      <w:r w:rsidR="00D73E17" w:rsidRPr="00136FAE">
        <w:rPr>
          <w:rFonts w:eastAsia="Meiryo" w:cs="Meiryo"/>
          <w:szCs w:val="18"/>
        </w:rPr>
        <w:t>1050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(738</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w:t>
      </w:r>
      <w:r w:rsidR="00D73E17" w:rsidRPr="00136FAE">
        <w:rPr>
          <w:rFonts w:eastAsia="Meiryo" w:cs="Meiryo"/>
          <w:szCs w:val="18"/>
        </w:rPr>
        <w:t xml:space="preserve">　　　</w:t>
      </w:r>
      <w:r w:rsidR="00D73E17" w:rsidRPr="00136FAE">
        <w:rPr>
          <w:rFonts w:eastAsia="Meiryo" w:cs="Meiryo"/>
          <w:szCs w:val="18"/>
        </w:rPr>
        <w:t xml:space="preserve"> PGA</w:t>
      </w:r>
      <w:r w:rsidR="00D73E17" w:rsidRPr="00136FAE">
        <w:rPr>
          <w:rFonts w:eastAsia="Meiryo" w:cs="Meiryo"/>
          <w:szCs w:val="18"/>
          <w:vertAlign w:val="subscript"/>
        </w:rPr>
        <w:t>V</w:t>
      </w:r>
      <w:r w:rsidR="00D73E17" w:rsidRPr="00136FAE">
        <w:rPr>
          <w:rFonts w:eastAsia="Meiryo" w:cs="Meiryo"/>
          <w:szCs w:val="18"/>
        </w:rPr>
        <w:t xml:space="preserve">  </w:t>
      </w:r>
      <w:r w:rsidRPr="00136FAE">
        <w:rPr>
          <w:rFonts w:eastAsia="Meiryo" w:cs="Meiryo"/>
          <w:szCs w:val="18"/>
        </w:rPr>
        <w:t xml:space="preserve">  </w:t>
      </w:r>
      <w:r w:rsidR="00D73E17" w:rsidRPr="00136FAE">
        <w:rPr>
          <w:rFonts w:eastAsia="Meiryo" w:cs="Meiryo"/>
          <w:szCs w:val="18"/>
        </w:rPr>
        <w:t>650</w:t>
      </w:r>
      <w:r w:rsidR="00D73E17" w:rsidRPr="00136FAE">
        <w:rPr>
          <w:rFonts w:eastAsia="TTA6Co00" w:cs="TTA6Co00"/>
          <w:szCs w:val="18"/>
        </w:rPr>
        <w:t xml:space="preserve"> cm/s</w:t>
      </w:r>
      <w:r w:rsidR="00D73E17" w:rsidRPr="00136FAE">
        <w:rPr>
          <w:rFonts w:eastAsia="TTA6Co00" w:cs="TTA6Co00"/>
          <w:szCs w:val="18"/>
          <w:vertAlign w:val="superscript"/>
        </w:rPr>
        <w:t>2</w:t>
      </w:r>
      <w:r w:rsidR="00D73E17" w:rsidRPr="00136FAE">
        <w:rPr>
          <w:rFonts w:eastAsia="Meiryo" w:cs="Meiryo"/>
          <w:szCs w:val="18"/>
        </w:rPr>
        <w:t xml:space="preserve">　</w:t>
      </w:r>
    </w:p>
    <w:p w:rsidR="00D73E17" w:rsidRPr="00136FAE" w:rsidRDefault="00D73E17" w:rsidP="00D73E17">
      <w:pPr>
        <w:spacing w:line="320" w:lineRule="exact"/>
        <w:rPr>
          <w:rFonts w:eastAsia="Meiryo" w:cs="Meiryo"/>
          <w:szCs w:val="18"/>
        </w:rPr>
      </w:pPr>
    </w:p>
    <w:p w:rsidR="00D73E17" w:rsidRPr="00136FAE" w:rsidRDefault="00D73E17" w:rsidP="00D73E17">
      <w:pPr>
        <w:autoSpaceDE w:val="0"/>
        <w:autoSpaceDN w:val="0"/>
        <w:adjustRightInd w:val="0"/>
        <w:spacing w:line="320" w:lineRule="exact"/>
        <w:rPr>
          <w:rFonts w:cs="TT7ED48o00"/>
          <w:szCs w:val="18"/>
        </w:rPr>
      </w:pPr>
      <w:r w:rsidRPr="00136FAE">
        <w:rPr>
          <w:rFonts w:eastAsia="Meiryo" w:cs="Meiryo"/>
          <w:b/>
          <w:i/>
          <w:szCs w:val="18"/>
        </w:rPr>
        <w:t>Upgrade</w:t>
      </w:r>
      <w:r w:rsidR="0094535F" w:rsidRPr="00136FAE">
        <w:rPr>
          <w:rFonts w:eastAsia="Meiryo" w:cs="Meiryo"/>
          <w:b/>
          <w:i/>
          <w:szCs w:val="18"/>
        </w:rPr>
        <w:t>s</w:t>
      </w:r>
      <w:r w:rsidRPr="00136FAE">
        <w:rPr>
          <w:rFonts w:eastAsia="Meiryo" w:cs="Meiryo"/>
          <w:b/>
          <w:i/>
          <w:szCs w:val="18"/>
        </w:rPr>
        <w:t>:</w:t>
      </w:r>
      <w:r w:rsidR="0094535F" w:rsidRPr="00136FAE">
        <w:rPr>
          <w:rFonts w:eastAsia="Meiryo" w:cs="Meiryo"/>
          <w:szCs w:val="18"/>
        </w:rPr>
        <w:t xml:space="preserve"> </w:t>
      </w:r>
      <w:r w:rsidRPr="00136FAE">
        <w:rPr>
          <w:rFonts w:cs="TT7ED48o00" w:hint="eastAsia"/>
          <w:szCs w:val="18"/>
        </w:rPr>
        <w:t>After NCO earthquake, u</w:t>
      </w:r>
      <w:r w:rsidRPr="00136FAE">
        <w:rPr>
          <w:rFonts w:cs="TT7ED48o00"/>
          <w:szCs w:val="18"/>
        </w:rPr>
        <w:t xml:space="preserve">pgrading to the site and </w:t>
      </w:r>
      <w:r w:rsidRPr="00136FAE">
        <w:rPr>
          <w:rFonts w:cs="TT7ED48o00" w:hint="eastAsia"/>
          <w:szCs w:val="18"/>
        </w:rPr>
        <w:t xml:space="preserve">the </w:t>
      </w:r>
      <w:r w:rsidRPr="00136FAE">
        <w:rPr>
          <w:rFonts w:cs="TT7ED48o00"/>
          <w:szCs w:val="18"/>
        </w:rPr>
        <w:t>plant structures, systems and comp</w:t>
      </w:r>
      <w:r w:rsidRPr="00136FAE">
        <w:rPr>
          <w:rFonts w:cs="TT7ED48o00"/>
          <w:szCs w:val="18"/>
        </w:rPr>
        <w:t>o</w:t>
      </w:r>
      <w:r w:rsidRPr="00136FAE">
        <w:rPr>
          <w:rFonts w:cs="TT7ED48o00"/>
          <w:szCs w:val="18"/>
        </w:rPr>
        <w:t>nents were conducted such as</w:t>
      </w:r>
      <w:r w:rsidR="0094535F" w:rsidRPr="00136FAE">
        <w:rPr>
          <w:rFonts w:cs="TT7ED48o00"/>
          <w:szCs w:val="18"/>
        </w:rPr>
        <w:t>: s</w:t>
      </w:r>
      <w:r w:rsidRPr="00136FAE">
        <w:rPr>
          <w:rFonts w:cs="TT7ED48o00"/>
          <w:szCs w:val="18"/>
        </w:rPr>
        <w:t>oil stabilization works on the site, modifications to structures including the reactor building roof structure, crane rail supports and exhaust stack, addition of new pipe su</w:t>
      </w:r>
      <w:r w:rsidRPr="00136FAE">
        <w:rPr>
          <w:rFonts w:cs="TT7ED48o00"/>
          <w:szCs w:val="18"/>
        </w:rPr>
        <w:t>p</w:t>
      </w:r>
      <w:r w:rsidRPr="00136FAE">
        <w:rPr>
          <w:rFonts w:cs="TT7ED48o00"/>
          <w:szCs w:val="18"/>
        </w:rPr>
        <w:t>ports and modifications to existing pipe supports</w:t>
      </w:r>
      <w:r w:rsidR="00D05FFB" w:rsidRPr="00136FAE">
        <w:rPr>
          <w:rFonts w:cs="TT7ED48o00"/>
          <w:szCs w:val="18"/>
        </w:rPr>
        <w:t xml:space="preserve"> (IAEA, 2008)</w:t>
      </w:r>
      <w:r w:rsidR="00136FAE">
        <w:rPr>
          <w:rFonts w:cs="TT7ED48o00"/>
          <w:szCs w:val="18"/>
        </w:rPr>
        <w:t>.</w:t>
      </w:r>
    </w:p>
    <w:p w:rsidR="0094535F" w:rsidRPr="00136FAE" w:rsidRDefault="0094535F" w:rsidP="0094535F">
      <w:pPr>
        <w:spacing w:line="320" w:lineRule="exact"/>
        <w:rPr>
          <w:rFonts w:eastAsia="Meiryo" w:cs="Meiryo"/>
          <w:szCs w:val="18"/>
        </w:rPr>
      </w:pPr>
    </w:p>
    <w:p w:rsidR="0094535F" w:rsidRPr="00136FAE" w:rsidRDefault="0094535F" w:rsidP="0094535F">
      <w:pPr>
        <w:spacing w:line="320" w:lineRule="exact"/>
        <w:rPr>
          <w:rFonts w:eastAsia="Meiryo" w:cs="Meiryo"/>
          <w:szCs w:val="18"/>
        </w:rPr>
      </w:pPr>
      <w:r w:rsidRPr="00136FAE">
        <w:rPr>
          <w:rFonts w:eastAsia="Meiryo" w:cs="Meiryo"/>
          <w:szCs w:val="18"/>
        </w:rPr>
        <w:t xml:space="preserve">After Fukushima-Daiichi accident which occurred in 2011 new regulatory guides were issued and </w:t>
      </w:r>
      <w:r w:rsidRPr="00136FAE">
        <w:rPr>
          <w:rFonts w:eastAsia="Meiryo" w:cs="Meiryo" w:hint="eastAsia"/>
          <w:szCs w:val="18"/>
        </w:rPr>
        <w:t xml:space="preserve">the </w:t>
      </w:r>
      <w:r w:rsidRPr="00136FAE">
        <w:rPr>
          <w:rFonts w:eastAsia="Meiryo" w:cs="Meiryo"/>
          <w:szCs w:val="18"/>
        </w:rPr>
        <w:t xml:space="preserve">design </w:t>
      </w:r>
      <w:r w:rsidRPr="00136FAE">
        <w:rPr>
          <w:rFonts w:eastAsia="Meiryo" w:cs="Meiryo" w:hint="eastAsia"/>
          <w:szCs w:val="18"/>
        </w:rPr>
        <w:t xml:space="preserve">basis </w:t>
      </w:r>
      <w:r w:rsidRPr="00136FAE">
        <w:rPr>
          <w:rFonts w:eastAsia="Meiryo" w:cs="Meiryo"/>
          <w:szCs w:val="18"/>
        </w:rPr>
        <w:t xml:space="preserve">earthquake ground motions are to be re-evaluated. </w:t>
      </w:r>
      <w:r w:rsidRPr="00136FAE">
        <w:rPr>
          <w:rFonts w:eastAsia="Meiryo" w:cs="Meiryo" w:hint="eastAsia"/>
          <w:szCs w:val="18"/>
        </w:rPr>
        <w:t xml:space="preserve">Upgrading works for SSCs against these newly specified </w:t>
      </w:r>
      <w:r w:rsidRPr="00136FAE">
        <w:rPr>
          <w:rFonts w:eastAsia="Meiryo" w:cs="Meiryo"/>
          <w:szCs w:val="18"/>
        </w:rPr>
        <w:t>eart</w:t>
      </w:r>
      <w:r w:rsidRPr="00136FAE">
        <w:rPr>
          <w:rFonts w:eastAsia="Meiryo" w:cs="Meiryo"/>
          <w:szCs w:val="18"/>
        </w:rPr>
        <w:t>h</w:t>
      </w:r>
      <w:r w:rsidRPr="00136FAE">
        <w:rPr>
          <w:rFonts w:eastAsia="Meiryo" w:cs="Meiryo"/>
          <w:szCs w:val="18"/>
        </w:rPr>
        <w:t>quake ground motions</w:t>
      </w:r>
      <w:r w:rsidRPr="00136FAE">
        <w:rPr>
          <w:rFonts w:eastAsia="Meiryo" w:cs="Meiryo" w:hint="eastAsia"/>
          <w:szCs w:val="18"/>
        </w:rPr>
        <w:t xml:space="preserve"> are (will be) conducted.</w:t>
      </w:r>
    </w:p>
    <w:p w:rsidR="00E72F0B" w:rsidRPr="00E72F0B" w:rsidRDefault="00640729" w:rsidP="00E72F0B">
      <w:pPr>
        <w:pStyle w:val="Titre3"/>
        <w:rPr>
          <w:lang w:val="en-US"/>
        </w:rPr>
      </w:pPr>
      <w:bookmarkStart w:id="52" w:name="_Toc456011875"/>
      <w:r w:rsidRPr="00E72F0B">
        <w:rPr>
          <w:lang w:val="en-US"/>
        </w:rPr>
        <w:t>Fukishima-Daiichi (Japan</w:t>
      </w:r>
      <w:r w:rsidR="00E72F0B" w:rsidRPr="00E72F0B">
        <w:rPr>
          <w:lang w:val="en-US"/>
        </w:rPr>
        <w:t>)</w:t>
      </w:r>
      <w:bookmarkEnd w:id="52"/>
      <w:r w:rsidR="00E72F0B" w:rsidRPr="00E72F0B">
        <w:rPr>
          <w:lang w:val="en-US"/>
        </w:rPr>
        <w:t xml:space="preserve"> </w:t>
      </w:r>
    </w:p>
    <w:p w:rsidR="00E72F0B" w:rsidRPr="00136FAE" w:rsidRDefault="008336AE" w:rsidP="00136FAE">
      <w:pPr>
        <w:rPr>
          <w:b/>
          <w:szCs w:val="18"/>
        </w:rPr>
      </w:pPr>
      <w:r w:rsidRPr="00136FAE">
        <w:rPr>
          <w:szCs w:val="18"/>
        </w:rPr>
        <w:t xml:space="preserve">Great East Japan Earthquake (GEJE) or </w:t>
      </w:r>
      <w:r w:rsidR="00640729" w:rsidRPr="00136FAE">
        <w:rPr>
          <w:szCs w:val="18"/>
        </w:rPr>
        <w:t>Tokoku earthquake 11.03.2011, Mw 9.0</w:t>
      </w:r>
    </w:p>
    <w:p w:rsidR="008336AE" w:rsidRPr="00136FAE" w:rsidRDefault="008336AE" w:rsidP="008336AE">
      <w:pPr>
        <w:spacing w:line="320" w:lineRule="exact"/>
        <w:rPr>
          <w:color w:val="000000"/>
          <w:szCs w:val="18"/>
        </w:rPr>
      </w:pPr>
      <w:r w:rsidRPr="00136FAE">
        <w:rPr>
          <w:color w:val="000000"/>
          <w:szCs w:val="18"/>
        </w:rPr>
        <w:t>The hypocentre was located at 24 km depth and the epicentre at a distance of about 180 km from Fukushima Dai</w:t>
      </w:r>
      <w:r w:rsidR="00136FAE" w:rsidRPr="00136FAE">
        <w:rPr>
          <w:color w:val="000000"/>
          <w:szCs w:val="18"/>
        </w:rPr>
        <w:t>ichi NPP site.</w:t>
      </w:r>
    </w:p>
    <w:p w:rsidR="008336AE" w:rsidRPr="00136FAE" w:rsidRDefault="008336AE" w:rsidP="00A275CB">
      <w:pPr>
        <w:rPr>
          <w:szCs w:val="18"/>
        </w:rPr>
      </w:pPr>
    </w:p>
    <w:p w:rsidR="008336AE" w:rsidRPr="00136FAE" w:rsidRDefault="008336AE" w:rsidP="008336AE">
      <w:pPr>
        <w:spacing w:line="320" w:lineRule="exact"/>
        <w:rPr>
          <w:rFonts w:eastAsia="TTA6Co00" w:cs="TTA6Co00"/>
          <w:szCs w:val="18"/>
        </w:rPr>
      </w:pPr>
      <w:r w:rsidRPr="00136FAE">
        <w:rPr>
          <w:rFonts w:eastAsia="TTA6Co00" w:cs="TTA6Co00"/>
          <w:b/>
          <w:i/>
          <w:szCs w:val="18"/>
        </w:rPr>
        <w:t>Design basis:</w:t>
      </w:r>
      <w:r w:rsidRPr="00136FAE">
        <w:rPr>
          <w:rFonts w:eastAsia="TTA6Co00" w:cs="TTA6Co00"/>
          <w:szCs w:val="18"/>
        </w:rPr>
        <w:t xml:space="preserve"> design basis earthquake ground motion is specified </w:t>
      </w:r>
      <w:r w:rsidRPr="00136FAE">
        <w:rPr>
          <w:rFonts w:eastAsia="TTA6Co00" w:cs="TTA6Co00" w:hint="eastAsia"/>
          <w:szCs w:val="18"/>
        </w:rPr>
        <w:t>at</w:t>
      </w:r>
      <w:r w:rsidRPr="00136FAE">
        <w:rPr>
          <w:rFonts w:eastAsia="TTA6Co00" w:cs="TTA6Co00"/>
          <w:szCs w:val="18"/>
        </w:rPr>
        <w:t xml:space="preserve"> the </w:t>
      </w:r>
      <w:r w:rsidRPr="00136FAE">
        <w:rPr>
          <w:rFonts w:eastAsia="TTA6Co00" w:cs="TTA6Co00" w:hint="eastAsia"/>
          <w:szCs w:val="18"/>
        </w:rPr>
        <w:t>free surface of the base str</w:t>
      </w:r>
      <w:r w:rsidRPr="00136FAE">
        <w:rPr>
          <w:rFonts w:eastAsia="TTA6Co00" w:cs="TTA6Co00" w:hint="eastAsia"/>
          <w:szCs w:val="18"/>
        </w:rPr>
        <w:t>a</w:t>
      </w:r>
      <w:r w:rsidRPr="00136FAE">
        <w:rPr>
          <w:rFonts w:eastAsia="TTA6Co00" w:cs="TTA6Co00" w:hint="eastAsia"/>
          <w:szCs w:val="18"/>
        </w:rPr>
        <w:t>tum</w:t>
      </w:r>
      <w:r w:rsidRPr="00136FAE">
        <w:rPr>
          <w:rFonts w:eastAsia="TTA6Co00" w:cs="TTA6Co00"/>
          <w:szCs w:val="18"/>
        </w:rPr>
        <w:t xml:space="preserve"> at the level of about -200 m from the ground surface. The maximum horizontal and vertical acce</w:t>
      </w:r>
      <w:r w:rsidRPr="00136FAE">
        <w:rPr>
          <w:rFonts w:eastAsia="TTA6Co00" w:cs="TTA6Co00"/>
          <w:szCs w:val="18"/>
        </w:rPr>
        <w:t>l</w:t>
      </w:r>
      <w:r w:rsidRPr="00136FAE">
        <w:rPr>
          <w:rFonts w:eastAsia="TTA6Co00" w:cs="TTA6Co00"/>
          <w:szCs w:val="18"/>
        </w:rPr>
        <w:t xml:space="preserve">erations of the design basis earthquake ground motion in accordance with the </w:t>
      </w:r>
      <w:r w:rsidRPr="00136FAE">
        <w:rPr>
          <w:rFonts w:eastAsia="Meiryo" w:cs="Meiryo"/>
          <w:szCs w:val="18"/>
        </w:rPr>
        <w:t xml:space="preserve">guidelines </w:t>
      </w:r>
      <w:r w:rsidRPr="00136FAE">
        <w:rPr>
          <w:rFonts w:eastAsia="Meiryo" w:cs="Meiryo" w:hint="eastAsia"/>
          <w:szCs w:val="18"/>
        </w:rPr>
        <w:t xml:space="preserve">revised in 2006 </w:t>
      </w:r>
      <w:r w:rsidRPr="00136FAE">
        <w:rPr>
          <w:rFonts w:eastAsia="Meiryo" w:cs="Meiryo"/>
          <w:szCs w:val="18"/>
        </w:rPr>
        <w:t>concerning reviewing seismic design of nuclear power plants in Japan</w:t>
      </w:r>
      <w:r w:rsidRPr="00136FAE">
        <w:rPr>
          <w:rFonts w:eastAsia="Meiryo" w:cs="Meiryo" w:hint="eastAsia"/>
          <w:szCs w:val="18"/>
        </w:rPr>
        <w:t xml:space="preserve"> are</w:t>
      </w:r>
      <w:r w:rsidRPr="00136FAE">
        <w:rPr>
          <w:rFonts w:eastAsia="Meiryo" w:cs="Meiryo"/>
          <w:szCs w:val="18"/>
        </w:rPr>
        <w:t>:</w:t>
      </w:r>
    </w:p>
    <w:p w:rsidR="008336AE" w:rsidRPr="00136FAE" w:rsidRDefault="008336AE" w:rsidP="008336AE">
      <w:pPr>
        <w:autoSpaceDE w:val="0"/>
        <w:autoSpaceDN w:val="0"/>
        <w:adjustRightInd w:val="0"/>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H</w:t>
      </w:r>
      <w:r w:rsidRPr="00136FAE">
        <w:rPr>
          <w:rFonts w:eastAsia="TTA6Co00" w:cs="TTA6Co00"/>
          <w:szCs w:val="18"/>
        </w:rPr>
        <w:t xml:space="preserve">  600 cm/s</w:t>
      </w:r>
      <w:r w:rsidRPr="00136FAE">
        <w:rPr>
          <w:rFonts w:eastAsia="TTA6Co00" w:cs="TTA6Co00"/>
          <w:szCs w:val="18"/>
          <w:vertAlign w:val="superscript"/>
        </w:rPr>
        <w:t>2</w:t>
      </w:r>
    </w:p>
    <w:p w:rsidR="008336AE" w:rsidRPr="00136FAE" w:rsidRDefault="008336AE" w:rsidP="008336AE">
      <w:pPr>
        <w:autoSpaceDE w:val="0"/>
        <w:autoSpaceDN w:val="0"/>
        <w:adjustRightInd w:val="0"/>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V</w:t>
      </w:r>
      <w:r w:rsidRPr="00136FAE">
        <w:rPr>
          <w:rFonts w:eastAsia="TTA6Co00" w:cs="TTA6Co00"/>
          <w:szCs w:val="18"/>
        </w:rPr>
        <w:t xml:space="preserve">  400 cm/s</w:t>
      </w:r>
      <w:r w:rsidRPr="00136FAE">
        <w:rPr>
          <w:rFonts w:eastAsia="TTA6Co00" w:cs="TTA6Co00"/>
          <w:szCs w:val="18"/>
          <w:vertAlign w:val="superscript"/>
        </w:rPr>
        <w:t>2</w:t>
      </w:r>
    </w:p>
    <w:p w:rsidR="008336AE" w:rsidRPr="00136FAE" w:rsidRDefault="008336AE" w:rsidP="008336AE">
      <w:pPr>
        <w:spacing w:line="320" w:lineRule="exact"/>
        <w:rPr>
          <w:rFonts w:eastAsia="TTA6Co00" w:cs="TTA6Co00"/>
          <w:szCs w:val="18"/>
        </w:rPr>
      </w:pPr>
    </w:p>
    <w:p w:rsidR="008336AE" w:rsidRPr="00136FAE" w:rsidRDefault="008336AE" w:rsidP="008336AE">
      <w:pPr>
        <w:spacing w:line="320" w:lineRule="exact"/>
        <w:rPr>
          <w:rFonts w:eastAsia="TTA6Co00" w:cs="TTA6Co00"/>
          <w:szCs w:val="18"/>
        </w:rPr>
      </w:pPr>
      <w:r w:rsidRPr="00136FAE">
        <w:rPr>
          <w:rFonts w:eastAsia="TTA6Co00" w:cs="TTA6Co00"/>
          <w:b/>
          <w:i/>
          <w:szCs w:val="18"/>
        </w:rPr>
        <w:lastRenderedPageBreak/>
        <w:t>Ground motion at the site:</w:t>
      </w:r>
      <w:r w:rsidRPr="00136FAE">
        <w:rPr>
          <w:rFonts w:eastAsia="TTA6Co00" w:cs="TTA6Co00"/>
          <w:szCs w:val="18"/>
        </w:rPr>
        <w:t xml:space="preserve"> maximum horizontal </w:t>
      </w:r>
      <w:r w:rsidRPr="00136FAE">
        <w:rPr>
          <w:rFonts w:eastAsia="TTA6Co00" w:cs="TTA6Co00" w:hint="eastAsia"/>
          <w:szCs w:val="18"/>
        </w:rPr>
        <w:t xml:space="preserve">and vertical </w:t>
      </w:r>
      <w:r w:rsidRPr="00136FAE">
        <w:rPr>
          <w:rFonts w:eastAsia="TTA6Co00" w:cs="TTA6Co00"/>
          <w:szCs w:val="18"/>
        </w:rPr>
        <w:t>acceleration</w:t>
      </w:r>
      <w:r w:rsidRPr="00136FAE">
        <w:rPr>
          <w:rFonts w:eastAsia="TTA6Co00" w:cs="TTA6Co00" w:hint="eastAsia"/>
          <w:szCs w:val="18"/>
        </w:rPr>
        <w:t>s</w:t>
      </w:r>
      <w:r w:rsidRPr="00136FAE">
        <w:rPr>
          <w:rFonts w:eastAsia="Meiryo" w:cs="Meiryo"/>
          <w:szCs w:val="18"/>
        </w:rPr>
        <w:t xml:space="preserve"> </w:t>
      </w:r>
      <w:r w:rsidRPr="00136FAE">
        <w:rPr>
          <w:rFonts w:eastAsia="TTA6Co00" w:cs="TTA6Co00"/>
          <w:szCs w:val="18"/>
        </w:rPr>
        <w:t>observed on the base mat of the rea</w:t>
      </w:r>
      <w:r w:rsidRPr="00136FAE">
        <w:rPr>
          <w:rFonts w:eastAsia="TTA6Co00" w:cs="TTA6Co00"/>
          <w:szCs w:val="18"/>
        </w:rPr>
        <w:t>c</w:t>
      </w:r>
      <w:r w:rsidRPr="00136FAE">
        <w:rPr>
          <w:rFonts w:eastAsia="TTA6Co00" w:cs="TTA6Co00"/>
          <w:szCs w:val="18"/>
        </w:rPr>
        <w:t>tor building are as follows (</w:t>
      </w:r>
      <w:r w:rsidR="00D05FFB" w:rsidRPr="00136FAE">
        <w:rPr>
          <w:rFonts w:eastAsia="TTA6Co00" w:cs="TTA6Co00"/>
          <w:szCs w:val="18"/>
        </w:rPr>
        <w:t xml:space="preserve">IAEA, 2011; </w:t>
      </w:r>
      <w:r w:rsidRPr="00136FAE">
        <w:rPr>
          <w:rFonts w:eastAsia="TTA6Co00" w:cs="TTA6Co00"/>
          <w:szCs w:val="18"/>
        </w:rPr>
        <w:t>n</w:t>
      </w:r>
      <w:r w:rsidRPr="00136FAE">
        <w:rPr>
          <w:rFonts w:eastAsia="Meiryo" w:cs="Meiryo"/>
          <w:szCs w:val="18"/>
        </w:rPr>
        <w:t>umbers in the parenthes</w:t>
      </w:r>
      <w:r w:rsidRPr="00136FAE">
        <w:rPr>
          <w:rFonts w:eastAsia="Meiryo" w:cs="Meiryo" w:hint="eastAsia"/>
          <w:szCs w:val="18"/>
        </w:rPr>
        <w:t>e</w:t>
      </w:r>
      <w:r w:rsidRPr="00136FAE">
        <w:rPr>
          <w:rFonts w:eastAsia="Meiryo" w:cs="Meiryo"/>
          <w:szCs w:val="18"/>
        </w:rPr>
        <w:t>s are</w:t>
      </w:r>
      <w:r w:rsidRPr="00136FAE">
        <w:rPr>
          <w:rFonts w:eastAsia="Meiryo" w:cs="Meiryo" w:hint="eastAsia"/>
          <w:szCs w:val="18"/>
        </w:rPr>
        <w:t xml:space="preserve"> the</w:t>
      </w:r>
      <w:r w:rsidRPr="00136FAE">
        <w:rPr>
          <w:rFonts w:eastAsia="Meiryo" w:cs="Meiryo"/>
          <w:szCs w:val="18"/>
        </w:rPr>
        <w:t xml:space="preserve"> </w:t>
      </w:r>
      <w:r w:rsidRPr="00136FAE">
        <w:rPr>
          <w:rFonts w:eastAsia="TTA6Co00" w:cs="TTA6Co00"/>
          <w:szCs w:val="18"/>
        </w:rPr>
        <w:t xml:space="preserve">maximum acceleration from </w:t>
      </w:r>
      <w:r w:rsidRPr="00136FAE">
        <w:rPr>
          <w:rFonts w:eastAsia="Meiryo" w:cs="Meiryo"/>
          <w:szCs w:val="18"/>
        </w:rPr>
        <w:t>the r</w:t>
      </w:r>
      <w:r w:rsidRPr="00136FAE">
        <w:rPr>
          <w:rFonts w:eastAsia="Meiryo" w:cs="Meiryo"/>
          <w:szCs w:val="18"/>
        </w:rPr>
        <w:t>e</w:t>
      </w:r>
      <w:r w:rsidRPr="00136FAE">
        <w:rPr>
          <w:rFonts w:eastAsia="Meiryo" w:cs="Meiryo"/>
          <w:szCs w:val="18"/>
        </w:rPr>
        <w:t xml:space="preserve">sponse analysis using </w:t>
      </w:r>
      <w:r w:rsidRPr="00136FAE">
        <w:rPr>
          <w:rFonts w:eastAsia="TTA6Co00" w:cs="TTA6Co00"/>
          <w:szCs w:val="18"/>
        </w:rPr>
        <w:t>design basis earthquake ground motion):</w:t>
      </w:r>
    </w:p>
    <w:p w:rsidR="008336AE" w:rsidRPr="00136FAE" w:rsidRDefault="008336AE" w:rsidP="008336AE">
      <w:pPr>
        <w:spacing w:line="320" w:lineRule="exact"/>
        <w:rPr>
          <w:rFonts w:eastAsia="Meiryo" w:cs="Meiryo"/>
          <w:szCs w:val="18"/>
        </w:rPr>
      </w:pPr>
      <w:r w:rsidRPr="00136FAE">
        <w:rPr>
          <w:rFonts w:eastAsia="Meiryo" w:cs="Meiryo"/>
          <w:szCs w:val="18"/>
        </w:rPr>
        <w:t>Unit 1</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460</w:t>
      </w:r>
      <w:r w:rsidRPr="00136FAE">
        <w:rPr>
          <w:rFonts w:eastAsia="TTA6Co00" w:cs="TTA6Co00"/>
          <w:szCs w:val="18"/>
        </w:rPr>
        <w:t xml:space="preserve"> cm/s</w:t>
      </w:r>
      <w:r w:rsidRPr="00136FAE">
        <w:rPr>
          <w:rFonts w:eastAsia="TTA6Co00" w:cs="TTA6Co00"/>
          <w:szCs w:val="18"/>
          <w:vertAlign w:val="superscript"/>
        </w:rPr>
        <w:t>2</w:t>
      </w:r>
      <w:r w:rsidRPr="00136FAE">
        <w:rPr>
          <w:rFonts w:eastAsia="TTA6Co00" w:cs="TTA6Co00"/>
          <w:szCs w:val="18"/>
        </w:rPr>
        <w:t xml:space="preserve">  </w:t>
      </w:r>
      <w:r w:rsidRPr="00136FAE">
        <w:rPr>
          <w:rFonts w:eastAsia="Meiryo" w:cs="Meiryo"/>
          <w:szCs w:val="18"/>
        </w:rPr>
        <w:t>(487</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A</w:t>
      </w:r>
      <w:r w:rsidRPr="00136FAE">
        <w:rPr>
          <w:rFonts w:eastAsia="Meiryo" w:cs="Meiryo"/>
          <w:szCs w:val="18"/>
          <w:vertAlign w:val="subscript"/>
        </w:rPr>
        <w:t>Vmax</w:t>
      </w:r>
      <w:r w:rsidRPr="00136FAE">
        <w:rPr>
          <w:rFonts w:eastAsia="Meiryo" w:cs="Meiryo"/>
          <w:szCs w:val="18"/>
        </w:rPr>
        <w:t xml:space="preserve">  258</w:t>
      </w:r>
      <w:r w:rsidRPr="00136FAE">
        <w:rPr>
          <w:rFonts w:eastAsia="TTA6Co00" w:cs="TTA6Co00"/>
          <w:szCs w:val="18"/>
        </w:rPr>
        <w:t xml:space="preserve"> cm/s</w:t>
      </w:r>
      <w:r w:rsidRPr="00136FAE">
        <w:rPr>
          <w:rFonts w:eastAsia="TTA6Co00" w:cs="TTA6Co00"/>
          <w:szCs w:val="18"/>
          <w:vertAlign w:val="superscript"/>
        </w:rPr>
        <w:t>2</w:t>
      </w:r>
      <w:r w:rsidRPr="00136FAE">
        <w:rPr>
          <w:rFonts w:eastAsia="TTA6Co00" w:cs="TTA6Co00"/>
          <w:szCs w:val="18"/>
        </w:rPr>
        <w:t xml:space="preserve"> </w:t>
      </w:r>
      <w:r w:rsidRPr="00136FAE">
        <w:rPr>
          <w:rFonts w:eastAsia="Meiryo" w:cs="Meiryo"/>
          <w:szCs w:val="18"/>
        </w:rPr>
        <w:t xml:space="preserve"> (412</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8336AE" w:rsidRPr="00136FAE" w:rsidRDefault="008336AE" w:rsidP="008336AE">
      <w:pPr>
        <w:spacing w:line="320" w:lineRule="exact"/>
        <w:rPr>
          <w:rFonts w:eastAsia="Meiryo" w:cs="Meiryo"/>
          <w:szCs w:val="18"/>
        </w:rPr>
      </w:pPr>
      <w:r w:rsidRPr="00136FAE">
        <w:rPr>
          <w:rFonts w:eastAsia="Meiryo" w:cs="Meiryo"/>
          <w:szCs w:val="18"/>
        </w:rPr>
        <w:t>Unit 2</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550</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(438</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w:t>
      </w:r>
      <w:r w:rsidRPr="00136FAE">
        <w:rPr>
          <w:rFonts w:eastAsia="Meiryo" w:cs="Meiryo"/>
          <w:szCs w:val="18"/>
        </w:rPr>
        <w:t xml:space="preserve">　</w:t>
      </w:r>
      <w:r w:rsidRPr="00136FAE">
        <w:rPr>
          <w:rFonts w:eastAsia="Meiryo" w:cs="Meiryo"/>
          <w:szCs w:val="18"/>
        </w:rPr>
        <w:t>A</w:t>
      </w:r>
      <w:r w:rsidRPr="00136FAE">
        <w:rPr>
          <w:rFonts w:eastAsia="Meiryo" w:cs="Meiryo"/>
          <w:szCs w:val="18"/>
          <w:vertAlign w:val="subscript"/>
        </w:rPr>
        <w:t>Vmax</w:t>
      </w:r>
      <w:r w:rsidRPr="00136FAE">
        <w:rPr>
          <w:rFonts w:eastAsia="Meiryo" w:cs="Meiryo"/>
          <w:szCs w:val="18"/>
        </w:rPr>
        <w:t xml:space="preserve">  302</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(420</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8336AE" w:rsidRPr="00136FAE" w:rsidRDefault="008336AE" w:rsidP="008336AE">
      <w:pPr>
        <w:spacing w:line="320" w:lineRule="exact"/>
        <w:rPr>
          <w:rFonts w:eastAsia="Meiryo" w:cs="Meiryo"/>
          <w:szCs w:val="18"/>
        </w:rPr>
      </w:pPr>
      <w:r w:rsidRPr="00136FAE">
        <w:rPr>
          <w:rFonts w:eastAsia="Meiryo" w:cs="Meiryo"/>
          <w:szCs w:val="18"/>
        </w:rPr>
        <w:t>Unit 3</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507</w:t>
      </w:r>
      <w:r w:rsidRPr="00136FAE">
        <w:rPr>
          <w:rFonts w:eastAsia="TTA6Co00" w:cs="TTA6Co00"/>
          <w:szCs w:val="18"/>
        </w:rPr>
        <w:t xml:space="preserve"> cm/s</w:t>
      </w:r>
      <w:r w:rsidRPr="00136FAE">
        <w:rPr>
          <w:rFonts w:eastAsia="TTA6Co00" w:cs="TTA6Co00"/>
          <w:szCs w:val="18"/>
          <w:vertAlign w:val="superscript"/>
        </w:rPr>
        <w:t>2</w:t>
      </w:r>
      <w:r w:rsidRPr="00136FAE">
        <w:rPr>
          <w:rFonts w:eastAsia="TTA6Co00" w:cs="TTA6Co00"/>
          <w:szCs w:val="18"/>
        </w:rPr>
        <w:t xml:space="preserve">  </w:t>
      </w:r>
      <w:r w:rsidRPr="00136FAE">
        <w:rPr>
          <w:rFonts w:eastAsia="Meiryo" w:cs="Meiryo"/>
          <w:szCs w:val="18"/>
        </w:rPr>
        <w:t>(441</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Vmax</w:t>
      </w:r>
      <w:r w:rsidRPr="00136FAE">
        <w:rPr>
          <w:rFonts w:eastAsia="Meiryo" w:cs="Meiryo"/>
          <w:szCs w:val="18"/>
        </w:rPr>
        <w:t xml:space="preserve">  231</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(429</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8336AE" w:rsidRPr="00136FAE" w:rsidRDefault="008336AE" w:rsidP="008336AE">
      <w:pPr>
        <w:spacing w:line="320" w:lineRule="exact"/>
        <w:rPr>
          <w:rFonts w:eastAsia="Meiryo" w:cs="Meiryo"/>
          <w:szCs w:val="18"/>
        </w:rPr>
      </w:pPr>
      <w:r w:rsidRPr="00136FAE">
        <w:rPr>
          <w:rFonts w:eastAsia="Meiryo" w:cs="Meiryo"/>
          <w:szCs w:val="18"/>
        </w:rPr>
        <w:t>Unit 4</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319</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(445</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Vmax</w:t>
      </w:r>
      <w:r w:rsidRPr="00136FAE">
        <w:rPr>
          <w:rFonts w:eastAsia="Meiryo" w:cs="Meiryo"/>
          <w:szCs w:val="18"/>
        </w:rPr>
        <w:t xml:space="preserve">  200</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(422</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8336AE" w:rsidRPr="00136FAE" w:rsidRDefault="008336AE" w:rsidP="008336AE">
      <w:pPr>
        <w:spacing w:line="320" w:lineRule="exact"/>
        <w:rPr>
          <w:rFonts w:eastAsia="Meiryo" w:cs="Meiryo"/>
          <w:szCs w:val="18"/>
        </w:rPr>
      </w:pPr>
      <w:r w:rsidRPr="00136FAE">
        <w:rPr>
          <w:rFonts w:eastAsia="Meiryo" w:cs="Meiryo"/>
          <w:szCs w:val="18"/>
        </w:rPr>
        <w:t>Unit 5</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548</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(452</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Vmax</w:t>
      </w:r>
      <w:r w:rsidRPr="00136FAE">
        <w:rPr>
          <w:rFonts w:eastAsia="Meiryo" w:cs="Meiryo"/>
          <w:szCs w:val="18"/>
        </w:rPr>
        <w:t xml:space="preserve">  256</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(427</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8336AE" w:rsidRPr="00136FAE" w:rsidRDefault="008336AE" w:rsidP="008336AE">
      <w:pPr>
        <w:spacing w:line="320" w:lineRule="exact"/>
        <w:rPr>
          <w:rFonts w:eastAsia="Meiryo" w:cs="Meiryo"/>
          <w:szCs w:val="18"/>
        </w:rPr>
      </w:pPr>
      <w:r w:rsidRPr="00136FAE">
        <w:rPr>
          <w:rFonts w:eastAsia="Meiryo" w:cs="Meiryo"/>
          <w:szCs w:val="18"/>
        </w:rPr>
        <w:t>Unit 6</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Hmax</w:t>
      </w:r>
      <w:r w:rsidRPr="00136FAE">
        <w:rPr>
          <w:rFonts w:eastAsia="Meiryo" w:cs="Meiryo"/>
          <w:szCs w:val="18"/>
        </w:rPr>
        <w:t xml:space="preserve">  444</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(448</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w:t>
      </w:r>
      <w:r w:rsidRPr="00136FAE">
        <w:rPr>
          <w:rFonts w:eastAsia="Meiryo" w:cs="Meiryo"/>
          <w:szCs w:val="18"/>
        </w:rPr>
        <w:t xml:space="preserve">　</w:t>
      </w:r>
      <w:r w:rsidRPr="00136FAE">
        <w:rPr>
          <w:rFonts w:eastAsia="Meiryo" w:cs="Meiryo"/>
          <w:szCs w:val="18"/>
        </w:rPr>
        <w:t xml:space="preserve"> A</w:t>
      </w:r>
      <w:r w:rsidRPr="00136FAE">
        <w:rPr>
          <w:rFonts w:eastAsia="Meiryo" w:cs="Meiryo"/>
          <w:szCs w:val="18"/>
          <w:vertAlign w:val="subscript"/>
        </w:rPr>
        <w:t>Vmax</w:t>
      </w:r>
      <w:r w:rsidRPr="00136FAE">
        <w:rPr>
          <w:rFonts w:eastAsia="Meiryo" w:cs="Meiryo"/>
          <w:szCs w:val="18"/>
        </w:rPr>
        <w:t xml:space="preserve">  244</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 xml:space="preserve">  (415</w:t>
      </w:r>
      <w:r w:rsidRPr="00136FAE">
        <w:rPr>
          <w:rFonts w:eastAsia="TTA6Co00" w:cs="TTA6Co00"/>
          <w:szCs w:val="18"/>
        </w:rPr>
        <w:t xml:space="preserve"> cm/s</w:t>
      </w:r>
      <w:r w:rsidRPr="00136FAE">
        <w:rPr>
          <w:rFonts w:eastAsia="TTA6Co00" w:cs="TTA6Co00"/>
          <w:szCs w:val="18"/>
          <w:vertAlign w:val="superscript"/>
        </w:rPr>
        <w:t>2</w:t>
      </w:r>
      <w:r w:rsidRPr="00136FAE">
        <w:rPr>
          <w:rFonts w:eastAsia="Meiryo" w:cs="Meiryo"/>
          <w:szCs w:val="18"/>
        </w:rPr>
        <w:t>)</w:t>
      </w:r>
    </w:p>
    <w:p w:rsidR="008336AE" w:rsidRPr="00136FAE" w:rsidRDefault="008336AE" w:rsidP="008336AE">
      <w:pPr>
        <w:spacing w:line="320" w:lineRule="exact"/>
        <w:rPr>
          <w:rFonts w:eastAsia="TTA6Co00" w:cs="TTA6Co00"/>
          <w:szCs w:val="18"/>
        </w:rPr>
      </w:pPr>
    </w:p>
    <w:p w:rsidR="00A7523D" w:rsidRPr="00136FAE" w:rsidRDefault="008336AE" w:rsidP="008336AE">
      <w:pPr>
        <w:spacing w:line="320" w:lineRule="exact"/>
        <w:rPr>
          <w:color w:val="000000"/>
          <w:szCs w:val="18"/>
        </w:rPr>
      </w:pPr>
      <w:r w:rsidRPr="00136FAE">
        <w:rPr>
          <w:rFonts w:eastAsia="Meiryo" w:cs="Meiryo"/>
          <w:b/>
          <w:i/>
          <w:szCs w:val="18"/>
        </w:rPr>
        <w:t>Damage</w:t>
      </w:r>
      <w:r w:rsidR="00D05FFB" w:rsidRPr="00136FAE">
        <w:rPr>
          <w:rFonts w:eastAsia="Meiryo" w:cs="Meiryo"/>
          <w:b/>
          <w:i/>
          <w:szCs w:val="18"/>
        </w:rPr>
        <w:t xml:space="preserve"> (IAEA, 2011)</w:t>
      </w:r>
      <w:r w:rsidRPr="00136FAE">
        <w:rPr>
          <w:rFonts w:eastAsia="Meiryo" w:cs="Meiryo"/>
          <w:b/>
          <w:i/>
          <w:szCs w:val="18"/>
        </w:rPr>
        <w:t>:</w:t>
      </w:r>
      <w:r w:rsidRPr="00136FAE">
        <w:rPr>
          <w:rFonts w:eastAsia="Meiryo" w:cs="Meiryo"/>
          <w:szCs w:val="18"/>
        </w:rPr>
        <w:t xml:space="preserve"> </w:t>
      </w:r>
      <w:r w:rsidRPr="00136FAE">
        <w:rPr>
          <w:rFonts w:hint="eastAsia"/>
          <w:color w:val="000000"/>
          <w:szCs w:val="18"/>
        </w:rPr>
        <w:t>O</w:t>
      </w:r>
      <w:r w:rsidRPr="00136FAE">
        <w:rPr>
          <w:color w:val="000000"/>
          <w:szCs w:val="18"/>
        </w:rPr>
        <w:t xml:space="preserve">perating plants were automatically shut down and all plants behaved in a safe manner, during and immediately after the earthquake. </w:t>
      </w:r>
      <w:r w:rsidRPr="00136FAE">
        <w:rPr>
          <w:szCs w:val="18"/>
        </w:rPr>
        <w:t>Although all off-site power was lost when the earthquake occurred (LOOP occurred due to break of power line caused by failure of a utility pole due to an earthquake-triggered lan</w:t>
      </w:r>
      <w:r w:rsidRPr="00136FAE">
        <w:rPr>
          <w:szCs w:val="18"/>
        </w:rPr>
        <w:t>d</w:t>
      </w:r>
      <w:r w:rsidRPr="00136FAE">
        <w:rPr>
          <w:szCs w:val="18"/>
        </w:rPr>
        <w:t>slide; Y. Fukushima, IAEA Seismic Safety Center, per. Comm.), the automatic systems at Fukushima Daiichi su</w:t>
      </w:r>
      <w:r w:rsidRPr="00136FAE">
        <w:rPr>
          <w:szCs w:val="18"/>
        </w:rPr>
        <w:t>c</w:t>
      </w:r>
      <w:r w:rsidRPr="00136FAE">
        <w:rPr>
          <w:szCs w:val="18"/>
        </w:rPr>
        <w:t>cessfully inserted all the control rods into its three operational reactors upon detection of the earthquake, and all available emergency diesel generator power systems were in o</w:t>
      </w:r>
      <w:r w:rsidRPr="00136FAE">
        <w:rPr>
          <w:szCs w:val="18"/>
        </w:rPr>
        <w:t>p</w:t>
      </w:r>
      <w:r w:rsidRPr="00136FAE">
        <w:rPr>
          <w:szCs w:val="18"/>
        </w:rPr>
        <w:t xml:space="preserve">eration, as designed. </w:t>
      </w:r>
      <w:r w:rsidRPr="00136FAE">
        <w:rPr>
          <w:color w:val="000000"/>
          <w:szCs w:val="18"/>
        </w:rPr>
        <w:t>Fundamental safety functions of (a) reactivity control, (b) removal of heat from the core and (c) confinement of radioactive materials were available</w:t>
      </w:r>
      <w:r w:rsidR="00136FAE">
        <w:rPr>
          <w:rFonts w:hint="eastAsia"/>
          <w:color w:val="000000"/>
          <w:szCs w:val="18"/>
        </w:rPr>
        <w:t>.</w:t>
      </w:r>
    </w:p>
    <w:p w:rsidR="00A7523D" w:rsidRPr="00136FAE" w:rsidRDefault="00A7523D" w:rsidP="008336AE">
      <w:pPr>
        <w:spacing w:line="320" w:lineRule="exact"/>
        <w:rPr>
          <w:color w:val="000000"/>
          <w:szCs w:val="18"/>
        </w:rPr>
      </w:pPr>
    </w:p>
    <w:p w:rsidR="00E72F0B" w:rsidRPr="00136FAE" w:rsidRDefault="00A7523D" w:rsidP="00A7523D">
      <w:pPr>
        <w:spacing w:line="320" w:lineRule="exact"/>
        <w:rPr>
          <w:szCs w:val="18"/>
        </w:rPr>
      </w:pPr>
      <w:r w:rsidRPr="00136FAE">
        <w:rPr>
          <w:color w:val="000000"/>
          <w:szCs w:val="18"/>
        </w:rPr>
        <w:t>Accident analysis therefore shows that fundamental safety func</w:t>
      </w:r>
      <w:r w:rsidR="00FE64FB">
        <w:rPr>
          <w:color w:val="000000"/>
          <w:szCs w:val="18"/>
        </w:rPr>
        <w:t>t</w:t>
      </w:r>
      <w:r w:rsidRPr="00136FAE">
        <w:rPr>
          <w:color w:val="000000"/>
          <w:szCs w:val="18"/>
        </w:rPr>
        <w:t>ions were in place u</w:t>
      </w:r>
      <w:r w:rsidR="008336AE" w:rsidRPr="00136FAE">
        <w:rPr>
          <w:color w:val="000000"/>
          <w:szCs w:val="18"/>
        </w:rPr>
        <w:t xml:space="preserve">ntil the tsunami reached the sites. </w:t>
      </w:r>
      <w:r w:rsidRPr="00136FAE">
        <w:rPr>
          <w:color w:val="000000"/>
          <w:szCs w:val="18"/>
        </w:rPr>
        <w:t>Damage by the tsunami was due to i</w:t>
      </w:r>
      <w:r w:rsidRPr="00136FAE">
        <w:rPr>
          <w:szCs w:val="18"/>
        </w:rPr>
        <w:t>nsufficient design provisions against tsunami.</w:t>
      </w:r>
    </w:p>
    <w:p w:rsidR="008336AE" w:rsidRPr="00E72F0B" w:rsidRDefault="00640729" w:rsidP="00E72F0B">
      <w:pPr>
        <w:pStyle w:val="Titre3"/>
        <w:rPr>
          <w:lang w:val="en-US"/>
        </w:rPr>
      </w:pPr>
      <w:bookmarkStart w:id="53" w:name="_Toc456011876"/>
      <w:r w:rsidRPr="00E72F0B">
        <w:rPr>
          <w:lang w:val="en-US"/>
        </w:rPr>
        <w:t>Fukishima-Daini NPPs (Japan)</w:t>
      </w:r>
      <w:bookmarkEnd w:id="53"/>
    </w:p>
    <w:p w:rsidR="00640729" w:rsidRPr="00136FAE" w:rsidRDefault="008336AE" w:rsidP="00640729">
      <w:pPr>
        <w:rPr>
          <w:szCs w:val="18"/>
        </w:rPr>
      </w:pPr>
      <w:r w:rsidRPr="00136FAE">
        <w:rPr>
          <w:szCs w:val="18"/>
        </w:rPr>
        <w:t>Great East Japan Earthquake (GEJE) or</w:t>
      </w:r>
      <w:r w:rsidRPr="00136FAE">
        <w:rPr>
          <w:rFonts w:eastAsia="Meiryo" w:cs="Meiryo"/>
          <w:szCs w:val="18"/>
        </w:rPr>
        <w:t xml:space="preserve"> </w:t>
      </w:r>
      <w:r w:rsidR="00640729" w:rsidRPr="00136FAE">
        <w:rPr>
          <w:szCs w:val="18"/>
        </w:rPr>
        <w:t>Tokoku earthquake 11.03.2011, Mw 9.0</w:t>
      </w:r>
    </w:p>
    <w:p w:rsidR="008336AE" w:rsidRPr="00136FAE" w:rsidRDefault="008336AE" w:rsidP="008336AE">
      <w:pPr>
        <w:spacing w:line="320" w:lineRule="exact"/>
        <w:rPr>
          <w:szCs w:val="18"/>
        </w:rPr>
      </w:pPr>
      <w:r w:rsidRPr="00136FAE">
        <w:rPr>
          <w:szCs w:val="18"/>
        </w:rPr>
        <w:t xml:space="preserve">Fukushima Daini </w:t>
      </w:r>
      <w:r w:rsidRPr="00136FAE">
        <w:rPr>
          <w:rFonts w:hint="eastAsia"/>
          <w:szCs w:val="18"/>
        </w:rPr>
        <w:t>site, located 12km south of Fukushima Daiichi site,</w:t>
      </w:r>
      <w:r w:rsidRPr="00136FAE">
        <w:rPr>
          <w:szCs w:val="18"/>
        </w:rPr>
        <w:t xml:space="preserve"> has four reactors. At the time of the eart</w:t>
      </w:r>
      <w:r w:rsidRPr="00136FAE">
        <w:rPr>
          <w:szCs w:val="18"/>
        </w:rPr>
        <w:t>h</w:t>
      </w:r>
      <w:r w:rsidRPr="00136FAE">
        <w:rPr>
          <w:szCs w:val="18"/>
        </w:rPr>
        <w:t>quake, all four units were operating.</w:t>
      </w:r>
    </w:p>
    <w:p w:rsidR="008336AE" w:rsidRPr="00136FAE" w:rsidRDefault="008336AE" w:rsidP="008336AE">
      <w:pPr>
        <w:spacing w:line="320" w:lineRule="exact"/>
        <w:rPr>
          <w:szCs w:val="18"/>
        </w:rPr>
      </w:pPr>
    </w:p>
    <w:p w:rsidR="008336AE" w:rsidRPr="00136FAE" w:rsidRDefault="008336AE" w:rsidP="00E72F0B">
      <w:pPr>
        <w:spacing w:line="320" w:lineRule="exact"/>
        <w:rPr>
          <w:rFonts w:eastAsia="TTA6Co00" w:cs="TTA6Co00"/>
          <w:szCs w:val="18"/>
        </w:rPr>
      </w:pPr>
      <w:r w:rsidRPr="00136FAE">
        <w:rPr>
          <w:rFonts w:eastAsia="TTA6Co00" w:cs="TTA6Co00"/>
          <w:b/>
          <w:i/>
          <w:szCs w:val="18"/>
        </w:rPr>
        <w:t>Ground motion at the site:</w:t>
      </w:r>
      <w:r w:rsidR="00E72F0B" w:rsidRPr="00136FAE">
        <w:rPr>
          <w:rFonts w:eastAsia="TTA6Co00" w:cs="TTA6Co00"/>
          <w:b/>
          <w:i/>
          <w:szCs w:val="18"/>
        </w:rPr>
        <w:t xml:space="preserve"> </w:t>
      </w:r>
      <w:r w:rsidRPr="00136FAE">
        <w:rPr>
          <w:rFonts w:eastAsia="TTA6Co00" w:cs="TTA6Co00"/>
          <w:szCs w:val="18"/>
        </w:rPr>
        <w:t xml:space="preserve">Maximum horizontal </w:t>
      </w:r>
      <w:r w:rsidRPr="00136FAE">
        <w:rPr>
          <w:rFonts w:eastAsia="TTA6Co00" w:cs="TTA6Co00" w:hint="eastAsia"/>
          <w:szCs w:val="18"/>
        </w:rPr>
        <w:t xml:space="preserve">and vertical </w:t>
      </w:r>
      <w:r w:rsidRPr="00136FAE">
        <w:rPr>
          <w:rFonts w:eastAsia="TTA6Co00" w:cs="TTA6Co00"/>
          <w:szCs w:val="18"/>
        </w:rPr>
        <w:t>acceleration</w:t>
      </w:r>
      <w:r w:rsidRPr="00136FAE">
        <w:rPr>
          <w:rFonts w:eastAsia="TTA6Co00" w:cs="TTA6Co00" w:hint="eastAsia"/>
          <w:szCs w:val="18"/>
        </w:rPr>
        <w:t>s</w:t>
      </w:r>
      <w:r w:rsidRPr="00136FAE">
        <w:rPr>
          <w:rFonts w:eastAsia="Meiryo" w:cs="Meiryo"/>
          <w:szCs w:val="18"/>
        </w:rPr>
        <w:t xml:space="preserve"> </w:t>
      </w:r>
      <w:r w:rsidRPr="00136FAE">
        <w:rPr>
          <w:rFonts w:eastAsia="TTA6Co00" w:cs="TTA6Co00"/>
          <w:szCs w:val="18"/>
        </w:rPr>
        <w:t>observed on the base mat of the rea</w:t>
      </w:r>
      <w:r w:rsidRPr="00136FAE">
        <w:rPr>
          <w:rFonts w:eastAsia="TTA6Co00" w:cs="TTA6Co00"/>
          <w:szCs w:val="18"/>
        </w:rPr>
        <w:t>c</w:t>
      </w:r>
      <w:r w:rsidRPr="00136FAE">
        <w:rPr>
          <w:rFonts w:eastAsia="TTA6Co00" w:cs="TTA6Co00"/>
          <w:szCs w:val="18"/>
        </w:rPr>
        <w:t>tor building are as follows</w:t>
      </w:r>
      <w:r w:rsidR="00E72F0B" w:rsidRPr="00136FAE">
        <w:rPr>
          <w:rFonts w:eastAsia="TTA6Co00" w:cs="TTA6Co00"/>
          <w:szCs w:val="18"/>
        </w:rPr>
        <w:t xml:space="preserve"> (</w:t>
      </w:r>
      <w:r w:rsidR="00D05FFB" w:rsidRPr="00136FAE">
        <w:rPr>
          <w:rFonts w:eastAsia="TTA6Co00" w:cs="TTA6Co00"/>
          <w:szCs w:val="18"/>
        </w:rPr>
        <w:t xml:space="preserve">IAEA, 2011; TEPCO, 2012; </w:t>
      </w:r>
      <w:r w:rsidR="00E72F0B" w:rsidRPr="00136FAE">
        <w:rPr>
          <w:rFonts w:eastAsia="TTA6Co00" w:cs="TTA6Co00"/>
          <w:szCs w:val="18"/>
        </w:rPr>
        <w:t>n</w:t>
      </w:r>
      <w:r w:rsidRPr="00136FAE">
        <w:rPr>
          <w:rFonts w:eastAsia="Meiryo" w:cs="Meiryo"/>
          <w:szCs w:val="18"/>
        </w:rPr>
        <w:t>umbers in the parenthes</w:t>
      </w:r>
      <w:r w:rsidRPr="00136FAE">
        <w:rPr>
          <w:rFonts w:eastAsia="Meiryo" w:cs="Meiryo" w:hint="eastAsia"/>
          <w:szCs w:val="18"/>
        </w:rPr>
        <w:t>e</w:t>
      </w:r>
      <w:r w:rsidRPr="00136FAE">
        <w:rPr>
          <w:rFonts w:eastAsia="Meiryo" w:cs="Meiryo"/>
          <w:szCs w:val="18"/>
        </w:rPr>
        <w:t xml:space="preserve">s are </w:t>
      </w:r>
      <w:r w:rsidRPr="00136FAE">
        <w:rPr>
          <w:rFonts w:eastAsia="Meiryo" w:cs="Meiryo" w:hint="eastAsia"/>
          <w:szCs w:val="18"/>
        </w:rPr>
        <w:t xml:space="preserve">the </w:t>
      </w:r>
      <w:r w:rsidRPr="00136FAE">
        <w:rPr>
          <w:rFonts w:eastAsia="TTA6Co00" w:cs="TTA6Co00"/>
          <w:szCs w:val="18"/>
        </w:rPr>
        <w:t xml:space="preserve">maximum acceleration from </w:t>
      </w:r>
      <w:r w:rsidRPr="00136FAE">
        <w:rPr>
          <w:rFonts w:eastAsia="Meiryo" w:cs="Meiryo"/>
          <w:szCs w:val="18"/>
        </w:rPr>
        <w:t xml:space="preserve">the response analysis using </w:t>
      </w:r>
      <w:r w:rsidRPr="00136FAE">
        <w:rPr>
          <w:rFonts w:eastAsia="TTA6Co00" w:cs="TTA6Co00"/>
          <w:szCs w:val="18"/>
        </w:rPr>
        <w:t>design</w:t>
      </w:r>
      <w:r w:rsidR="00E72F0B" w:rsidRPr="00136FAE">
        <w:rPr>
          <w:rFonts w:eastAsia="TTA6Co00" w:cs="TTA6Co00"/>
          <w:szCs w:val="18"/>
        </w:rPr>
        <w:t xml:space="preserve"> basis earthquake ground motion):</w:t>
      </w:r>
    </w:p>
    <w:p w:rsidR="008336AE" w:rsidRPr="00136FAE" w:rsidRDefault="00E72F0B" w:rsidP="008336AE">
      <w:pPr>
        <w:tabs>
          <w:tab w:val="left" w:pos="2884"/>
        </w:tabs>
        <w:spacing w:line="320" w:lineRule="exact"/>
        <w:rPr>
          <w:rFonts w:eastAsia="Meiryo" w:cs="Meiryo"/>
          <w:szCs w:val="18"/>
        </w:rPr>
      </w:pPr>
      <w:r w:rsidRPr="00136FAE">
        <w:rPr>
          <w:rFonts w:eastAsia="Meiryo" w:cs="Meiryo"/>
          <w:szCs w:val="18"/>
        </w:rPr>
        <w:t>U</w:t>
      </w:r>
      <w:r w:rsidR="008336AE" w:rsidRPr="00136FAE">
        <w:rPr>
          <w:rFonts w:eastAsia="Meiryo" w:cs="Meiryo"/>
          <w:szCs w:val="18"/>
        </w:rPr>
        <w:t>nit</w:t>
      </w:r>
      <w:r w:rsidRPr="00136FAE">
        <w:rPr>
          <w:rFonts w:eastAsia="Meiryo" w:cs="Meiryo"/>
          <w:szCs w:val="18"/>
        </w:rPr>
        <w:t xml:space="preserve"> </w:t>
      </w:r>
      <w:r w:rsidR="008336AE" w:rsidRPr="00136FAE">
        <w:rPr>
          <w:rFonts w:eastAsia="Meiryo" w:cs="Meiryo"/>
          <w:szCs w:val="18"/>
        </w:rPr>
        <w:t>1</w:t>
      </w:r>
      <w:r w:rsidR="008336AE" w:rsidRPr="00136FAE">
        <w:rPr>
          <w:rFonts w:eastAsia="Meiryo" w:cs="Meiryo"/>
          <w:szCs w:val="18"/>
        </w:rPr>
        <w:t xml:space="preserve">　</w:t>
      </w:r>
      <w:r w:rsidR="008336AE" w:rsidRPr="00136FAE">
        <w:rPr>
          <w:rFonts w:eastAsia="Meiryo" w:cs="Meiryo"/>
          <w:szCs w:val="18"/>
        </w:rPr>
        <w:t xml:space="preserve"> </w:t>
      </w:r>
      <w:r w:rsidRPr="00136FAE">
        <w:rPr>
          <w:rFonts w:eastAsia="Meiryo" w:cs="Meiryo"/>
          <w:szCs w:val="18"/>
        </w:rPr>
        <w:t>A</w:t>
      </w:r>
      <w:r w:rsidRPr="00136FAE">
        <w:rPr>
          <w:rFonts w:eastAsia="Meiryo" w:cs="Meiryo"/>
          <w:szCs w:val="18"/>
          <w:vertAlign w:val="subscript"/>
        </w:rPr>
        <w:t>Hmax</w:t>
      </w:r>
      <w:r w:rsidRPr="00136FAE">
        <w:rPr>
          <w:rFonts w:eastAsia="Meiryo" w:cs="Meiryo"/>
          <w:szCs w:val="18"/>
        </w:rPr>
        <w:t xml:space="preserve">  </w:t>
      </w:r>
      <w:r w:rsidR="008336AE" w:rsidRPr="00136FAE">
        <w:rPr>
          <w:rFonts w:eastAsia="Meiryo" w:cs="Meiryo"/>
          <w:szCs w:val="18"/>
        </w:rPr>
        <w:t>254</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xml:space="preserve">  (434</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A</w:t>
      </w:r>
      <w:r w:rsidR="008336AE" w:rsidRPr="00136FAE">
        <w:rPr>
          <w:rFonts w:eastAsia="Meiryo" w:cs="Meiryo"/>
          <w:szCs w:val="18"/>
          <w:vertAlign w:val="subscript"/>
        </w:rPr>
        <w:t>Vmax</w:t>
      </w:r>
      <w:r w:rsidR="008336AE" w:rsidRPr="00136FAE">
        <w:rPr>
          <w:rFonts w:eastAsia="Meiryo" w:cs="Meiryo"/>
          <w:szCs w:val="18"/>
        </w:rPr>
        <w:t xml:space="preserve">  305</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TTA6Co00" w:cs="TTA6Co00"/>
          <w:szCs w:val="18"/>
        </w:rPr>
        <w:t xml:space="preserve"> </w:t>
      </w:r>
      <w:r w:rsidR="008336AE" w:rsidRPr="00136FAE">
        <w:rPr>
          <w:rFonts w:eastAsia="Meiryo" w:cs="Meiryo"/>
          <w:szCs w:val="18"/>
        </w:rPr>
        <w:t xml:space="preserve"> (512</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w:t>
      </w:r>
    </w:p>
    <w:p w:rsidR="008336AE" w:rsidRPr="00136FAE" w:rsidRDefault="00E72F0B" w:rsidP="008336AE">
      <w:pPr>
        <w:spacing w:line="320" w:lineRule="exact"/>
        <w:rPr>
          <w:szCs w:val="18"/>
        </w:rPr>
      </w:pPr>
      <w:r w:rsidRPr="00136FAE">
        <w:rPr>
          <w:rFonts w:eastAsia="Meiryo" w:cs="Meiryo"/>
          <w:szCs w:val="18"/>
        </w:rPr>
        <w:t>U</w:t>
      </w:r>
      <w:r w:rsidR="008336AE" w:rsidRPr="00136FAE">
        <w:rPr>
          <w:rFonts w:eastAsia="Meiryo" w:cs="Meiryo"/>
          <w:szCs w:val="18"/>
        </w:rPr>
        <w:t>nit</w:t>
      </w:r>
      <w:r w:rsidRPr="00136FAE">
        <w:rPr>
          <w:rFonts w:eastAsia="Meiryo" w:cs="Meiryo"/>
          <w:szCs w:val="18"/>
        </w:rPr>
        <w:t xml:space="preserve"> </w:t>
      </w:r>
      <w:r w:rsidR="008336AE" w:rsidRPr="00136FAE">
        <w:rPr>
          <w:rFonts w:eastAsia="Meiryo" w:cs="Meiryo"/>
          <w:szCs w:val="18"/>
        </w:rPr>
        <w:t>2</w:t>
      </w:r>
      <w:r w:rsidR="008336AE" w:rsidRPr="00136FAE">
        <w:rPr>
          <w:rFonts w:eastAsia="Meiryo" w:cs="Meiryo"/>
          <w:szCs w:val="18"/>
        </w:rPr>
        <w:t xml:space="preserve">　</w:t>
      </w:r>
      <w:r w:rsidR="008336AE" w:rsidRPr="00136FAE">
        <w:rPr>
          <w:rFonts w:eastAsia="Meiryo" w:cs="Meiryo"/>
          <w:szCs w:val="18"/>
        </w:rPr>
        <w:t xml:space="preserve"> </w:t>
      </w:r>
      <w:r w:rsidRPr="00136FAE">
        <w:rPr>
          <w:rFonts w:eastAsia="Meiryo" w:cs="Meiryo"/>
          <w:szCs w:val="18"/>
        </w:rPr>
        <w:t>A</w:t>
      </w:r>
      <w:r w:rsidRPr="00136FAE">
        <w:rPr>
          <w:rFonts w:eastAsia="Meiryo" w:cs="Meiryo"/>
          <w:szCs w:val="18"/>
          <w:vertAlign w:val="subscript"/>
        </w:rPr>
        <w:t>Hmax</w:t>
      </w:r>
      <w:r w:rsidRPr="00136FAE">
        <w:rPr>
          <w:rFonts w:eastAsia="Meiryo" w:cs="Meiryo"/>
          <w:szCs w:val="18"/>
        </w:rPr>
        <w:t xml:space="preserve">  </w:t>
      </w:r>
      <w:r w:rsidR="008336AE" w:rsidRPr="00136FAE">
        <w:rPr>
          <w:rFonts w:eastAsia="Meiryo" w:cs="Meiryo"/>
          <w:szCs w:val="18"/>
        </w:rPr>
        <w:t>243</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xml:space="preserve">  (428</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xml:space="preserve">)     </w:t>
      </w:r>
      <w:r w:rsidR="00EC7543" w:rsidRPr="00136FAE">
        <w:rPr>
          <w:rFonts w:eastAsia="Meiryo" w:cs="Meiryo"/>
          <w:szCs w:val="18"/>
        </w:rPr>
        <w:t>A</w:t>
      </w:r>
      <w:r w:rsidR="00EC7543" w:rsidRPr="00136FAE">
        <w:rPr>
          <w:rFonts w:eastAsia="Meiryo" w:cs="Meiryo"/>
          <w:szCs w:val="18"/>
          <w:vertAlign w:val="subscript"/>
        </w:rPr>
        <w:t>Vmax</w:t>
      </w:r>
      <w:r w:rsidR="00EC7543" w:rsidRPr="00136FAE">
        <w:rPr>
          <w:rFonts w:eastAsia="Meiryo" w:cs="Meiryo"/>
          <w:szCs w:val="18"/>
        </w:rPr>
        <w:t xml:space="preserve">  </w:t>
      </w:r>
      <w:r w:rsidR="008336AE" w:rsidRPr="00136FAE">
        <w:rPr>
          <w:rFonts w:eastAsia="Meiryo" w:cs="Meiryo"/>
          <w:szCs w:val="18"/>
        </w:rPr>
        <w:t>232</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TTA6Co00" w:cs="TTA6Co00"/>
          <w:szCs w:val="18"/>
        </w:rPr>
        <w:t xml:space="preserve"> </w:t>
      </w:r>
      <w:r w:rsidR="008336AE" w:rsidRPr="00136FAE">
        <w:rPr>
          <w:rFonts w:eastAsia="Meiryo" w:cs="Meiryo"/>
          <w:szCs w:val="18"/>
        </w:rPr>
        <w:t xml:space="preserve"> (504</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w:t>
      </w:r>
    </w:p>
    <w:p w:rsidR="008336AE" w:rsidRPr="00136FAE" w:rsidRDefault="00E72F0B" w:rsidP="008336AE">
      <w:pPr>
        <w:spacing w:line="320" w:lineRule="exact"/>
        <w:rPr>
          <w:rFonts w:eastAsia="Meiryo" w:cs="Meiryo"/>
          <w:szCs w:val="18"/>
        </w:rPr>
      </w:pPr>
      <w:r w:rsidRPr="00136FAE">
        <w:rPr>
          <w:rFonts w:eastAsia="Meiryo" w:cs="Meiryo"/>
          <w:szCs w:val="18"/>
        </w:rPr>
        <w:t>U</w:t>
      </w:r>
      <w:r w:rsidR="008336AE" w:rsidRPr="00136FAE">
        <w:rPr>
          <w:rFonts w:eastAsia="Meiryo" w:cs="Meiryo"/>
          <w:szCs w:val="18"/>
        </w:rPr>
        <w:t>nit</w:t>
      </w:r>
      <w:r w:rsidRPr="00136FAE">
        <w:rPr>
          <w:rFonts w:eastAsia="Meiryo" w:cs="Meiryo"/>
          <w:szCs w:val="18"/>
        </w:rPr>
        <w:t xml:space="preserve"> </w:t>
      </w:r>
      <w:r w:rsidR="008336AE" w:rsidRPr="00136FAE">
        <w:rPr>
          <w:rFonts w:eastAsia="Meiryo" w:cs="Meiryo"/>
          <w:szCs w:val="18"/>
        </w:rPr>
        <w:t>3</w:t>
      </w:r>
      <w:r w:rsidR="008336AE" w:rsidRPr="00136FAE">
        <w:rPr>
          <w:rFonts w:eastAsia="Meiryo" w:cs="Meiryo"/>
          <w:szCs w:val="18"/>
        </w:rPr>
        <w:t xml:space="preserve">　</w:t>
      </w:r>
      <w:r w:rsidR="008336AE" w:rsidRPr="00136FAE">
        <w:rPr>
          <w:rFonts w:eastAsia="Meiryo" w:cs="Meiryo"/>
          <w:szCs w:val="18"/>
        </w:rPr>
        <w:t xml:space="preserve"> </w:t>
      </w:r>
      <w:r w:rsidRPr="00136FAE">
        <w:rPr>
          <w:rFonts w:eastAsia="Meiryo" w:cs="Meiryo"/>
          <w:szCs w:val="18"/>
        </w:rPr>
        <w:t>A</w:t>
      </w:r>
      <w:r w:rsidRPr="00136FAE">
        <w:rPr>
          <w:rFonts w:eastAsia="Meiryo" w:cs="Meiryo"/>
          <w:szCs w:val="18"/>
          <w:vertAlign w:val="subscript"/>
        </w:rPr>
        <w:t>Hmax</w:t>
      </w:r>
      <w:r w:rsidRPr="00136FAE">
        <w:rPr>
          <w:rFonts w:eastAsia="Meiryo" w:cs="Meiryo"/>
          <w:szCs w:val="18"/>
        </w:rPr>
        <w:t xml:space="preserve">  </w:t>
      </w:r>
      <w:r w:rsidR="008336AE" w:rsidRPr="00136FAE">
        <w:rPr>
          <w:rFonts w:eastAsia="Meiryo" w:cs="Meiryo"/>
          <w:szCs w:val="18"/>
        </w:rPr>
        <w:t>277</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TTA6Co00" w:cs="TTA6Co00"/>
          <w:szCs w:val="18"/>
        </w:rPr>
        <w:t xml:space="preserve"> </w:t>
      </w:r>
      <w:r w:rsidR="008336AE" w:rsidRPr="00136FAE">
        <w:rPr>
          <w:rFonts w:eastAsia="Meiryo" w:cs="Meiryo"/>
          <w:szCs w:val="18"/>
        </w:rPr>
        <w:t xml:space="preserve"> (428</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xml:space="preserve">)     </w:t>
      </w:r>
      <w:r w:rsidR="00EC7543" w:rsidRPr="00136FAE">
        <w:rPr>
          <w:rFonts w:eastAsia="Meiryo" w:cs="Meiryo"/>
          <w:szCs w:val="18"/>
        </w:rPr>
        <w:t>A</w:t>
      </w:r>
      <w:r w:rsidR="00EC7543" w:rsidRPr="00136FAE">
        <w:rPr>
          <w:rFonts w:eastAsia="Meiryo" w:cs="Meiryo"/>
          <w:szCs w:val="18"/>
          <w:vertAlign w:val="subscript"/>
        </w:rPr>
        <w:t>Vmax</w:t>
      </w:r>
      <w:r w:rsidR="00EC7543" w:rsidRPr="00136FAE">
        <w:rPr>
          <w:rFonts w:eastAsia="Meiryo" w:cs="Meiryo"/>
          <w:szCs w:val="18"/>
        </w:rPr>
        <w:t xml:space="preserve">  </w:t>
      </w:r>
      <w:r w:rsidR="008336AE" w:rsidRPr="00136FAE">
        <w:rPr>
          <w:rFonts w:eastAsia="Meiryo" w:cs="Meiryo"/>
          <w:szCs w:val="18"/>
        </w:rPr>
        <w:t>208</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xml:space="preserve">  (504</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w:t>
      </w:r>
    </w:p>
    <w:p w:rsidR="008336AE" w:rsidRPr="00136FAE" w:rsidRDefault="00E72F0B" w:rsidP="008336AE">
      <w:pPr>
        <w:spacing w:line="320" w:lineRule="exact"/>
        <w:rPr>
          <w:rFonts w:eastAsia="Meiryo" w:cs="Meiryo"/>
          <w:szCs w:val="18"/>
        </w:rPr>
      </w:pPr>
      <w:r w:rsidRPr="00136FAE">
        <w:rPr>
          <w:rFonts w:eastAsia="Meiryo" w:cs="Meiryo"/>
          <w:szCs w:val="18"/>
        </w:rPr>
        <w:t>U</w:t>
      </w:r>
      <w:r w:rsidR="008336AE" w:rsidRPr="00136FAE">
        <w:rPr>
          <w:rFonts w:eastAsia="Meiryo" w:cs="Meiryo"/>
          <w:szCs w:val="18"/>
        </w:rPr>
        <w:t>nit</w:t>
      </w:r>
      <w:r w:rsidRPr="00136FAE">
        <w:rPr>
          <w:rFonts w:eastAsia="Meiryo" w:cs="Meiryo"/>
          <w:szCs w:val="18"/>
        </w:rPr>
        <w:t xml:space="preserve"> </w:t>
      </w:r>
      <w:r w:rsidR="008336AE" w:rsidRPr="00136FAE">
        <w:rPr>
          <w:rFonts w:eastAsia="Meiryo" w:cs="Meiryo"/>
          <w:szCs w:val="18"/>
        </w:rPr>
        <w:t>4</w:t>
      </w:r>
      <w:r w:rsidR="008336AE" w:rsidRPr="00136FAE">
        <w:rPr>
          <w:rFonts w:eastAsia="Meiryo" w:cs="Meiryo"/>
          <w:szCs w:val="18"/>
        </w:rPr>
        <w:t xml:space="preserve">　</w:t>
      </w:r>
      <w:r w:rsidR="008336AE" w:rsidRPr="00136FAE">
        <w:rPr>
          <w:rFonts w:eastAsia="Meiryo" w:cs="Meiryo"/>
          <w:szCs w:val="18"/>
        </w:rPr>
        <w:t xml:space="preserve"> A</w:t>
      </w:r>
      <w:r w:rsidR="008336AE" w:rsidRPr="00136FAE">
        <w:rPr>
          <w:rFonts w:eastAsia="Meiryo" w:cs="Meiryo"/>
          <w:szCs w:val="18"/>
          <w:vertAlign w:val="subscript"/>
        </w:rPr>
        <w:t>Hmax</w:t>
      </w:r>
      <w:r w:rsidR="008336AE" w:rsidRPr="00136FAE">
        <w:rPr>
          <w:rFonts w:eastAsia="Meiryo" w:cs="Meiryo"/>
          <w:szCs w:val="18"/>
        </w:rPr>
        <w:t xml:space="preserve">  210</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xml:space="preserve">  (415</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 xml:space="preserve">)     </w:t>
      </w:r>
      <w:r w:rsidR="00EC7543" w:rsidRPr="00136FAE">
        <w:rPr>
          <w:rFonts w:eastAsia="Meiryo" w:cs="Meiryo"/>
          <w:szCs w:val="18"/>
        </w:rPr>
        <w:t>A</w:t>
      </w:r>
      <w:r w:rsidR="00EC7543" w:rsidRPr="00136FAE">
        <w:rPr>
          <w:rFonts w:eastAsia="Meiryo" w:cs="Meiryo"/>
          <w:szCs w:val="18"/>
          <w:vertAlign w:val="subscript"/>
        </w:rPr>
        <w:t>Vmax</w:t>
      </w:r>
      <w:r w:rsidR="00EC7543" w:rsidRPr="00136FAE">
        <w:rPr>
          <w:rFonts w:eastAsia="Meiryo" w:cs="Meiryo"/>
          <w:szCs w:val="18"/>
        </w:rPr>
        <w:t xml:space="preserve">  </w:t>
      </w:r>
      <w:r w:rsidR="008336AE" w:rsidRPr="00136FAE">
        <w:rPr>
          <w:rFonts w:eastAsia="Meiryo" w:cs="Meiryo"/>
          <w:szCs w:val="18"/>
        </w:rPr>
        <w:t>288</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TTA6Co00" w:cs="TTA6Co00"/>
          <w:szCs w:val="18"/>
        </w:rPr>
        <w:t xml:space="preserve"> </w:t>
      </w:r>
      <w:r w:rsidR="008336AE" w:rsidRPr="00136FAE">
        <w:rPr>
          <w:rFonts w:eastAsia="Meiryo" w:cs="Meiryo"/>
          <w:szCs w:val="18"/>
        </w:rPr>
        <w:t xml:space="preserve"> (504</w:t>
      </w:r>
      <w:r w:rsidR="008336AE" w:rsidRPr="00136FAE">
        <w:rPr>
          <w:rFonts w:eastAsia="TTA6Co00" w:cs="TTA6Co00"/>
          <w:szCs w:val="18"/>
        </w:rPr>
        <w:t xml:space="preserve"> cm/s</w:t>
      </w:r>
      <w:r w:rsidR="008336AE" w:rsidRPr="00136FAE">
        <w:rPr>
          <w:rFonts w:eastAsia="TTA6Co00" w:cs="TTA6Co00"/>
          <w:szCs w:val="18"/>
          <w:vertAlign w:val="superscript"/>
        </w:rPr>
        <w:t>2</w:t>
      </w:r>
      <w:r w:rsidR="008336AE" w:rsidRPr="00136FAE">
        <w:rPr>
          <w:rFonts w:eastAsia="Meiryo" w:cs="Meiryo"/>
          <w:szCs w:val="18"/>
        </w:rPr>
        <w:t>)</w:t>
      </w:r>
    </w:p>
    <w:p w:rsidR="008336AE" w:rsidRPr="00136FAE" w:rsidRDefault="008336AE" w:rsidP="008336AE">
      <w:pPr>
        <w:spacing w:line="320" w:lineRule="exact"/>
        <w:rPr>
          <w:rFonts w:eastAsia="TTA6Co00" w:cs="TTA6Co00"/>
          <w:szCs w:val="18"/>
        </w:rPr>
      </w:pPr>
    </w:p>
    <w:p w:rsidR="008336AE" w:rsidRPr="00136FAE" w:rsidRDefault="008336AE" w:rsidP="008336AE">
      <w:pPr>
        <w:autoSpaceDE w:val="0"/>
        <w:autoSpaceDN w:val="0"/>
        <w:adjustRightInd w:val="0"/>
        <w:spacing w:line="320" w:lineRule="exact"/>
        <w:rPr>
          <w:rFonts w:eastAsia="Meiryo" w:cs="Meiryo"/>
          <w:szCs w:val="18"/>
        </w:rPr>
      </w:pPr>
      <w:r w:rsidRPr="00136FAE">
        <w:rPr>
          <w:rFonts w:cs="ArialMT" w:hint="eastAsia"/>
          <w:szCs w:val="18"/>
        </w:rPr>
        <w:t>By</w:t>
      </w:r>
      <w:r w:rsidRPr="00136FAE">
        <w:rPr>
          <w:rFonts w:cs="ArialMT"/>
          <w:szCs w:val="18"/>
        </w:rPr>
        <w:t xml:space="preserve"> deconvolusion analysis using the seismic observation records, the seismic motion of the</w:t>
      </w:r>
      <w:r w:rsidR="00810E81">
        <w:rPr>
          <w:rFonts w:cs="ArialMT"/>
          <w:szCs w:val="18"/>
        </w:rPr>
        <w:t xml:space="preserve"> </w:t>
      </w:r>
      <w:r w:rsidRPr="00136FAE">
        <w:rPr>
          <w:rFonts w:cs="ArialMT"/>
          <w:szCs w:val="18"/>
        </w:rPr>
        <w:t xml:space="preserve">free surface of the base stratum </w:t>
      </w:r>
      <w:r w:rsidRPr="00136FAE">
        <w:rPr>
          <w:rFonts w:cs="ArialMT" w:hint="eastAsia"/>
          <w:szCs w:val="18"/>
        </w:rPr>
        <w:t xml:space="preserve">at -180m underground </w:t>
      </w:r>
      <w:r w:rsidRPr="00136FAE">
        <w:rPr>
          <w:rFonts w:cs="ArialMT"/>
          <w:szCs w:val="18"/>
        </w:rPr>
        <w:t>was evaluated and compared to the design b</w:t>
      </w:r>
      <w:r w:rsidRPr="00136FAE">
        <w:rPr>
          <w:rFonts w:cs="ArialMT"/>
          <w:szCs w:val="18"/>
        </w:rPr>
        <w:t>a</w:t>
      </w:r>
      <w:r w:rsidRPr="00136FAE">
        <w:rPr>
          <w:rFonts w:cs="ArialMT"/>
          <w:szCs w:val="18"/>
        </w:rPr>
        <w:t>sis seismic ground motion</w:t>
      </w:r>
      <w:r w:rsidRPr="00136FAE">
        <w:rPr>
          <w:rFonts w:cs="ArialMT" w:hint="eastAsia"/>
          <w:szCs w:val="18"/>
        </w:rPr>
        <w:t>,</w:t>
      </w:r>
      <w:r w:rsidRPr="00136FAE">
        <w:rPr>
          <w:rFonts w:cs="ArialMT"/>
          <w:szCs w:val="18"/>
        </w:rPr>
        <w:t xml:space="preserve"> showing that </w:t>
      </w:r>
      <w:r w:rsidRPr="00136FAE">
        <w:rPr>
          <w:rFonts w:cs="ArialMT" w:hint="eastAsia"/>
          <w:szCs w:val="18"/>
        </w:rPr>
        <w:t xml:space="preserve">both </w:t>
      </w:r>
      <w:r w:rsidRPr="00136FAE">
        <w:rPr>
          <w:rFonts w:cs="ArialMT"/>
          <w:szCs w:val="18"/>
        </w:rPr>
        <w:t>motion</w:t>
      </w:r>
      <w:r w:rsidRPr="00136FAE">
        <w:rPr>
          <w:rFonts w:cs="ArialMT" w:hint="eastAsia"/>
          <w:szCs w:val="18"/>
        </w:rPr>
        <w:t>s</w:t>
      </w:r>
      <w:r w:rsidRPr="00136FAE">
        <w:rPr>
          <w:rFonts w:cs="ArialMT"/>
          <w:szCs w:val="18"/>
        </w:rPr>
        <w:t xml:space="preserve"> are </w:t>
      </w:r>
      <w:r w:rsidRPr="00136FAE">
        <w:rPr>
          <w:rFonts w:cs="ArialMT" w:hint="eastAsia"/>
          <w:szCs w:val="18"/>
        </w:rPr>
        <w:t xml:space="preserve">roughly </w:t>
      </w:r>
      <w:r w:rsidRPr="00136FAE">
        <w:rPr>
          <w:rFonts w:cs="ArialMT"/>
          <w:szCs w:val="18"/>
        </w:rPr>
        <w:t>equivalent.</w:t>
      </w:r>
    </w:p>
    <w:p w:rsidR="008336AE" w:rsidRPr="00136FAE" w:rsidRDefault="008336AE" w:rsidP="008336AE">
      <w:pPr>
        <w:spacing w:line="320" w:lineRule="exact"/>
        <w:rPr>
          <w:rFonts w:eastAsia="TTA6Co00" w:cs="TTA6Co00"/>
          <w:szCs w:val="18"/>
        </w:rPr>
      </w:pPr>
    </w:p>
    <w:p w:rsidR="008336AE" w:rsidRPr="00136FAE" w:rsidRDefault="008336AE" w:rsidP="008336AE">
      <w:pPr>
        <w:spacing w:line="320" w:lineRule="exact"/>
        <w:rPr>
          <w:rFonts w:eastAsia="TTA6Co00" w:cs="TTA6Co00"/>
          <w:szCs w:val="18"/>
        </w:rPr>
      </w:pPr>
      <w:r w:rsidRPr="00136FAE">
        <w:rPr>
          <w:rFonts w:eastAsia="TTA6Co00" w:cs="TTA6Co00"/>
          <w:b/>
          <w:i/>
          <w:szCs w:val="18"/>
        </w:rPr>
        <w:lastRenderedPageBreak/>
        <w:t>Design basis:</w:t>
      </w:r>
      <w:r w:rsidR="00E72F0B" w:rsidRPr="00136FAE">
        <w:rPr>
          <w:rFonts w:eastAsia="TTA6Co00" w:cs="TTA6Co00"/>
          <w:szCs w:val="18"/>
        </w:rPr>
        <w:t xml:space="preserve"> </w:t>
      </w:r>
      <w:r w:rsidRPr="00136FAE">
        <w:rPr>
          <w:rFonts w:eastAsia="TTA6Co00" w:cs="TTA6Co00"/>
          <w:szCs w:val="18"/>
        </w:rPr>
        <w:t xml:space="preserve">Design basis earthquake ground motion </w:t>
      </w:r>
      <w:r w:rsidRPr="00136FAE">
        <w:rPr>
          <w:rFonts w:eastAsia="TTA6Co00" w:cs="TTA6Co00" w:hint="eastAsia"/>
          <w:szCs w:val="18"/>
        </w:rPr>
        <w:t>specified at</w:t>
      </w:r>
      <w:r w:rsidRPr="00136FAE">
        <w:rPr>
          <w:rFonts w:eastAsia="TTA6Co00" w:cs="TTA6Co00"/>
          <w:szCs w:val="18"/>
        </w:rPr>
        <w:t xml:space="preserve"> the </w:t>
      </w:r>
      <w:r w:rsidRPr="00136FAE">
        <w:rPr>
          <w:rFonts w:eastAsia="TTA6Co00" w:cs="TTA6Co00" w:hint="eastAsia"/>
          <w:szCs w:val="18"/>
        </w:rPr>
        <w:t>free</w:t>
      </w:r>
      <w:r w:rsidRPr="00136FAE">
        <w:rPr>
          <w:rFonts w:eastAsia="TTA6Co00" w:cs="TTA6Co00"/>
          <w:szCs w:val="18"/>
        </w:rPr>
        <w:t xml:space="preserve"> surface </w:t>
      </w:r>
      <w:r w:rsidRPr="00136FAE">
        <w:rPr>
          <w:rFonts w:eastAsia="TTA6Co00" w:cs="TTA6Co00" w:hint="eastAsia"/>
          <w:szCs w:val="18"/>
        </w:rPr>
        <w:t xml:space="preserve">of the base stratum </w:t>
      </w:r>
      <w:r w:rsidRPr="00136FAE">
        <w:rPr>
          <w:rFonts w:eastAsia="TTA6Co00" w:cs="TTA6Co00"/>
          <w:szCs w:val="18"/>
        </w:rPr>
        <w:t>-180m from the ground surface. Maximum horizontal and vertical accelerations of the design basis earthquake ground motion</w:t>
      </w:r>
      <w:r w:rsidRPr="00136FAE">
        <w:rPr>
          <w:rFonts w:eastAsia="TTA6Co00" w:cs="TTA6Co00" w:hint="eastAsia"/>
          <w:szCs w:val="18"/>
        </w:rPr>
        <w:t xml:space="preserve"> are</w:t>
      </w:r>
      <w:r w:rsidR="00E72F0B" w:rsidRPr="00136FAE">
        <w:rPr>
          <w:rFonts w:eastAsia="TTA6Co00" w:cs="TTA6Co00"/>
          <w:szCs w:val="18"/>
        </w:rPr>
        <w:t>:</w:t>
      </w:r>
    </w:p>
    <w:p w:rsidR="008336AE" w:rsidRPr="00136FAE" w:rsidRDefault="008336AE" w:rsidP="008336AE">
      <w:pPr>
        <w:autoSpaceDE w:val="0"/>
        <w:autoSpaceDN w:val="0"/>
        <w:adjustRightInd w:val="0"/>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H</w:t>
      </w:r>
      <w:r w:rsidRPr="00136FAE">
        <w:rPr>
          <w:rFonts w:eastAsia="TTA6Co00" w:cs="TTA6Co00"/>
          <w:szCs w:val="18"/>
        </w:rPr>
        <w:t xml:space="preserve">  600 cm/s</w:t>
      </w:r>
      <w:r w:rsidRPr="00136FAE">
        <w:rPr>
          <w:rFonts w:eastAsia="TTA6Co00" w:cs="TTA6Co00"/>
          <w:szCs w:val="18"/>
          <w:vertAlign w:val="superscript"/>
        </w:rPr>
        <w:t>2</w:t>
      </w:r>
      <w:r w:rsidRPr="00136FAE">
        <w:rPr>
          <w:rFonts w:eastAsia="TTA6Co00" w:cs="TTA6Co00"/>
          <w:szCs w:val="18"/>
        </w:rPr>
        <w:t xml:space="preserve"> </w:t>
      </w:r>
    </w:p>
    <w:p w:rsidR="008336AE" w:rsidRPr="00136FAE" w:rsidRDefault="008336AE" w:rsidP="008336AE">
      <w:pPr>
        <w:autoSpaceDE w:val="0"/>
        <w:autoSpaceDN w:val="0"/>
        <w:adjustRightInd w:val="0"/>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V</w:t>
      </w:r>
      <w:r w:rsidRPr="00136FAE">
        <w:rPr>
          <w:rFonts w:eastAsia="TTA6Co00" w:cs="TTA6Co00"/>
          <w:szCs w:val="18"/>
        </w:rPr>
        <w:t xml:space="preserve">  400 cm/s</w:t>
      </w:r>
      <w:r w:rsidRPr="00136FAE">
        <w:rPr>
          <w:rFonts w:eastAsia="TTA6Co00" w:cs="TTA6Co00"/>
          <w:szCs w:val="18"/>
          <w:vertAlign w:val="superscript"/>
        </w:rPr>
        <w:t>2</w:t>
      </w:r>
      <w:r w:rsidRPr="00136FAE">
        <w:rPr>
          <w:rFonts w:eastAsia="TTA6Co00" w:cs="TTA6Co00"/>
          <w:szCs w:val="18"/>
        </w:rPr>
        <w:t xml:space="preserve"> </w:t>
      </w:r>
    </w:p>
    <w:p w:rsidR="008336AE" w:rsidRPr="00136FAE" w:rsidRDefault="008336AE" w:rsidP="008336AE">
      <w:pPr>
        <w:spacing w:line="320" w:lineRule="exact"/>
        <w:rPr>
          <w:rFonts w:eastAsia="Meiryo" w:cs="Meiryo"/>
          <w:szCs w:val="18"/>
        </w:rPr>
      </w:pPr>
    </w:p>
    <w:p w:rsidR="008336AE" w:rsidRPr="00136FAE" w:rsidRDefault="008336AE" w:rsidP="00E72F0B">
      <w:pPr>
        <w:spacing w:line="320" w:lineRule="exact"/>
        <w:rPr>
          <w:rFonts w:eastAsia="Meiryo" w:cs="Meiryo"/>
          <w:szCs w:val="18"/>
        </w:rPr>
      </w:pPr>
      <w:r w:rsidRPr="00136FAE">
        <w:rPr>
          <w:rFonts w:eastAsia="Meiryo" w:cs="Meiryo"/>
          <w:b/>
          <w:i/>
          <w:szCs w:val="18"/>
        </w:rPr>
        <w:t>Damage:</w:t>
      </w:r>
      <w:r w:rsidR="00E72F0B" w:rsidRPr="00136FAE">
        <w:rPr>
          <w:rFonts w:eastAsia="Meiryo" w:cs="Meiryo"/>
          <w:szCs w:val="18"/>
        </w:rPr>
        <w:t xml:space="preserve"> </w:t>
      </w:r>
      <w:r w:rsidRPr="00136FAE">
        <w:rPr>
          <w:rFonts w:cs="Arial"/>
          <w:szCs w:val="18"/>
        </w:rPr>
        <w:t xml:space="preserve">The plants achieved cold shutdown safely with no core damage. Also, subsequent facility checks found no damage to functions of safety-critical equipment </w:t>
      </w:r>
      <w:r w:rsidR="00EA72BB">
        <w:rPr>
          <w:rFonts w:cs="Arial"/>
          <w:szCs w:val="18"/>
        </w:rPr>
        <w:t xml:space="preserve">except </w:t>
      </w:r>
      <w:r w:rsidRPr="00EA72BB">
        <w:rPr>
          <w:rFonts w:cs="Arial"/>
          <w:szCs w:val="18"/>
        </w:rPr>
        <w:t xml:space="preserve"> </w:t>
      </w:r>
      <w:r w:rsidRPr="00136FAE">
        <w:rPr>
          <w:rFonts w:cs="Arial"/>
          <w:szCs w:val="18"/>
        </w:rPr>
        <w:t>for damage by the tsunami. Thus, it is co</w:t>
      </w:r>
      <w:r w:rsidRPr="00136FAE">
        <w:rPr>
          <w:rFonts w:cs="Arial"/>
          <w:szCs w:val="18"/>
        </w:rPr>
        <w:t>n</w:t>
      </w:r>
      <w:r w:rsidRPr="00136FAE">
        <w:rPr>
          <w:rFonts w:cs="Arial"/>
          <w:szCs w:val="18"/>
        </w:rPr>
        <w:t>sidered that the earthquake had no impact on the functionality of safety-critical equi</w:t>
      </w:r>
      <w:r w:rsidRPr="00136FAE">
        <w:rPr>
          <w:rFonts w:cs="Arial"/>
          <w:szCs w:val="18"/>
        </w:rPr>
        <w:t>p</w:t>
      </w:r>
      <w:r w:rsidRPr="00136FAE">
        <w:rPr>
          <w:rFonts w:cs="Arial"/>
          <w:szCs w:val="18"/>
        </w:rPr>
        <w:t>ment.</w:t>
      </w:r>
    </w:p>
    <w:p w:rsidR="00E72F0B" w:rsidRPr="00E72F0B" w:rsidRDefault="00640729" w:rsidP="00E72F0B">
      <w:pPr>
        <w:pStyle w:val="Titre3"/>
        <w:rPr>
          <w:lang w:val="en-US"/>
        </w:rPr>
      </w:pPr>
      <w:bookmarkStart w:id="54" w:name="_Toc456011877"/>
      <w:r w:rsidRPr="00E72F0B">
        <w:rPr>
          <w:lang w:val="en-US"/>
        </w:rPr>
        <w:t>Onagawa</w:t>
      </w:r>
      <w:r w:rsidR="00082E34" w:rsidRPr="00E72F0B">
        <w:rPr>
          <w:lang w:val="en-US"/>
        </w:rPr>
        <w:t xml:space="preserve"> </w:t>
      </w:r>
      <w:r w:rsidRPr="00E72F0B">
        <w:rPr>
          <w:lang w:val="en-US"/>
        </w:rPr>
        <w:t>NPP (Japan)</w:t>
      </w:r>
      <w:bookmarkEnd w:id="54"/>
      <w:r w:rsidRPr="00E72F0B">
        <w:rPr>
          <w:lang w:val="en-US"/>
        </w:rPr>
        <w:t xml:space="preserve"> </w:t>
      </w:r>
    </w:p>
    <w:p w:rsidR="00640729" w:rsidRPr="00136FAE" w:rsidRDefault="00E72F0B" w:rsidP="00640729">
      <w:pPr>
        <w:rPr>
          <w:szCs w:val="18"/>
        </w:rPr>
      </w:pPr>
      <w:r w:rsidRPr="00136FAE">
        <w:rPr>
          <w:szCs w:val="18"/>
        </w:rPr>
        <w:t>Great East Japan Earthquake (GEJE) or</w:t>
      </w:r>
      <w:r w:rsidRPr="00136FAE">
        <w:rPr>
          <w:rFonts w:eastAsia="Meiryo" w:cs="Meiryo"/>
          <w:szCs w:val="18"/>
        </w:rPr>
        <w:t xml:space="preserve"> </w:t>
      </w:r>
      <w:r w:rsidR="00640729" w:rsidRPr="00136FAE">
        <w:rPr>
          <w:szCs w:val="18"/>
        </w:rPr>
        <w:t>Tokoku earthquake 11.03.2011, Mw 9.0</w:t>
      </w:r>
    </w:p>
    <w:p w:rsidR="00E72F0B" w:rsidRPr="00136FAE" w:rsidRDefault="00E72F0B" w:rsidP="00E72F0B">
      <w:pPr>
        <w:autoSpaceDE w:val="0"/>
        <w:autoSpaceDN w:val="0"/>
        <w:adjustRightInd w:val="0"/>
        <w:spacing w:line="320" w:lineRule="exact"/>
        <w:rPr>
          <w:rFonts w:eastAsia="TTA6Co00" w:cs="TTA6Co00"/>
          <w:szCs w:val="18"/>
        </w:rPr>
      </w:pPr>
      <w:r w:rsidRPr="00136FAE">
        <w:rPr>
          <w:szCs w:val="18"/>
        </w:rPr>
        <w:t>Situated on the eastern coast of Japan facing the Pacific Ocean, the Onagawa NPP was the closest n</w:t>
      </w:r>
      <w:r w:rsidRPr="00136FAE">
        <w:rPr>
          <w:szCs w:val="18"/>
        </w:rPr>
        <w:t>u</w:t>
      </w:r>
      <w:r w:rsidRPr="00136FAE">
        <w:rPr>
          <w:szCs w:val="18"/>
        </w:rPr>
        <w:t>clear power plant to the epicentre of the Mw 9.0 GEJE. The plant experienced very high levels of ground motion the strongest shaking that any nuclear power plant has ever experienced from an eart</w:t>
      </w:r>
      <w:r w:rsidRPr="00136FAE">
        <w:rPr>
          <w:szCs w:val="18"/>
        </w:rPr>
        <w:t>h</w:t>
      </w:r>
      <w:r w:rsidRPr="00136FAE">
        <w:rPr>
          <w:szCs w:val="18"/>
        </w:rPr>
        <w:t>quake. The ground subsided about 1</w:t>
      </w:r>
      <w:r w:rsidR="00BD7C5F" w:rsidRPr="00136FAE">
        <w:rPr>
          <w:szCs w:val="18"/>
        </w:rPr>
        <w:t xml:space="preserve"> </w:t>
      </w:r>
      <w:r w:rsidRPr="00136FAE">
        <w:rPr>
          <w:szCs w:val="18"/>
        </w:rPr>
        <w:t xml:space="preserve">m during the earthquake, from 14.8 m above sea level to 13.8m. </w:t>
      </w:r>
      <w:r w:rsidRPr="00136FAE">
        <w:rPr>
          <w:rFonts w:eastAsia="Meiryo" w:cs="Meiryo"/>
          <w:szCs w:val="18"/>
        </w:rPr>
        <w:t>There are three units in Onagawa NPP site.</w:t>
      </w:r>
    </w:p>
    <w:p w:rsidR="00E72F0B" w:rsidRPr="00136FAE" w:rsidRDefault="00E72F0B" w:rsidP="00E72F0B">
      <w:pPr>
        <w:spacing w:line="320" w:lineRule="exact"/>
        <w:rPr>
          <w:rFonts w:eastAsia="TTA6Co00" w:cs="TTA6Co00"/>
          <w:szCs w:val="18"/>
        </w:rPr>
      </w:pPr>
    </w:p>
    <w:p w:rsidR="00E72F0B" w:rsidRPr="00136FAE" w:rsidRDefault="00E72F0B" w:rsidP="00E72F0B">
      <w:pPr>
        <w:spacing w:line="320" w:lineRule="exact"/>
        <w:rPr>
          <w:rFonts w:eastAsia="TTA6Co00" w:cs="TTA6Co00"/>
          <w:szCs w:val="18"/>
        </w:rPr>
      </w:pPr>
      <w:r w:rsidRPr="00136FAE">
        <w:rPr>
          <w:rFonts w:eastAsia="TTA6Co00" w:cs="TTA6Co00"/>
          <w:b/>
          <w:i/>
          <w:szCs w:val="18"/>
        </w:rPr>
        <w:t>Design basis:</w:t>
      </w:r>
      <w:r w:rsidR="00BD7C5F" w:rsidRPr="00136FAE">
        <w:rPr>
          <w:rFonts w:eastAsia="TTA6Co00" w:cs="TTA6Co00"/>
          <w:szCs w:val="18"/>
        </w:rPr>
        <w:t xml:space="preserve"> d</w:t>
      </w:r>
      <w:r w:rsidRPr="00136FAE">
        <w:rPr>
          <w:rFonts w:eastAsia="TTA6Co00" w:cs="TTA6Co00"/>
          <w:szCs w:val="18"/>
        </w:rPr>
        <w:t>esign basis earthquake ground motion is specified at the free rock surface -16m to -30m (different for each unit) from the ground surface.</w:t>
      </w:r>
      <w:r w:rsidR="00BD7C5F" w:rsidRPr="00136FAE">
        <w:rPr>
          <w:rFonts w:eastAsia="TTA6Co00" w:cs="TTA6Co00"/>
          <w:szCs w:val="18"/>
        </w:rPr>
        <w:t xml:space="preserve"> </w:t>
      </w:r>
      <w:r w:rsidRPr="00136FAE">
        <w:rPr>
          <w:rFonts w:eastAsia="TTA6Co00" w:cs="TTA6Co00"/>
          <w:szCs w:val="18"/>
        </w:rPr>
        <w:t>Maximum horizontal and vertical accelerations of the design basis eart</w:t>
      </w:r>
      <w:r w:rsidRPr="00136FAE">
        <w:rPr>
          <w:rFonts w:eastAsia="TTA6Co00" w:cs="TTA6Co00"/>
          <w:szCs w:val="18"/>
        </w:rPr>
        <w:t>h</w:t>
      </w:r>
      <w:r w:rsidRPr="00136FAE">
        <w:rPr>
          <w:rFonts w:eastAsia="TTA6Co00" w:cs="TTA6Co00"/>
          <w:szCs w:val="18"/>
        </w:rPr>
        <w:t>quake ground motion</w:t>
      </w:r>
      <w:r w:rsidR="00BD7C5F" w:rsidRPr="00136FAE">
        <w:rPr>
          <w:rFonts w:eastAsia="TTA6Co00" w:cs="TTA6Co00"/>
          <w:szCs w:val="18"/>
        </w:rPr>
        <w:t>:</w:t>
      </w:r>
    </w:p>
    <w:p w:rsidR="00E72F0B" w:rsidRPr="00136FAE" w:rsidRDefault="00BD7C5F" w:rsidP="00E72F0B">
      <w:pPr>
        <w:autoSpaceDE w:val="0"/>
        <w:autoSpaceDN w:val="0"/>
        <w:adjustRightInd w:val="0"/>
        <w:spacing w:line="320" w:lineRule="exact"/>
        <w:rPr>
          <w:rFonts w:eastAsia="TTA6Co00" w:cs="TTA6Co00"/>
          <w:szCs w:val="18"/>
        </w:rPr>
      </w:pPr>
      <w:r w:rsidRPr="00136FAE">
        <w:rPr>
          <w:rFonts w:eastAsia="TTA6Co00" w:cs="TTA6Co00"/>
          <w:szCs w:val="18"/>
        </w:rPr>
        <w:t>PGA</w:t>
      </w:r>
      <w:r w:rsidR="00E72F0B" w:rsidRPr="00136FAE">
        <w:rPr>
          <w:rFonts w:eastAsia="TTA6Co00" w:cs="TTA6Co00"/>
          <w:szCs w:val="18"/>
          <w:vertAlign w:val="subscript"/>
        </w:rPr>
        <w:t>H</w:t>
      </w:r>
      <w:r w:rsidR="00E72F0B" w:rsidRPr="00136FAE">
        <w:rPr>
          <w:rFonts w:eastAsia="TTA6Co00" w:cs="TTA6Co00"/>
          <w:szCs w:val="18"/>
        </w:rPr>
        <w:t xml:space="preserve">  580 cm/s</w:t>
      </w:r>
      <w:r w:rsidR="00E72F0B" w:rsidRPr="00136FAE">
        <w:rPr>
          <w:rFonts w:eastAsia="TTA6Co00" w:cs="TTA6Co00"/>
          <w:szCs w:val="18"/>
          <w:vertAlign w:val="superscript"/>
        </w:rPr>
        <w:t>2</w:t>
      </w:r>
    </w:p>
    <w:p w:rsidR="00E72F0B" w:rsidRPr="00136FAE" w:rsidRDefault="00E72F0B" w:rsidP="00E72F0B">
      <w:pPr>
        <w:autoSpaceDE w:val="0"/>
        <w:autoSpaceDN w:val="0"/>
        <w:adjustRightInd w:val="0"/>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V</w:t>
      </w:r>
      <w:r w:rsidRPr="00136FAE">
        <w:rPr>
          <w:rFonts w:eastAsia="TTA6Co00" w:cs="TTA6Co00"/>
          <w:szCs w:val="18"/>
        </w:rPr>
        <w:t xml:space="preserve">  387 cm/s</w:t>
      </w:r>
      <w:r w:rsidRPr="00136FAE">
        <w:rPr>
          <w:rFonts w:eastAsia="TTA6Co00" w:cs="TTA6Co00"/>
          <w:szCs w:val="18"/>
          <w:vertAlign w:val="superscript"/>
        </w:rPr>
        <w:t>2</w:t>
      </w:r>
    </w:p>
    <w:p w:rsidR="00E72F0B" w:rsidRPr="00136FAE" w:rsidRDefault="00E72F0B" w:rsidP="00E72F0B">
      <w:pPr>
        <w:spacing w:line="320" w:lineRule="exact"/>
        <w:rPr>
          <w:rFonts w:eastAsia="Meiryo" w:cs="Meiryo"/>
          <w:szCs w:val="18"/>
        </w:rPr>
      </w:pPr>
    </w:p>
    <w:p w:rsidR="00E72F0B" w:rsidRPr="00136FAE" w:rsidRDefault="00E72F0B" w:rsidP="00E72F0B">
      <w:pPr>
        <w:spacing w:line="320" w:lineRule="exact"/>
        <w:rPr>
          <w:rFonts w:eastAsia="TTA6Co00" w:cs="TTA6Co00"/>
          <w:szCs w:val="18"/>
        </w:rPr>
      </w:pPr>
      <w:r w:rsidRPr="00136FAE">
        <w:rPr>
          <w:rFonts w:eastAsia="TTA6Co00" w:cs="TTA6Co00"/>
          <w:b/>
          <w:i/>
          <w:szCs w:val="18"/>
        </w:rPr>
        <w:t>Ground motion at the site:</w:t>
      </w:r>
      <w:r w:rsidR="00BD7C5F" w:rsidRPr="00136FAE">
        <w:rPr>
          <w:rFonts w:eastAsia="TTA6Co00" w:cs="TTA6Co00"/>
          <w:szCs w:val="18"/>
        </w:rPr>
        <w:t xml:space="preserve"> e</w:t>
      </w:r>
      <w:r w:rsidRPr="00136FAE">
        <w:rPr>
          <w:rFonts w:eastAsia="TTA6Co00" w:cs="TTA6Co00"/>
          <w:szCs w:val="18"/>
        </w:rPr>
        <w:t>stimated horizontal and vertical PGAs at the free rock surface by the deconvolu</w:t>
      </w:r>
      <w:r w:rsidR="00EA72BB">
        <w:rPr>
          <w:rFonts w:eastAsia="TTA6Co00" w:cs="TTA6Co00"/>
          <w:szCs w:val="18"/>
        </w:rPr>
        <w:t>t</w:t>
      </w:r>
      <w:r w:rsidRPr="00136FAE">
        <w:rPr>
          <w:rFonts w:eastAsia="TTA6Co00" w:cs="TTA6Co00"/>
          <w:szCs w:val="18"/>
        </w:rPr>
        <w:t>ion analysis were comparable with the design ones</w:t>
      </w:r>
      <w:r w:rsidR="00136FAE">
        <w:rPr>
          <w:rFonts w:eastAsia="TTA6Co00" w:cs="TTA6Co00"/>
          <w:szCs w:val="18"/>
        </w:rPr>
        <w:t>.</w:t>
      </w:r>
    </w:p>
    <w:p w:rsidR="00E72F0B" w:rsidRPr="00136FAE" w:rsidRDefault="00BD7C5F" w:rsidP="00E72F0B">
      <w:pPr>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H</w:t>
      </w:r>
      <w:r w:rsidRPr="00136FAE">
        <w:rPr>
          <w:rFonts w:eastAsia="TTA6Co00" w:cs="TTA6Co00"/>
          <w:szCs w:val="18"/>
        </w:rPr>
        <w:t xml:space="preserve">  </w:t>
      </w:r>
      <w:r w:rsidR="00E72F0B" w:rsidRPr="00136FAE">
        <w:rPr>
          <w:rFonts w:eastAsia="TTA6Co00" w:cs="TTA6Co00"/>
          <w:szCs w:val="18"/>
        </w:rPr>
        <w:t>636 cm/s</w:t>
      </w:r>
      <w:r w:rsidR="00E72F0B" w:rsidRPr="00136FAE">
        <w:rPr>
          <w:rFonts w:eastAsia="TTA6Co00" w:cs="TTA6Co00"/>
          <w:szCs w:val="18"/>
          <w:vertAlign w:val="superscript"/>
        </w:rPr>
        <w:t>2</w:t>
      </w:r>
    </w:p>
    <w:p w:rsidR="00E72F0B" w:rsidRPr="00136FAE" w:rsidRDefault="00BD7C5F" w:rsidP="00E72F0B">
      <w:pPr>
        <w:spacing w:line="320" w:lineRule="exact"/>
        <w:rPr>
          <w:rFonts w:eastAsia="TTA6Co00" w:cs="TTA6Co00"/>
          <w:szCs w:val="18"/>
        </w:rPr>
      </w:pPr>
      <w:r w:rsidRPr="00136FAE">
        <w:rPr>
          <w:rFonts w:eastAsia="TTA6Co00" w:cs="TTA6Co00"/>
          <w:szCs w:val="18"/>
        </w:rPr>
        <w:t>PGA</w:t>
      </w:r>
      <w:r w:rsidRPr="00136FAE">
        <w:rPr>
          <w:rFonts w:eastAsia="TTA6Co00" w:cs="TTA6Co00"/>
          <w:szCs w:val="18"/>
          <w:vertAlign w:val="subscript"/>
        </w:rPr>
        <w:t>V</w:t>
      </w:r>
      <w:r w:rsidRPr="00136FAE">
        <w:rPr>
          <w:rFonts w:eastAsia="TTA6Co00" w:cs="TTA6Co00"/>
          <w:szCs w:val="18"/>
        </w:rPr>
        <w:t xml:space="preserve">  </w:t>
      </w:r>
      <w:r w:rsidR="00E72F0B" w:rsidRPr="00136FAE">
        <w:rPr>
          <w:rFonts w:eastAsia="TTA6Co00" w:cs="TTA6Co00"/>
          <w:szCs w:val="18"/>
        </w:rPr>
        <w:t>312 cm/s</w:t>
      </w:r>
      <w:r w:rsidR="00E72F0B" w:rsidRPr="00136FAE">
        <w:rPr>
          <w:rFonts w:eastAsia="TTA6Co00" w:cs="TTA6Co00"/>
          <w:szCs w:val="18"/>
          <w:vertAlign w:val="superscript"/>
        </w:rPr>
        <w:t>2</w:t>
      </w:r>
    </w:p>
    <w:p w:rsidR="00E72F0B" w:rsidRPr="00136FAE" w:rsidRDefault="00E72F0B" w:rsidP="00E72F0B">
      <w:pPr>
        <w:spacing w:line="320" w:lineRule="exact"/>
        <w:rPr>
          <w:rFonts w:eastAsia="TTA6Co00" w:cs="TTA6Co00"/>
          <w:szCs w:val="18"/>
        </w:rPr>
      </w:pPr>
    </w:p>
    <w:p w:rsidR="00E72F0B" w:rsidRPr="00136FAE" w:rsidRDefault="00E72F0B" w:rsidP="00727DC3">
      <w:pPr>
        <w:spacing w:line="320" w:lineRule="exact"/>
        <w:rPr>
          <w:rFonts w:eastAsia="TTA6Co00" w:cs="TTA6Co00"/>
          <w:szCs w:val="18"/>
        </w:rPr>
      </w:pPr>
      <w:r w:rsidRPr="00136FAE">
        <w:rPr>
          <w:rFonts w:eastAsia="TTA6Co00" w:cs="TTA6Co00"/>
          <w:szCs w:val="18"/>
        </w:rPr>
        <w:t>Response spectrum of the deconvoluted wave is roughly equivalent to that of the design earthquake ground m</w:t>
      </w:r>
      <w:r w:rsidRPr="00136FAE">
        <w:rPr>
          <w:rFonts w:eastAsia="TTA6Co00" w:cs="TTA6Co00"/>
          <w:szCs w:val="18"/>
        </w:rPr>
        <w:t>o</w:t>
      </w:r>
      <w:r w:rsidRPr="00136FAE">
        <w:rPr>
          <w:rFonts w:eastAsia="TTA6Co00" w:cs="TTA6Co00"/>
          <w:szCs w:val="18"/>
        </w:rPr>
        <w:t>tion. Maximum horizontal and vertical acceleration</w:t>
      </w:r>
      <w:r w:rsidRPr="00136FAE">
        <w:rPr>
          <w:rFonts w:eastAsia="Meiryo" w:cs="Meiryo"/>
          <w:szCs w:val="18"/>
        </w:rPr>
        <w:t xml:space="preserve"> </w:t>
      </w:r>
      <w:r w:rsidRPr="00136FAE">
        <w:rPr>
          <w:rFonts w:eastAsia="TTA6Co00" w:cs="TTA6Co00"/>
          <w:szCs w:val="18"/>
        </w:rPr>
        <w:t xml:space="preserve">observed on the base mat of the </w:t>
      </w:r>
      <w:r w:rsidR="00BD7C5F" w:rsidRPr="00136FAE">
        <w:rPr>
          <w:rFonts w:eastAsia="TTA6Co00" w:cs="TTA6Co00"/>
          <w:szCs w:val="18"/>
        </w:rPr>
        <w:t>reactor building are as follows (n</w:t>
      </w:r>
      <w:r w:rsidRPr="00136FAE">
        <w:rPr>
          <w:rFonts w:eastAsia="Meiryo" w:cs="Meiryo"/>
          <w:szCs w:val="18"/>
        </w:rPr>
        <w:t xml:space="preserve">umbers in the parentheses are the </w:t>
      </w:r>
      <w:r w:rsidRPr="00136FAE">
        <w:rPr>
          <w:rFonts w:eastAsia="TTA6Co00" w:cs="TTA6Co00"/>
          <w:szCs w:val="18"/>
        </w:rPr>
        <w:t xml:space="preserve">maximum acceleration from </w:t>
      </w:r>
      <w:r w:rsidRPr="00136FAE">
        <w:rPr>
          <w:rFonts w:eastAsia="Meiryo" w:cs="Meiryo"/>
          <w:szCs w:val="18"/>
        </w:rPr>
        <w:t xml:space="preserve">the response analysis using </w:t>
      </w:r>
      <w:r w:rsidRPr="00136FAE">
        <w:rPr>
          <w:rFonts w:eastAsia="TTA6Co00" w:cs="TTA6Co00"/>
          <w:szCs w:val="18"/>
        </w:rPr>
        <w:t>design</w:t>
      </w:r>
      <w:r w:rsidR="00BD7C5F" w:rsidRPr="00136FAE">
        <w:rPr>
          <w:rFonts w:eastAsia="TTA6Co00" w:cs="TTA6Co00"/>
          <w:szCs w:val="18"/>
        </w:rPr>
        <w:t xml:space="preserve"> basis eart</w:t>
      </w:r>
      <w:r w:rsidR="00BD7C5F" w:rsidRPr="00136FAE">
        <w:rPr>
          <w:rFonts w:eastAsia="TTA6Co00" w:cs="TTA6Co00"/>
          <w:szCs w:val="18"/>
        </w:rPr>
        <w:t>h</w:t>
      </w:r>
      <w:r w:rsidR="00BD7C5F" w:rsidRPr="00136FAE">
        <w:rPr>
          <w:rFonts w:eastAsia="TTA6Co00" w:cs="TTA6Co00"/>
          <w:szCs w:val="18"/>
        </w:rPr>
        <w:t>quake ground motion):</w:t>
      </w:r>
    </w:p>
    <w:p w:rsidR="00E72F0B" w:rsidRPr="00136FAE" w:rsidRDefault="00BD7C5F" w:rsidP="00E72F0B">
      <w:pPr>
        <w:spacing w:line="320" w:lineRule="exact"/>
        <w:rPr>
          <w:rFonts w:eastAsia="Meiryo" w:cs="Meiryo"/>
          <w:szCs w:val="18"/>
        </w:rPr>
      </w:pPr>
      <w:r w:rsidRPr="00136FAE">
        <w:rPr>
          <w:rFonts w:eastAsia="Meiryo" w:cs="Meiryo"/>
          <w:szCs w:val="18"/>
        </w:rPr>
        <w:t>U</w:t>
      </w:r>
      <w:r w:rsidR="00E72F0B" w:rsidRPr="00136FAE">
        <w:rPr>
          <w:rFonts w:eastAsia="Meiryo" w:cs="Meiryo"/>
          <w:szCs w:val="18"/>
        </w:rPr>
        <w:t>nit</w:t>
      </w:r>
      <w:r w:rsidRPr="00136FAE">
        <w:rPr>
          <w:rFonts w:eastAsia="Meiryo" w:cs="Meiryo"/>
          <w:szCs w:val="18"/>
        </w:rPr>
        <w:t xml:space="preserve"> </w:t>
      </w:r>
      <w:r w:rsidR="00E72F0B" w:rsidRPr="00136FAE">
        <w:rPr>
          <w:rFonts w:eastAsia="Meiryo" w:cs="Meiryo"/>
          <w:szCs w:val="18"/>
        </w:rPr>
        <w:t>1</w:t>
      </w:r>
      <w:r w:rsidR="00E72F0B" w:rsidRPr="00136FAE">
        <w:rPr>
          <w:rFonts w:eastAsia="Meiryo" w:cs="Meiryo"/>
          <w:szCs w:val="18"/>
        </w:rPr>
        <w:t xml:space="preserve">　</w:t>
      </w:r>
      <w:r w:rsidR="00E72F0B" w:rsidRPr="00136FAE">
        <w:rPr>
          <w:rFonts w:eastAsia="Meiryo" w:cs="Meiryo"/>
          <w:szCs w:val="18"/>
        </w:rPr>
        <w:t>A</w:t>
      </w:r>
      <w:r w:rsidR="00E72F0B" w:rsidRPr="00136FAE">
        <w:rPr>
          <w:rFonts w:eastAsia="Meiryo" w:cs="Meiryo"/>
          <w:szCs w:val="18"/>
          <w:vertAlign w:val="subscript"/>
        </w:rPr>
        <w:t>Hmax</w:t>
      </w:r>
      <w:r w:rsidR="00E72F0B" w:rsidRPr="00136FAE">
        <w:rPr>
          <w:rFonts w:eastAsia="Meiryo" w:cs="Meiryo"/>
          <w:szCs w:val="18"/>
        </w:rPr>
        <w:t xml:space="preserve">  587</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xml:space="preserve">  (529</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A</w:t>
      </w:r>
      <w:r w:rsidR="00E72F0B" w:rsidRPr="00136FAE">
        <w:rPr>
          <w:rFonts w:eastAsia="Meiryo" w:cs="Meiryo"/>
          <w:szCs w:val="18"/>
          <w:vertAlign w:val="subscript"/>
        </w:rPr>
        <w:t>Vmax</w:t>
      </w:r>
      <w:r w:rsidR="00E72F0B" w:rsidRPr="00136FAE">
        <w:rPr>
          <w:rFonts w:eastAsia="Meiryo" w:cs="Meiryo"/>
          <w:szCs w:val="18"/>
        </w:rPr>
        <w:t xml:space="preserve">  439</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xml:space="preserve">  (451</w:t>
      </w:r>
      <w:r w:rsidR="00E72F0B" w:rsidRPr="00136FAE">
        <w:rPr>
          <w:rFonts w:eastAsia="TTA6Co00" w:cs="TTA6Co00"/>
          <w:szCs w:val="18"/>
        </w:rPr>
        <w:t xml:space="preserve"> cm/s2</w:t>
      </w:r>
      <w:r w:rsidR="00E72F0B" w:rsidRPr="00136FAE">
        <w:rPr>
          <w:rFonts w:eastAsia="Meiryo" w:cs="Meiryo"/>
          <w:szCs w:val="18"/>
        </w:rPr>
        <w:t xml:space="preserve">) </w:t>
      </w:r>
    </w:p>
    <w:p w:rsidR="00E72F0B" w:rsidRPr="00136FAE" w:rsidRDefault="00BD7C5F" w:rsidP="00024672">
      <w:pPr>
        <w:spacing w:line="320" w:lineRule="exact"/>
        <w:rPr>
          <w:rFonts w:eastAsia="Meiryo" w:cs="Meiryo"/>
          <w:szCs w:val="18"/>
        </w:rPr>
      </w:pPr>
      <w:r w:rsidRPr="00136FAE">
        <w:rPr>
          <w:rFonts w:eastAsia="Meiryo" w:cs="Meiryo"/>
          <w:szCs w:val="18"/>
        </w:rPr>
        <w:t>U</w:t>
      </w:r>
      <w:r w:rsidR="00E72F0B" w:rsidRPr="00136FAE">
        <w:rPr>
          <w:rFonts w:eastAsia="Meiryo" w:cs="Meiryo"/>
          <w:szCs w:val="18"/>
        </w:rPr>
        <w:t>nit</w:t>
      </w:r>
      <w:r w:rsidRPr="00136FAE">
        <w:rPr>
          <w:rFonts w:eastAsia="Meiryo" w:cs="Meiryo"/>
          <w:szCs w:val="18"/>
        </w:rPr>
        <w:t xml:space="preserve"> </w:t>
      </w:r>
      <w:r w:rsidR="00E72F0B" w:rsidRPr="00136FAE">
        <w:rPr>
          <w:rFonts w:eastAsia="Meiryo" w:cs="Meiryo"/>
          <w:szCs w:val="18"/>
        </w:rPr>
        <w:t>2</w:t>
      </w:r>
      <w:r w:rsidR="00E72F0B" w:rsidRPr="00136FAE">
        <w:rPr>
          <w:rFonts w:eastAsia="Meiryo" w:cs="Meiryo"/>
          <w:szCs w:val="18"/>
        </w:rPr>
        <w:t xml:space="preserve">　</w:t>
      </w:r>
      <w:r w:rsidR="00E72F0B" w:rsidRPr="00136FAE">
        <w:rPr>
          <w:rFonts w:eastAsia="Meiryo" w:cs="Meiryo"/>
          <w:szCs w:val="18"/>
        </w:rPr>
        <w:t>A</w:t>
      </w:r>
      <w:r w:rsidR="00E72F0B" w:rsidRPr="00136FAE">
        <w:rPr>
          <w:rFonts w:eastAsia="Meiryo" w:cs="Meiryo"/>
          <w:szCs w:val="18"/>
          <w:vertAlign w:val="subscript"/>
        </w:rPr>
        <w:t>Hmax</w:t>
      </w:r>
      <w:r w:rsidR="00E72F0B" w:rsidRPr="00136FAE">
        <w:rPr>
          <w:rFonts w:eastAsia="Meiryo" w:cs="Meiryo"/>
          <w:szCs w:val="18"/>
        </w:rPr>
        <w:t xml:space="preserve">  607</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xml:space="preserve">  (594</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A</w:t>
      </w:r>
      <w:r w:rsidR="00E72F0B" w:rsidRPr="00136FAE">
        <w:rPr>
          <w:rFonts w:eastAsia="Meiryo" w:cs="Meiryo"/>
          <w:szCs w:val="18"/>
          <w:vertAlign w:val="subscript"/>
        </w:rPr>
        <w:t>Vmax</w:t>
      </w:r>
      <w:r w:rsidR="00E72F0B" w:rsidRPr="00136FAE">
        <w:rPr>
          <w:rFonts w:eastAsia="Meiryo" w:cs="Meiryo"/>
          <w:szCs w:val="18"/>
        </w:rPr>
        <w:t xml:space="preserve">  389</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xml:space="preserve"> </w:t>
      </w:r>
      <w:r w:rsidR="00E72F0B" w:rsidRPr="00136FAE">
        <w:rPr>
          <w:rFonts w:eastAsia="Meiryo" w:cs="Meiryo"/>
          <w:szCs w:val="18"/>
        </w:rPr>
        <w:t>（</w:t>
      </w:r>
      <w:r w:rsidR="00E72F0B" w:rsidRPr="00136FAE">
        <w:rPr>
          <w:rFonts w:eastAsia="Meiryo" w:cs="Meiryo"/>
          <w:szCs w:val="18"/>
        </w:rPr>
        <w:t>490</w:t>
      </w:r>
      <w:r w:rsidR="00E72F0B" w:rsidRPr="00136FAE">
        <w:rPr>
          <w:rFonts w:eastAsia="TTA6Co00" w:cs="TTA6Co00"/>
          <w:szCs w:val="18"/>
        </w:rPr>
        <w:t xml:space="preserve"> cm/s2</w:t>
      </w:r>
      <w:r w:rsidR="00E72F0B" w:rsidRPr="00136FAE">
        <w:rPr>
          <w:rFonts w:eastAsia="Meiryo" w:cs="Meiryo"/>
          <w:szCs w:val="18"/>
        </w:rPr>
        <w:t>）</w:t>
      </w:r>
    </w:p>
    <w:p w:rsidR="00E72F0B" w:rsidRPr="00136FAE" w:rsidRDefault="00BD7C5F" w:rsidP="00E72F0B">
      <w:pPr>
        <w:spacing w:line="320" w:lineRule="exact"/>
        <w:rPr>
          <w:rFonts w:eastAsia="Meiryo" w:cs="Meiryo"/>
          <w:szCs w:val="18"/>
        </w:rPr>
      </w:pPr>
      <w:r w:rsidRPr="00136FAE">
        <w:rPr>
          <w:rFonts w:eastAsia="Meiryo" w:cs="Meiryo"/>
          <w:szCs w:val="18"/>
        </w:rPr>
        <w:t>U</w:t>
      </w:r>
      <w:r w:rsidR="00E72F0B" w:rsidRPr="00136FAE">
        <w:rPr>
          <w:rFonts w:eastAsia="Meiryo" w:cs="Meiryo"/>
          <w:szCs w:val="18"/>
        </w:rPr>
        <w:t>nit</w:t>
      </w:r>
      <w:r w:rsidRPr="00136FAE">
        <w:rPr>
          <w:rFonts w:eastAsia="Meiryo" w:cs="Meiryo"/>
          <w:szCs w:val="18"/>
        </w:rPr>
        <w:t xml:space="preserve"> </w:t>
      </w:r>
      <w:r w:rsidR="00E72F0B" w:rsidRPr="00136FAE">
        <w:rPr>
          <w:rFonts w:eastAsia="Meiryo" w:cs="Meiryo"/>
          <w:szCs w:val="18"/>
        </w:rPr>
        <w:t>3</w:t>
      </w:r>
      <w:r w:rsidR="00E72F0B" w:rsidRPr="00136FAE">
        <w:rPr>
          <w:rFonts w:eastAsia="Meiryo" w:cs="Meiryo"/>
          <w:szCs w:val="18"/>
        </w:rPr>
        <w:t xml:space="preserve">　</w:t>
      </w:r>
      <w:r w:rsidR="00E72F0B" w:rsidRPr="00136FAE">
        <w:rPr>
          <w:rFonts w:eastAsia="Meiryo" w:cs="Meiryo"/>
          <w:szCs w:val="18"/>
        </w:rPr>
        <w:t>A</w:t>
      </w:r>
      <w:r w:rsidR="00E72F0B" w:rsidRPr="00136FAE">
        <w:rPr>
          <w:rFonts w:eastAsia="Meiryo" w:cs="Meiryo"/>
          <w:szCs w:val="18"/>
          <w:vertAlign w:val="subscript"/>
        </w:rPr>
        <w:t>Hmax</w:t>
      </w:r>
      <w:r w:rsidR="00E72F0B" w:rsidRPr="00136FAE">
        <w:rPr>
          <w:rFonts w:eastAsia="Meiryo" w:cs="Meiryo"/>
          <w:szCs w:val="18"/>
        </w:rPr>
        <w:t xml:space="preserve">  573</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xml:space="preserve">  (512</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A</w:t>
      </w:r>
      <w:r w:rsidR="00E72F0B" w:rsidRPr="00136FAE">
        <w:rPr>
          <w:rFonts w:eastAsia="Meiryo" w:cs="Meiryo"/>
          <w:szCs w:val="18"/>
          <w:vertAlign w:val="subscript"/>
        </w:rPr>
        <w:t>Vmax</w:t>
      </w:r>
      <w:r w:rsidR="00E72F0B" w:rsidRPr="00136FAE">
        <w:rPr>
          <w:rFonts w:eastAsia="Meiryo" w:cs="Meiryo"/>
          <w:szCs w:val="18"/>
        </w:rPr>
        <w:t xml:space="preserve">  321</w:t>
      </w:r>
      <w:r w:rsidR="00E72F0B" w:rsidRPr="00136FAE">
        <w:rPr>
          <w:rFonts w:eastAsia="TTA6Co00" w:cs="TTA6Co00"/>
          <w:szCs w:val="18"/>
        </w:rPr>
        <w:t xml:space="preserve"> cm/s</w:t>
      </w:r>
      <w:r w:rsidR="00E72F0B" w:rsidRPr="00136FAE">
        <w:rPr>
          <w:rFonts w:eastAsia="TTA6Co00" w:cs="TTA6Co00"/>
          <w:szCs w:val="18"/>
          <w:vertAlign w:val="superscript"/>
        </w:rPr>
        <w:t>2</w:t>
      </w:r>
      <w:r w:rsidR="00E72F0B" w:rsidRPr="00136FAE">
        <w:rPr>
          <w:rFonts w:eastAsia="Meiryo" w:cs="Meiryo"/>
          <w:szCs w:val="18"/>
        </w:rPr>
        <w:t xml:space="preserve">  (476</w:t>
      </w:r>
      <w:r w:rsidR="00E72F0B" w:rsidRPr="00136FAE">
        <w:rPr>
          <w:rFonts w:eastAsia="TTA6Co00" w:cs="TTA6Co00"/>
          <w:szCs w:val="18"/>
        </w:rPr>
        <w:t xml:space="preserve"> cm/s2</w:t>
      </w:r>
      <w:r w:rsidR="00E72F0B" w:rsidRPr="00136FAE">
        <w:rPr>
          <w:rFonts w:eastAsia="Meiryo" w:cs="Meiryo"/>
          <w:szCs w:val="18"/>
        </w:rPr>
        <w:t>)</w:t>
      </w:r>
    </w:p>
    <w:p w:rsidR="00E72F0B" w:rsidRPr="00136FAE" w:rsidRDefault="00E72F0B" w:rsidP="00E72F0B">
      <w:pPr>
        <w:spacing w:line="320" w:lineRule="exact"/>
        <w:rPr>
          <w:rFonts w:eastAsia="Meiryo" w:cs="Meiryo"/>
          <w:szCs w:val="18"/>
        </w:rPr>
      </w:pPr>
    </w:p>
    <w:p w:rsidR="00E72F0B" w:rsidRPr="00136FAE" w:rsidRDefault="00E72F0B" w:rsidP="00E72F0B">
      <w:pPr>
        <w:spacing w:line="320" w:lineRule="exact"/>
        <w:rPr>
          <w:rFonts w:eastAsia="Meiryo" w:cs="Meiryo"/>
          <w:szCs w:val="18"/>
        </w:rPr>
      </w:pPr>
      <w:r w:rsidRPr="00136FAE">
        <w:rPr>
          <w:rFonts w:eastAsia="Meiryo" w:cs="Meiryo"/>
          <w:b/>
          <w:i/>
          <w:szCs w:val="18"/>
        </w:rPr>
        <w:t>Damage:</w:t>
      </w:r>
      <w:r w:rsidR="00BD7C5F" w:rsidRPr="00136FAE">
        <w:rPr>
          <w:rFonts w:eastAsia="Meiryo" w:cs="Meiryo"/>
          <w:szCs w:val="18"/>
        </w:rPr>
        <w:t xml:space="preserve"> </w:t>
      </w:r>
      <w:r w:rsidR="00D05FFB" w:rsidRPr="00136FAE">
        <w:rPr>
          <w:rFonts w:eastAsia="Meiryo" w:cs="Meiryo"/>
          <w:szCs w:val="18"/>
        </w:rPr>
        <w:t xml:space="preserve">IAEA (2012b) reports that </w:t>
      </w:r>
      <w:r w:rsidR="00BD7C5F" w:rsidRPr="00136FAE">
        <w:rPr>
          <w:rFonts w:eastAsia="Meiryo" w:cs="Meiryo"/>
          <w:szCs w:val="18"/>
        </w:rPr>
        <w:t>t</w:t>
      </w:r>
      <w:r w:rsidRPr="00136FAE">
        <w:rPr>
          <w:szCs w:val="18"/>
        </w:rPr>
        <w:t>here were no identified system failures affecting safety functions due to the earthquake. The most significant damage to equipment due to the earthquake shaking was the failure in the 6.9 kV switchgear. A vertically-racked circuit breaker in the non-safety-related tu</w:t>
      </w:r>
      <w:r w:rsidRPr="00136FAE">
        <w:rPr>
          <w:szCs w:val="18"/>
        </w:rPr>
        <w:t>r</w:t>
      </w:r>
      <w:r w:rsidRPr="00136FAE">
        <w:rPr>
          <w:szCs w:val="18"/>
        </w:rPr>
        <w:t>bine building switchgear caused a short circuit and a subsequent arc due to rocking of the breaker and fracture of the insulation around the bus clamps at top. The short circuit arc burnt the switchgear, consuming t</w:t>
      </w:r>
      <w:r w:rsidR="00024672">
        <w:rPr>
          <w:szCs w:val="18"/>
        </w:rPr>
        <w:t>hree or four adjacent cabinets.</w:t>
      </w:r>
    </w:p>
    <w:p w:rsidR="00E72F0B" w:rsidRPr="00136FAE" w:rsidRDefault="00E72F0B" w:rsidP="00E72F0B">
      <w:pPr>
        <w:spacing w:line="320" w:lineRule="exact"/>
        <w:rPr>
          <w:rFonts w:eastAsia="Meiryo" w:cs="Meiryo"/>
          <w:szCs w:val="18"/>
        </w:rPr>
      </w:pPr>
    </w:p>
    <w:p w:rsidR="00E72F0B" w:rsidRPr="00136FAE" w:rsidRDefault="00E72F0B" w:rsidP="00E72F0B">
      <w:pPr>
        <w:spacing w:line="320" w:lineRule="exact"/>
        <w:rPr>
          <w:rFonts w:eastAsia="Meiryo" w:cs="Meiryo"/>
          <w:szCs w:val="18"/>
        </w:rPr>
      </w:pPr>
      <w:r w:rsidRPr="00136FAE">
        <w:rPr>
          <w:rFonts w:eastAsia="Meiryo" w:cs="Meiryo"/>
          <w:b/>
          <w:i/>
          <w:szCs w:val="18"/>
        </w:rPr>
        <w:t>Design basis review:</w:t>
      </w:r>
      <w:r w:rsidR="00BD7C5F" w:rsidRPr="00136FAE">
        <w:rPr>
          <w:rFonts w:eastAsia="Meiryo" w:cs="Meiryo"/>
          <w:szCs w:val="18"/>
        </w:rPr>
        <w:t xml:space="preserve"> a</w:t>
      </w:r>
      <w:r w:rsidRPr="00136FAE">
        <w:rPr>
          <w:rFonts w:eastAsia="Meiryo" w:cs="Meiryo"/>
          <w:szCs w:val="18"/>
        </w:rPr>
        <w:t>fter Fukushima-Daiichi accident which occurred in 2011, new regulatory r</w:t>
      </w:r>
      <w:r w:rsidRPr="00136FAE">
        <w:rPr>
          <w:rFonts w:cs="TimesNewRoman"/>
          <w:szCs w:val="18"/>
        </w:rPr>
        <w:t>e</w:t>
      </w:r>
      <w:r w:rsidRPr="00136FAE">
        <w:rPr>
          <w:rFonts w:cs="TimesNewRoman"/>
          <w:szCs w:val="18"/>
        </w:rPr>
        <w:t xml:space="preserve">quirements </w:t>
      </w:r>
      <w:r w:rsidRPr="00136FAE">
        <w:rPr>
          <w:rFonts w:eastAsia="Meiryo" w:cs="Meiryo"/>
          <w:szCs w:val="18"/>
        </w:rPr>
        <w:t>were issued and the design basis earthquake ground motion is</w:t>
      </w:r>
      <w:r w:rsidR="00024672">
        <w:rPr>
          <w:rFonts w:eastAsia="Meiryo" w:cs="Meiryo"/>
          <w:szCs w:val="18"/>
        </w:rPr>
        <w:t xml:space="preserve"> to be re-evaluated </w:t>
      </w:r>
    </w:p>
    <w:p w:rsidR="00E72F0B" w:rsidRPr="00136FAE" w:rsidRDefault="00E72F0B" w:rsidP="00E72F0B">
      <w:pPr>
        <w:spacing w:line="320" w:lineRule="exact"/>
        <w:rPr>
          <w:rFonts w:eastAsia="Meiryo" w:cs="Meiryo"/>
          <w:szCs w:val="18"/>
        </w:rPr>
      </w:pPr>
    </w:p>
    <w:p w:rsidR="00E72F0B" w:rsidRPr="00136FAE" w:rsidRDefault="00E72F0B" w:rsidP="00E72F0B">
      <w:pPr>
        <w:spacing w:line="320" w:lineRule="exact"/>
        <w:rPr>
          <w:rFonts w:eastAsia="Meiryo" w:cs="Meiryo"/>
          <w:szCs w:val="18"/>
        </w:rPr>
      </w:pPr>
      <w:r w:rsidRPr="00136FAE">
        <w:rPr>
          <w:rFonts w:eastAsia="Meiryo" w:cs="Meiryo"/>
          <w:b/>
          <w:i/>
          <w:szCs w:val="18"/>
        </w:rPr>
        <w:t>Upgrade</w:t>
      </w:r>
      <w:r w:rsidR="00BD7C5F" w:rsidRPr="00136FAE">
        <w:rPr>
          <w:rFonts w:eastAsia="Meiryo" w:cs="Meiryo"/>
          <w:b/>
          <w:i/>
          <w:szCs w:val="18"/>
        </w:rPr>
        <w:t>s</w:t>
      </w:r>
      <w:r w:rsidRPr="00136FAE">
        <w:rPr>
          <w:rFonts w:eastAsia="Meiryo" w:cs="Meiryo"/>
          <w:b/>
          <w:i/>
          <w:szCs w:val="18"/>
        </w:rPr>
        <w:t>:</w:t>
      </w:r>
      <w:r w:rsidR="00BD7C5F" w:rsidRPr="00136FAE">
        <w:rPr>
          <w:rFonts w:eastAsia="Meiryo" w:cs="Meiryo"/>
          <w:szCs w:val="18"/>
        </w:rPr>
        <w:t xml:space="preserve"> u</w:t>
      </w:r>
      <w:r w:rsidRPr="00136FAE">
        <w:rPr>
          <w:rFonts w:eastAsia="Meiryo" w:cs="Meiryo"/>
          <w:szCs w:val="18"/>
        </w:rPr>
        <w:t>pgrading works for seismic capacity of the SSCs are (will be) conducted, e.g., for equipment and pi</w:t>
      </w:r>
      <w:r w:rsidRPr="00136FAE">
        <w:rPr>
          <w:rFonts w:eastAsia="Meiryo" w:cs="Meiryo"/>
          <w:szCs w:val="18"/>
        </w:rPr>
        <w:t>p</w:t>
      </w:r>
      <w:r w:rsidRPr="00136FAE">
        <w:rPr>
          <w:rFonts w:eastAsia="Meiryo" w:cs="Meiryo"/>
          <w:szCs w:val="18"/>
        </w:rPr>
        <w:t>ing support, exhaust stack frame and foundation.</w:t>
      </w:r>
    </w:p>
    <w:p w:rsidR="00BD7C5F" w:rsidRPr="00BD7C5F" w:rsidRDefault="00640729" w:rsidP="00BD7C5F">
      <w:pPr>
        <w:pStyle w:val="Titre3"/>
        <w:rPr>
          <w:lang w:val="en-US"/>
        </w:rPr>
      </w:pPr>
      <w:bookmarkStart w:id="55" w:name="_Toc456011878"/>
      <w:r w:rsidRPr="00BD7C5F">
        <w:rPr>
          <w:lang w:val="en-US"/>
        </w:rPr>
        <w:t>Tokai NPP (Japan)</w:t>
      </w:r>
      <w:bookmarkEnd w:id="55"/>
      <w:r w:rsidRPr="00BD7C5F">
        <w:rPr>
          <w:lang w:val="en-US"/>
        </w:rPr>
        <w:t xml:space="preserve"> </w:t>
      </w:r>
    </w:p>
    <w:p w:rsidR="00640729" w:rsidRPr="00024672" w:rsidRDefault="00BD7C5F" w:rsidP="00640729">
      <w:pPr>
        <w:rPr>
          <w:b/>
          <w:szCs w:val="18"/>
        </w:rPr>
      </w:pPr>
      <w:r w:rsidRPr="00024672">
        <w:rPr>
          <w:szCs w:val="18"/>
        </w:rPr>
        <w:t xml:space="preserve">Great East Japan Earthquake (GEJE) </w:t>
      </w:r>
      <w:r w:rsidRPr="00024672">
        <w:rPr>
          <w:rFonts w:eastAsia="Meiryo" w:cs="Meiryo"/>
          <w:szCs w:val="18"/>
        </w:rPr>
        <w:t xml:space="preserve">or </w:t>
      </w:r>
      <w:r w:rsidR="00640729" w:rsidRPr="00024672">
        <w:rPr>
          <w:szCs w:val="18"/>
        </w:rPr>
        <w:t>Tokoku earthquake 11.03.2011, Mw 9.0</w:t>
      </w:r>
    </w:p>
    <w:p w:rsidR="00BD7C5F" w:rsidRPr="00024672" w:rsidRDefault="00BD7C5F" w:rsidP="00BD7C5F">
      <w:pPr>
        <w:spacing w:line="320" w:lineRule="exact"/>
        <w:rPr>
          <w:rFonts w:eastAsia="Meiryo" w:cs="Meiryo"/>
          <w:szCs w:val="18"/>
        </w:rPr>
      </w:pPr>
      <w:r w:rsidRPr="00024672">
        <w:rPr>
          <w:szCs w:val="18"/>
        </w:rPr>
        <w:t>The Tokai Daini site has a single reactor.  At the time of the earthquake, Tokai Daini (unit 2) was ope</w:t>
      </w:r>
      <w:r w:rsidRPr="00024672">
        <w:rPr>
          <w:szCs w:val="18"/>
        </w:rPr>
        <w:t>r</w:t>
      </w:r>
      <w:r w:rsidRPr="00024672">
        <w:rPr>
          <w:szCs w:val="18"/>
        </w:rPr>
        <w:t>ating.</w:t>
      </w:r>
      <w:r w:rsidRPr="00024672">
        <w:rPr>
          <w:rFonts w:eastAsia="Meiryo" w:cs="Meiryo"/>
          <w:szCs w:val="18"/>
        </w:rPr>
        <w:t xml:space="preserve"> </w:t>
      </w:r>
    </w:p>
    <w:p w:rsidR="00BD7C5F" w:rsidRPr="00024672" w:rsidRDefault="00BD7C5F" w:rsidP="00BD7C5F">
      <w:pPr>
        <w:spacing w:line="320" w:lineRule="exact"/>
        <w:rPr>
          <w:rFonts w:eastAsia="TTA6Co00" w:cs="TTA6Co00"/>
          <w:szCs w:val="18"/>
        </w:rPr>
      </w:pPr>
    </w:p>
    <w:p w:rsidR="00BD7C5F" w:rsidRPr="00024672" w:rsidRDefault="00BD7C5F" w:rsidP="00BD7C5F">
      <w:pPr>
        <w:spacing w:line="320" w:lineRule="exact"/>
        <w:rPr>
          <w:rFonts w:eastAsia="TTA6Co00" w:cs="TTA6Co00"/>
          <w:szCs w:val="18"/>
        </w:rPr>
      </w:pPr>
      <w:r w:rsidRPr="00024672">
        <w:rPr>
          <w:rFonts w:eastAsia="TTA6Co00" w:cs="TTA6Co00"/>
          <w:b/>
          <w:i/>
          <w:szCs w:val="18"/>
        </w:rPr>
        <w:t>Design basis:</w:t>
      </w:r>
      <w:r w:rsidRPr="00024672">
        <w:rPr>
          <w:rFonts w:eastAsia="TTA6Co00" w:cs="TTA6Co00"/>
          <w:szCs w:val="18"/>
        </w:rPr>
        <w:t xml:space="preserve"> the design basis earthquake ground motion is specified at the free surface of the base stratum about -370m from the ground surface. Maximum horizontal and vertical accelerations of the design basis earthquake ground motion:</w:t>
      </w:r>
    </w:p>
    <w:p w:rsidR="00BD7C5F" w:rsidRPr="00024672" w:rsidRDefault="00BD7C5F" w:rsidP="00BD7C5F">
      <w:pPr>
        <w:autoSpaceDE w:val="0"/>
        <w:autoSpaceDN w:val="0"/>
        <w:adjustRightInd w:val="0"/>
        <w:spacing w:line="320" w:lineRule="exact"/>
        <w:rPr>
          <w:rFonts w:eastAsia="TTA6Co00" w:cs="TTA6Co00"/>
          <w:szCs w:val="18"/>
        </w:rPr>
      </w:pPr>
      <w:r w:rsidRPr="00024672">
        <w:rPr>
          <w:rFonts w:eastAsia="TTA6Co00" w:cs="TTA6Co00"/>
          <w:szCs w:val="18"/>
        </w:rPr>
        <w:t>PGA</w:t>
      </w:r>
      <w:r w:rsidRPr="00024672">
        <w:rPr>
          <w:rFonts w:eastAsia="TTA6Co00" w:cs="TTA6Co00"/>
          <w:szCs w:val="18"/>
          <w:vertAlign w:val="subscript"/>
        </w:rPr>
        <w:t>H</w:t>
      </w:r>
      <w:r w:rsidRPr="00024672">
        <w:rPr>
          <w:rFonts w:eastAsia="TTA6Co00" w:cs="TTA6Co00"/>
          <w:szCs w:val="18"/>
        </w:rPr>
        <w:t xml:space="preserve">  600 cm/s</w:t>
      </w:r>
      <w:r w:rsidRPr="00024672">
        <w:rPr>
          <w:rFonts w:eastAsia="TTA6Co00" w:cs="TTA6Co00"/>
          <w:szCs w:val="18"/>
          <w:vertAlign w:val="superscript"/>
        </w:rPr>
        <w:t>2</w:t>
      </w:r>
    </w:p>
    <w:p w:rsidR="00BD7C5F" w:rsidRPr="00024672" w:rsidRDefault="00BD7C5F" w:rsidP="00BD7C5F">
      <w:pPr>
        <w:autoSpaceDE w:val="0"/>
        <w:autoSpaceDN w:val="0"/>
        <w:adjustRightInd w:val="0"/>
        <w:spacing w:line="320" w:lineRule="exact"/>
        <w:rPr>
          <w:rFonts w:eastAsia="TTA6Co00" w:cs="TTA6Co00"/>
          <w:szCs w:val="18"/>
        </w:rPr>
      </w:pPr>
      <w:r w:rsidRPr="00024672">
        <w:rPr>
          <w:rFonts w:eastAsia="TTA6Co00" w:cs="TTA6Co00"/>
          <w:szCs w:val="18"/>
        </w:rPr>
        <w:t>PGH</w:t>
      </w:r>
      <w:r w:rsidRPr="00024672">
        <w:rPr>
          <w:rFonts w:eastAsia="TTA6Co00" w:cs="TTA6Co00"/>
          <w:szCs w:val="18"/>
          <w:vertAlign w:val="subscript"/>
        </w:rPr>
        <w:t>V</w:t>
      </w:r>
      <w:r w:rsidRPr="00024672">
        <w:rPr>
          <w:rFonts w:eastAsia="TTA6Co00" w:cs="TTA6Co00"/>
          <w:szCs w:val="18"/>
        </w:rPr>
        <w:t xml:space="preserve">  370 cm/s</w:t>
      </w:r>
      <w:r w:rsidRPr="00024672">
        <w:rPr>
          <w:rFonts w:eastAsia="TTA6Co00" w:cs="TTA6Co00"/>
          <w:szCs w:val="18"/>
          <w:vertAlign w:val="superscript"/>
        </w:rPr>
        <w:t>2</w:t>
      </w:r>
    </w:p>
    <w:p w:rsidR="00BD7C5F" w:rsidRPr="00024672" w:rsidRDefault="00BD7C5F" w:rsidP="00BD7C5F">
      <w:pPr>
        <w:spacing w:line="320" w:lineRule="exact"/>
        <w:rPr>
          <w:rFonts w:eastAsia="Meiryo" w:cs="Meiryo"/>
          <w:szCs w:val="18"/>
        </w:rPr>
      </w:pPr>
    </w:p>
    <w:p w:rsidR="00BD7C5F" w:rsidRPr="00024672" w:rsidRDefault="00BD7C5F" w:rsidP="00BD7C5F">
      <w:pPr>
        <w:spacing w:line="320" w:lineRule="exact"/>
        <w:rPr>
          <w:rFonts w:eastAsia="TTA6Co00" w:cs="TTA6Co00"/>
          <w:szCs w:val="18"/>
        </w:rPr>
      </w:pPr>
      <w:r w:rsidRPr="00024672">
        <w:rPr>
          <w:rFonts w:eastAsia="TTA6Co00" w:cs="TTA6Co00"/>
          <w:b/>
          <w:i/>
          <w:szCs w:val="18"/>
        </w:rPr>
        <w:t>Ground motion at the site:</w:t>
      </w:r>
      <w:r w:rsidRPr="00024672">
        <w:rPr>
          <w:rFonts w:eastAsia="TTA6Co00" w:cs="TTA6Co00"/>
          <w:szCs w:val="18"/>
        </w:rPr>
        <w:t xml:space="preserve"> Maximum horizontal and vertical acceleration</w:t>
      </w:r>
      <w:r w:rsidRPr="00024672">
        <w:rPr>
          <w:rFonts w:eastAsia="Meiryo" w:cs="Meiryo"/>
          <w:szCs w:val="18"/>
        </w:rPr>
        <w:t xml:space="preserve"> </w:t>
      </w:r>
      <w:r w:rsidRPr="00024672">
        <w:rPr>
          <w:rFonts w:eastAsia="TTA6Co00" w:cs="TTA6Co00"/>
          <w:szCs w:val="18"/>
        </w:rPr>
        <w:t>observed on the base mat of the rea</w:t>
      </w:r>
      <w:r w:rsidRPr="00024672">
        <w:rPr>
          <w:rFonts w:eastAsia="TTA6Co00" w:cs="TTA6Co00"/>
          <w:szCs w:val="18"/>
        </w:rPr>
        <w:t>c</w:t>
      </w:r>
      <w:r w:rsidRPr="00024672">
        <w:rPr>
          <w:rFonts w:eastAsia="TTA6Co00" w:cs="TTA6Co00"/>
          <w:szCs w:val="18"/>
        </w:rPr>
        <w:t>tor building are as follows (n</w:t>
      </w:r>
      <w:r w:rsidRPr="00024672">
        <w:rPr>
          <w:rFonts w:eastAsia="Meiryo" w:cs="Meiryo"/>
          <w:szCs w:val="18"/>
        </w:rPr>
        <w:t xml:space="preserve">umbers in the parentheses are the </w:t>
      </w:r>
      <w:r w:rsidRPr="00024672">
        <w:rPr>
          <w:rFonts w:eastAsia="TTA6Co00" w:cs="TTA6Co00"/>
          <w:szCs w:val="18"/>
        </w:rPr>
        <w:t xml:space="preserve">maximum acceleration from </w:t>
      </w:r>
      <w:r w:rsidRPr="00024672">
        <w:rPr>
          <w:rFonts w:eastAsia="Meiryo" w:cs="Meiryo"/>
          <w:szCs w:val="18"/>
        </w:rPr>
        <w:t xml:space="preserve">the response analysis using </w:t>
      </w:r>
      <w:r w:rsidRPr="00024672">
        <w:rPr>
          <w:rFonts w:eastAsia="TTA6Co00" w:cs="TTA6Co00"/>
          <w:szCs w:val="18"/>
        </w:rPr>
        <w:t>design basis earthquake ground motion):</w:t>
      </w:r>
    </w:p>
    <w:p w:rsidR="00BD7C5F" w:rsidRPr="00024672" w:rsidRDefault="00BD7C5F" w:rsidP="00BD7C5F">
      <w:pPr>
        <w:spacing w:line="320" w:lineRule="exact"/>
        <w:rPr>
          <w:rFonts w:eastAsia="Meiryo" w:cs="Meiryo"/>
          <w:szCs w:val="18"/>
        </w:rPr>
      </w:pPr>
      <w:r w:rsidRPr="00024672">
        <w:rPr>
          <w:rFonts w:eastAsia="Meiryo" w:cs="Meiryo"/>
          <w:szCs w:val="18"/>
        </w:rPr>
        <w:t>Unit 2</w:t>
      </w:r>
      <w:r w:rsidRPr="00024672">
        <w:rPr>
          <w:rFonts w:eastAsia="Meiryo" w:cs="Meiryo"/>
          <w:szCs w:val="18"/>
        </w:rPr>
        <w:t xml:space="preserve">　</w:t>
      </w:r>
      <w:r w:rsidRPr="00024672">
        <w:rPr>
          <w:rFonts w:eastAsia="Meiryo" w:cs="Meiryo"/>
          <w:szCs w:val="18"/>
        </w:rPr>
        <w:t>A</w:t>
      </w:r>
      <w:r w:rsidRPr="00024672">
        <w:rPr>
          <w:rFonts w:eastAsia="Meiryo" w:cs="Meiryo"/>
          <w:szCs w:val="18"/>
          <w:vertAlign w:val="subscript"/>
        </w:rPr>
        <w:t>Hmax</w:t>
      </w:r>
      <w:r w:rsidRPr="00024672">
        <w:rPr>
          <w:rFonts w:eastAsia="Meiryo" w:cs="Meiryo"/>
          <w:szCs w:val="18"/>
        </w:rPr>
        <w:t xml:space="preserve"> 225</w:t>
      </w:r>
      <w:r w:rsidRPr="00024672">
        <w:rPr>
          <w:rFonts w:eastAsia="TTA6Co00" w:cs="TTA6Co00"/>
          <w:szCs w:val="18"/>
        </w:rPr>
        <w:t xml:space="preserve"> cm/s</w:t>
      </w:r>
      <w:r w:rsidRPr="00024672">
        <w:rPr>
          <w:rFonts w:eastAsia="TTA6Co00" w:cs="TTA6Co00"/>
          <w:szCs w:val="18"/>
          <w:vertAlign w:val="superscript"/>
        </w:rPr>
        <w:t>2</w:t>
      </w:r>
      <w:r w:rsidRPr="00024672">
        <w:rPr>
          <w:rFonts w:eastAsia="TTA6Co00" w:cs="TTA6Co00"/>
          <w:szCs w:val="18"/>
        </w:rPr>
        <w:t xml:space="preserve"> </w:t>
      </w:r>
      <w:r w:rsidRPr="00024672">
        <w:rPr>
          <w:rFonts w:eastAsia="Meiryo" w:cs="Meiryo"/>
          <w:szCs w:val="18"/>
        </w:rPr>
        <w:t xml:space="preserve"> (400</w:t>
      </w:r>
      <w:r w:rsidRPr="00024672">
        <w:rPr>
          <w:rFonts w:eastAsia="TTA6Co00" w:cs="TTA6Co00"/>
          <w:szCs w:val="18"/>
        </w:rPr>
        <w:t xml:space="preserve"> cm/s</w:t>
      </w:r>
      <w:r w:rsidRPr="00024672">
        <w:rPr>
          <w:rFonts w:eastAsia="TTA6Co00" w:cs="TTA6Co00"/>
          <w:szCs w:val="18"/>
          <w:vertAlign w:val="superscript"/>
        </w:rPr>
        <w:t>2</w:t>
      </w:r>
      <w:r w:rsidRPr="00024672">
        <w:rPr>
          <w:rFonts w:eastAsia="Meiryo" w:cs="Meiryo"/>
          <w:szCs w:val="18"/>
        </w:rPr>
        <w:t>)</w:t>
      </w:r>
      <w:r w:rsidRPr="00024672">
        <w:rPr>
          <w:rFonts w:eastAsia="Meiryo" w:cs="Meiryo"/>
          <w:szCs w:val="18"/>
        </w:rPr>
        <w:t xml:space="preserve">　</w:t>
      </w:r>
      <w:r w:rsidRPr="00024672">
        <w:rPr>
          <w:rFonts w:eastAsia="Meiryo" w:cs="Meiryo"/>
          <w:szCs w:val="18"/>
        </w:rPr>
        <w:t xml:space="preserve"> A</w:t>
      </w:r>
      <w:r w:rsidRPr="00024672">
        <w:rPr>
          <w:rFonts w:eastAsia="Meiryo" w:cs="Meiryo"/>
          <w:szCs w:val="18"/>
          <w:vertAlign w:val="subscript"/>
        </w:rPr>
        <w:t>Vmax</w:t>
      </w:r>
      <w:r w:rsidRPr="00024672">
        <w:rPr>
          <w:rFonts w:eastAsia="Meiryo" w:cs="Meiryo"/>
          <w:szCs w:val="18"/>
        </w:rPr>
        <w:t xml:space="preserve"> 189</w:t>
      </w:r>
      <w:r w:rsidRPr="00024672">
        <w:rPr>
          <w:rFonts w:eastAsia="TTA6Co00" w:cs="TTA6Co00"/>
          <w:szCs w:val="18"/>
        </w:rPr>
        <w:t xml:space="preserve"> cm/s</w:t>
      </w:r>
      <w:r w:rsidRPr="00024672">
        <w:rPr>
          <w:rFonts w:eastAsia="TTA6Co00" w:cs="TTA6Co00"/>
          <w:szCs w:val="18"/>
          <w:vertAlign w:val="superscript"/>
        </w:rPr>
        <w:t>2</w:t>
      </w:r>
      <w:r w:rsidRPr="00024672">
        <w:rPr>
          <w:rFonts w:eastAsia="TTA6Co00" w:cs="TTA6Co00"/>
          <w:szCs w:val="18"/>
        </w:rPr>
        <w:t xml:space="preserve"> </w:t>
      </w:r>
      <w:r w:rsidRPr="00024672">
        <w:rPr>
          <w:rFonts w:eastAsia="Meiryo" w:cs="Meiryo"/>
          <w:szCs w:val="18"/>
        </w:rPr>
        <w:t>（</w:t>
      </w:r>
      <w:r w:rsidRPr="00024672">
        <w:rPr>
          <w:rFonts w:eastAsia="Meiryo" w:cs="Meiryo"/>
          <w:szCs w:val="18"/>
        </w:rPr>
        <w:t>456</w:t>
      </w:r>
      <w:r w:rsidRPr="00024672">
        <w:rPr>
          <w:rFonts w:eastAsia="TTA6Co00" w:cs="TTA6Co00"/>
          <w:szCs w:val="18"/>
        </w:rPr>
        <w:t xml:space="preserve"> cm/s</w:t>
      </w:r>
      <w:r w:rsidRPr="00024672">
        <w:rPr>
          <w:rFonts w:eastAsia="TTA6Co00" w:cs="TTA6Co00"/>
          <w:szCs w:val="18"/>
          <w:vertAlign w:val="superscript"/>
        </w:rPr>
        <w:t>2</w:t>
      </w:r>
      <w:r w:rsidRPr="00024672">
        <w:rPr>
          <w:rFonts w:eastAsia="Meiryo" w:cs="Meiryo"/>
          <w:szCs w:val="18"/>
        </w:rPr>
        <w:t>）</w:t>
      </w:r>
    </w:p>
    <w:p w:rsidR="00BD7C5F" w:rsidRPr="00024672" w:rsidRDefault="00BD7C5F" w:rsidP="00BD7C5F">
      <w:pPr>
        <w:spacing w:line="320" w:lineRule="exact"/>
        <w:rPr>
          <w:rFonts w:eastAsia="TTA6Co00" w:cs="TTA6Co00"/>
          <w:szCs w:val="18"/>
        </w:rPr>
      </w:pPr>
    </w:p>
    <w:p w:rsidR="00BD7C5F" w:rsidRPr="00024672" w:rsidRDefault="00BD7C5F" w:rsidP="00BD7C5F">
      <w:pPr>
        <w:spacing w:line="320" w:lineRule="exact"/>
        <w:rPr>
          <w:szCs w:val="18"/>
        </w:rPr>
      </w:pPr>
      <w:r w:rsidRPr="00024672">
        <w:rPr>
          <w:rFonts w:eastAsia="Meiryo" w:cs="Meiryo"/>
          <w:b/>
          <w:i/>
          <w:szCs w:val="18"/>
        </w:rPr>
        <w:t>Damage:</w:t>
      </w:r>
      <w:r w:rsidRPr="00024672">
        <w:rPr>
          <w:rFonts w:eastAsia="Meiryo" w:cs="Meiryo"/>
          <w:szCs w:val="18"/>
        </w:rPr>
        <w:t xml:space="preserve"> </w:t>
      </w:r>
      <w:r w:rsidRPr="00024672">
        <w:rPr>
          <w:szCs w:val="18"/>
        </w:rPr>
        <w:t>In response to the earthquake, the reactor automatically scrammed (shutdown). All three off-site power sources were lost and all three emergency diesel generators started automatically.</w:t>
      </w:r>
    </w:p>
    <w:p w:rsidR="00BD7C5F" w:rsidRPr="00024672" w:rsidRDefault="00BD7C5F" w:rsidP="00BD7C5F">
      <w:pPr>
        <w:spacing w:line="320" w:lineRule="exact"/>
        <w:rPr>
          <w:rFonts w:eastAsia="Meiryo" w:cs="Meiryo"/>
          <w:szCs w:val="18"/>
        </w:rPr>
      </w:pPr>
    </w:p>
    <w:p w:rsidR="00BD7C5F" w:rsidRPr="00024672" w:rsidRDefault="00BD7C5F" w:rsidP="00BD7C5F">
      <w:pPr>
        <w:spacing w:line="320" w:lineRule="exact"/>
        <w:rPr>
          <w:rFonts w:eastAsia="Meiryo" w:cs="Meiryo"/>
          <w:szCs w:val="18"/>
        </w:rPr>
      </w:pPr>
      <w:r w:rsidRPr="00024672">
        <w:rPr>
          <w:rFonts w:eastAsia="Meiryo" w:cs="Meiryo"/>
          <w:b/>
          <w:i/>
          <w:szCs w:val="18"/>
        </w:rPr>
        <w:t>Design basis review:</w:t>
      </w:r>
      <w:r w:rsidRPr="00024672">
        <w:rPr>
          <w:rFonts w:eastAsia="Meiryo" w:cs="Meiryo"/>
          <w:szCs w:val="18"/>
        </w:rPr>
        <w:t xml:space="preserve"> After Fukushima-Daiichi accident which occurred in 2011, new regulatory guides were issued and design earthquake ground motion is</w:t>
      </w:r>
      <w:r w:rsidR="00024672">
        <w:rPr>
          <w:rFonts w:eastAsia="Meiryo" w:cs="Meiryo"/>
          <w:szCs w:val="18"/>
        </w:rPr>
        <w:t xml:space="preserve"> to be re-evaluated </w:t>
      </w:r>
    </w:p>
    <w:p w:rsidR="00BD7C5F" w:rsidRPr="00024672" w:rsidRDefault="00BD7C5F" w:rsidP="00BD7C5F">
      <w:pPr>
        <w:spacing w:line="320" w:lineRule="exact"/>
        <w:rPr>
          <w:rFonts w:eastAsia="Meiryo" w:cs="Meiryo"/>
          <w:szCs w:val="18"/>
        </w:rPr>
      </w:pPr>
    </w:p>
    <w:p w:rsidR="00BD7C5F" w:rsidRPr="00024672" w:rsidRDefault="00BD7C5F" w:rsidP="00BD7C5F">
      <w:pPr>
        <w:spacing w:line="320" w:lineRule="exact"/>
        <w:rPr>
          <w:rFonts w:eastAsia="Meiryo" w:cs="Meiryo"/>
          <w:szCs w:val="18"/>
        </w:rPr>
      </w:pPr>
      <w:r w:rsidRPr="00024672">
        <w:rPr>
          <w:rFonts w:eastAsia="Meiryo" w:cs="Meiryo"/>
          <w:b/>
          <w:i/>
          <w:szCs w:val="18"/>
        </w:rPr>
        <w:t>Upgrades:</w:t>
      </w:r>
      <w:r w:rsidRPr="00024672">
        <w:rPr>
          <w:rFonts w:eastAsia="Meiryo" w:cs="Meiryo"/>
          <w:szCs w:val="18"/>
        </w:rPr>
        <w:t xml:space="preserve"> Upgrading works for SSCs against these newly specified earthquake ground motions are (will be) co</w:t>
      </w:r>
      <w:r w:rsidRPr="00024672">
        <w:rPr>
          <w:rFonts w:eastAsia="Meiryo" w:cs="Meiryo"/>
          <w:szCs w:val="18"/>
        </w:rPr>
        <w:t>n</w:t>
      </w:r>
      <w:r w:rsidRPr="00024672">
        <w:rPr>
          <w:rFonts w:eastAsia="Meiryo" w:cs="Meiryo"/>
          <w:szCs w:val="18"/>
        </w:rPr>
        <w:t>ducted.</w:t>
      </w:r>
    </w:p>
    <w:p w:rsidR="00D61BA6" w:rsidRPr="00E72F0B" w:rsidRDefault="00D61BA6" w:rsidP="00D61BA6">
      <w:pPr>
        <w:pStyle w:val="Titre3"/>
        <w:rPr>
          <w:lang w:val="en-US"/>
        </w:rPr>
      </w:pPr>
      <w:bookmarkStart w:id="56" w:name="_Toc456011879"/>
      <w:r w:rsidRPr="00E72F0B">
        <w:rPr>
          <w:lang w:val="en-US"/>
        </w:rPr>
        <w:t>NPP North Anna (Virginia, USA)</w:t>
      </w:r>
      <w:bookmarkEnd w:id="56"/>
      <w:r w:rsidRPr="00E72F0B">
        <w:rPr>
          <w:lang w:val="en-US"/>
        </w:rPr>
        <w:t xml:space="preserve"> </w:t>
      </w:r>
    </w:p>
    <w:p w:rsidR="00D61BA6" w:rsidRPr="00E72F0B" w:rsidRDefault="00D61BA6" w:rsidP="00D61BA6">
      <w:pPr>
        <w:rPr>
          <w:b/>
        </w:rPr>
      </w:pPr>
      <w:r>
        <w:t xml:space="preserve">Earthquake of Mineral, Virginia, </w:t>
      </w:r>
      <w:r w:rsidRPr="00A275CB">
        <w:t>23</w:t>
      </w:r>
      <w:r>
        <w:t>.08.2011, Mw 5.8</w:t>
      </w:r>
    </w:p>
    <w:p w:rsidR="00D61BA6" w:rsidRDefault="00D61BA6" w:rsidP="00D61BA6">
      <w:r>
        <w:t>The earthquake with an epicentre located some 18</w:t>
      </w:r>
      <w:r w:rsidRPr="00A275CB">
        <w:t xml:space="preserve"> </w:t>
      </w:r>
      <w:r>
        <w:t>km</w:t>
      </w:r>
      <w:r w:rsidRPr="00A275CB">
        <w:t xml:space="preserve"> from the North Anna Nuclear Station</w:t>
      </w:r>
      <w:r>
        <w:t xml:space="preserve"> led to </w:t>
      </w:r>
      <w:r w:rsidRPr="00A275CB">
        <w:t>a loss of offsite power</w:t>
      </w:r>
      <w:r>
        <w:t xml:space="preserve"> (LOOP) and caused the </w:t>
      </w:r>
      <w:r w:rsidRPr="00A275CB">
        <w:t>reactors</w:t>
      </w:r>
      <w:r>
        <w:t xml:space="preserve"> to</w:t>
      </w:r>
      <w:r w:rsidRPr="00A275CB">
        <w:t xml:space="preserve"> automatically shut down</w:t>
      </w:r>
      <w:r>
        <w:t>. F</w:t>
      </w:r>
      <w:r w:rsidRPr="00A275CB">
        <w:t xml:space="preserve">our </w:t>
      </w:r>
      <w:r>
        <w:t xml:space="preserve">emergency </w:t>
      </w:r>
      <w:r w:rsidRPr="00A275CB">
        <w:t xml:space="preserve">diesel generators started up to supply electricity to safety systems. </w:t>
      </w:r>
      <w:r>
        <w:t xml:space="preserve">Due to a </w:t>
      </w:r>
      <w:r w:rsidRPr="00A275CB">
        <w:t>coolant leak</w:t>
      </w:r>
      <w:r w:rsidR="00293198">
        <w:t>,</w:t>
      </w:r>
      <w:r w:rsidRPr="00A275CB">
        <w:t xml:space="preserve"> </w:t>
      </w:r>
      <w:r>
        <w:t xml:space="preserve">one of the </w:t>
      </w:r>
      <w:r w:rsidR="00293198">
        <w:t xml:space="preserve">diesel </w:t>
      </w:r>
      <w:r>
        <w:t xml:space="preserve">generators </w:t>
      </w:r>
      <w:r w:rsidRPr="00A275CB">
        <w:t>stopped working</w:t>
      </w:r>
      <w:r>
        <w:t xml:space="preserve"> and was r</w:t>
      </w:r>
      <w:r>
        <w:t>e</w:t>
      </w:r>
      <w:r>
        <w:t>placed by a</w:t>
      </w:r>
      <w:r w:rsidRPr="00A275CB">
        <w:t xml:space="preserve"> fifth </w:t>
      </w:r>
      <w:r>
        <w:t>EDG.</w:t>
      </w:r>
      <w:r w:rsidRPr="00A275CB">
        <w:t xml:space="preserve"> Offsite power was restored </w:t>
      </w:r>
      <w:r>
        <w:t>during</w:t>
      </w:r>
      <w:r w:rsidRPr="00A275CB">
        <w:t xml:space="preserve"> August 23.</w:t>
      </w:r>
    </w:p>
    <w:p w:rsidR="00EE5010" w:rsidRPr="00E72F0B" w:rsidRDefault="00EE5010" w:rsidP="00EE5010">
      <w:pPr>
        <w:pStyle w:val="Titre3"/>
        <w:rPr>
          <w:lang w:val="en-US"/>
        </w:rPr>
      </w:pPr>
      <w:bookmarkStart w:id="57" w:name="_Toc456011880"/>
      <w:r>
        <w:rPr>
          <w:lang w:val="en-US"/>
        </w:rPr>
        <w:t xml:space="preserve">Mühlheim-Kärlich </w:t>
      </w:r>
      <w:r w:rsidRPr="00E72F0B">
        <w:rPr>
          <w:lang w:val="en-US"/>
        </w:rPr>
        <w:t>(</w:t>
      </w:r>
      <w:r>
        <w:rPr>
          <w:lang w:val="en-US"/>
        </w:rPr>
        <w:t>Germany</w:t>
      </w:r>
      <w:r w:rsidRPr="00E72F0B">
        <w:rPr>
          <w:lang w:val="en-US"/>
        </w:rPr>
        <w:t>)</w:t>
      </w:r>
      <w:bookmarkEnd w:id="57"/>
      <w:r w:rsidRPr="00E72F0B">
        <w:rPr>
          <w:lang w:val="en-US"/>
        </w:rPr>
        <w:t xml:space="preserve"> </w:t>
      </w:r>
    </w:p>
    <w:p w:rsidR="00EE5010" w:rsidRDefault="00EE5010" w:rsidP="00EE5010">
      <w:r>
        <w:t>Identification of a fault at the site</w:t>
      </w:r>
    </w:p>
    <w:p w:rsidR="00EE5010" w:rsidRDefault="00EE5010" w:rsidP="00EE5010">
      <w:r>
        <w:lastRenderedPageBreak/>
        <w:t>The NPP Mühlheim-Kärlich was situated in the Neuwieder Basin in vicinity of the Rhine Graben Fault system. During the construction a fault was discovered at the site where the reactor building should be constructed. This lead</w:t>
      </w:r>
      <w:r w:rsidR="00BB5258">
        <w:t>s</w:t>
      </w:r>
      <w:r>
        <w:t xml:space="preserve"> to the decision to move the location of the reactor buil</w:t>
      </w:r>
      <w:r w:rsidR="00BB5258">
        <w:t>d</w:t>
      </w:r>
      <w:r>
        <w:t>ing for about 70 m to a location off the fault. The decission had severe legal consequences which finally led to the final shutdown of the NPP only two years after its comme</w:t>
      </w:r>
      <w:r>
        <w:t>r</w:t>
      </w:r>
      <w:r>
        <w:t>cial start. The legal decision to shut down was not related to any questions of fault capability. It was solely based on the invalidity of the planning and building permission resulting from the fa</w:t>
      </w:r>
      <w:r w:rsidR="00BB5258">
        <w:t>c</w:t>
      </w:r>
      <w:r>
        <w:t>t that the reactor building was not constructed at the location planned.</w:t>
      </w:r>
    </w:p>
    <w:p w:rsidR="00D61BA6" w:rsidRPr="00E72F0B" w:rsidRDefault="00D61BA6" w:rsidP="00D61BA6">
      <w:pPr>
        <w:pStyle w:val="Titre3"/>
        <w:rPr>
          <w:lang w:val="en-US"/>
        </w:rPr>
      </w:pPr>
      <w:bookmarkStart w:id="58" w:name="_Toc456011881"/>
      <w:r>
        <w:rPr>
          <w:lang w:val="en-US"/>
        </w:rPr>
        <w:t>Diablo Canyon (U.S.</w:t>
      </w:r>
      <w:r w:rsidRPr="00E72F0B">
        <w:rPr>
          <w:lang w:val="en-US"/>
        </w:rPr>
        <w:t>)</w:t>
      </w:r>
      <w:bookmarkEnd w:id="58"/>
      <w:r w:rsidRPr="00E72F0B">
        <w:rPr>
          <w:lang w:val="en-US"/>
        </w:rPr>
        <w:t xml:space="preserve"> </w:t>
      </w:r>
    </w:p>
    <w:p w:rsidR="00D61BA6" w:rsidRDefault="00D61BA6" w:rsidP="00D61BA6">
      <w:r>
        <w:t>Identification of a capable fault in the site vicinity</w:t>
      </w:r>
    </w:p>
    <w:p w:rsidR="00D61BA6" w:rsidRDefault="00D61BA6" w:rsidP="00D61BA6">
      <w:r>
        <w:t>Relocated microearthquakes led to the identification of an active fault (Shoreline Fault) in the site vicinity of</w:t>
      </w:r>
      <w:r>
        <w:t>f</w:t>
      </w:r>
      <w:r>
        <w:t>shore of the Diablo Canyon NPP, California. The identification of the active fault in 2008 triggered a series of r</w:t>
      </w:r>
      <w:r>
        <w:t>e</w:t>
      </w:r>
      <w:r>
        <w:t>views of the seismic ground shaking hazards using PSHA and deterministic hazard assessment methods (see review by USNRC, 2012). Due to the fact that the seismic hazard at the NPP is controlled by faults located within 10 km, finite fault simulations for assessing gr</w:t>
      </w:r>
      <w:r w:rsidR="00024672">
        <w:t>ound motion (Abrahamson, 2015).</w:t>
      </w:r>
    </w:p>
    <w:p w:rsidR="00EE5010" w:rsidRPr="00E72F0B" w:rsidRDefault="00EE5010" w:rsidP="00EE5010">
      <w:pPr>
        <w:pStyle w:val="Titre3"/>
        <w:rPr>
          <w:lang w:val="en-US"/>
        </w:rPr>
      </w:pPr>
      <w:bookmarkStart w:id="59" w:name="_Toc456011882"/>
      <w:r>
        <w:rPr>
          <w:lang w:val="en-US"/>
        </w:rPr>
        <w:t>Krsko NPP (Slovenia</w:t>
      </w:r>
      <w:r w:rsidRPr="00E72F0B">
        <w:rPr>
          <w:lang w:val="en-US"/>
        </w:rPr>
        <w:t>)</w:t>
      </w:r>
      <w:bookmarkEnd w:id="59"/>
    </w:p>
    <w:p w:rsidR="00EE5010" w:rsidRDefault="00EE5010" w:rsidP="00EE5010">
      <w:r>
        <w:t>Identification of a capable fault in the site vicinity</w:t>
      </w:r>
    </w:p>
    <w:p w:rsidR="00EE5010" w:rsidRDefault="00EE5010" w:rsidP="00EE5010">
      <w:r>
        <w:t xml:space="preserve">The NPP Krsko is located in </w:t>
      </w:r>
      <w:r w:rsidR="002E5EA3">
        <w:t xml:space="preserve">a tectonically complex </w:t>
      </w:r>
      <w:r>
        <w:t>region of moderate to high seismicity</w:t>
      </w:r>
      <w:r w:rsidR="002E5EA3">
        <w:t xml:space="preserve"> where seismicity is di</w:t>
      </w:r>
      <w:r w:rsidR="002E5EA3">
        <w:t>s</w:t>
      </w:r>
      <w:r w:rsidR="002E5EA3">
        <w:t>tributed over a large number of (partly unknown) active faults</w:t>
      </w:r>
      <w:r>
        <w:t xml:space="preserve">. In the course of geological investigations for the siting of new a new NPP close to the existing one </w:t>
      </w:r>
      <w:r w:rsidR="002E5EA3">
        <w:t>at least one active fault has</w:t>
      </w:r>
      <w:r w:rsidRPr="00EE5010">
        <w:t xml:space="preserve"> recently </w:t>
      </w:r>
      <w:r w:rsidR="002E5EA3">
        <w:t xml:space="preserve">been </w:t>
      </w:r>
      <w:r w:rsidRPr="00EE5010">
        <w:t>described in the site vicinity/near-region</w:t>
      </w:r>
      <w:r w:rsidR="002E5EA3">
        <w:t xml:space="preserve">. To assess the resulting ground displacement hazard at the </w:t>
      </w:r>
      <w:r w:rsidRPr="00EE5010">
        <w:t xml:space="preserve">Krsko </w:t>
      </w:r>
      <w:r w:rsidR="002E5EA3">
        <w:t>site a</w:t>
      </w:r>
      <w:r w:rsidRPr="00EE5010">
        <w:t xml:space="preserve"> </w:t>
      </w:r>
      <w:r w:rsidR="002E5EA3">
        <w:t>P</w:t>
      </w:r>
      <w:r w:rsidRPr="00EE5010">
        <w:t xml:space="preserve">robabilistic </w:t>
      </w:r>
      <w:r w:rsidR="002E5EA3">
        <w:t>F</w:t>
      </w:r>
      <w:r w:rsidRPr="00EE5010">
        <w:t xml:space="preserve">ault </w:t>
      </w:r>
      <w:r w:rsidR="002E5EA3">
        <w:t>D</w:t>
      </w:r>
      <w:r w:rsidRPr="00EE5010">
        <w:t xml:space="preserve">isplacement </w:t>
      </w:r>
      <w:r w:rsidR="002E5EA3">
        <w:t>Hazard A</w:t>
      </w:r>
      <w:r w:rsidRPr="00EE5010">
        <w:t xml:space="preserve">nalysis </w:t>
      </w:r>
      <w:r w:rsidR="002E5EA3">
        <w:t xml:space="preserve">(PFDHA) was </w:t>
      </w:r>
      <w:r w:rsidR="00F7701C">
        <w:t xml:space="preserve">initiated </w:t>
      </w:r>
      <w:r w:rsidRPr="00EE5010">
        <w:t xml:space="preserve">which accounts for as many as 10 </w:t>
      </w:r>
      <w:r w:rsidR="002E5EA3">
        <w:t xml:space="preserve">potentially </w:t>
      </w:r>
      <w:r w:rsidRPr="00EE5010">
        <w:t>capable faults in the near-region (</w:t>
      </w:r>
      <w:r w:rsidR="002E5EA3">
        <w:t>Cline et al., 2015)</w:t>
      </w:r>
      <w:r w:rsidRPr="00EE5010">
        <w:t>.</w:t>
      </w:r>
    </w:p>
    <w:p w:rsidR="002E5EA3" w:rsidRDefault="002E5EA3" w:rsidP="00EE5010"/>
    <w:p w:rsidR="001E747B" w:rsidRDefault="00AE17C4" w:rsidP="001E747B">
      <w:pPr>
        <w:pStyle w:val="Titre1"/>
        <w:keepNext w:val="0"/>
        <w:keepLines/>
        <w:widowControl w:val="0"/>
        <w:tabs>
          <w:tab w:val="num" w:pos="567"/>
        </w:tabs>
        <w:spacing w:before="0" w:after="240"/>
        <w:ind w:left="567" w:hanging="567"/>
        <w:jc w:val="both"/>
      </w:pPr>
      <w:r w:rsidRPr="00024672">
        <w:rPr>
          <w:rStyle w:val="CorpsdetexteCar"/>
        </w:rPr>
        <w:br w:type="page"/>
      </w:r>
      <w:bookmarkStart w:id="60" w:name="_Toc456011883"/>
      <w:r w:rsidR="0076231F">
        <w:lastRenderedPageBreak/>
        <w:t xml:space="preserve">Screening </w:t>
      </w:r>
      <w:r w:rsidR="009401BF">
        <w:t>of</w:t>
      </w:r>
      <w:r w:rsidR="00F90573">
        <w:t xml:space="preserve"> seismotectonic hazards</w:t>
      </w:r>
      <w:bookmarkEnd w:id="60"/>
    </w:p>
    <w:p w:rsidR="005E1F6F" w:rsidRDefault="007B2D9D" w:rsidP="00FD415B">
      <w:pPr>
        <w:ind w:left="120"/>
        <w:rPr>
          <w:lang w:val="en-US"/>
        </w:rPr>
      </w:pPr>
      <w:r w:rsidRPr="001D61E2">
        <w:rPr>
          <w:b/>
          <w:i/>
          <w:lang w:val="en-US"/>
        </w:rPr>
        <w:t>Vibratory ground motion (includin</w:t>
      </w:r>
      <w:r w:rsidR="00082E34" w:rsidRPr="001D61E2">
        <w:rPr>
          <w:b/>
          <w:i/>
          <w:lang w:val="en-US"/>
        </w:rPr>
        <w:t>g long period ground motion) (N1</w:t>
      </w:r>
      <w:r w:rsidRPr="001D61E2">
        <w:rPr>
          <w:b/>
          <w:i/>
          <w:lang w:val="en-US"/>
        </w:rPr>
        <w:t>) :</w:t>
      </w:r>
      <w:r w:rsidRPr="002E4C6B">
        <w:rPr>
          <w:lang w:val="en-US"/>
        </w:rPr>
        <w:t xml:space="preserve"> Seismic ground mot</w:t>
      </w:r>
      <w:r w:rsidR="009401BF" w:rsidRPr="002E4C6B">
        <w:rPr>
          <w:lang w:val="en-US"/>
        </w:rPr>
        <w:t>ion</w:t>
      </w:r>
      <w:r w:rsidR="00082E34">
        <w:rPr>
          <w:lang w:val="en-US"/>
        </w:rPr>
        <w:t xml:space="preserve"> hazards</w:t>
      </w:r>
      <w:r w:rsidR="00227F27">
        <w:rPr>
          <w:lang w:val="en-US"/>
        </w:rPr>
        <w:t xml:space="preserve"> ha</w:t>
      </w:r>
      <w:r w:rsidR="00082E34">
        <w:rPr>
          <w:lang w:val="en-US"/>
        </w:rPr>
        <w:t>ve</w:t>
      </w:r>
      <w:r w:rsidR="00227F27">
        <w:rPr>
          <w:lang w:val="en-US"/>
        </w:rPr>
        <w:t xml:space="preserve"> to be analysed for all nuclear power plants and</w:t>
      </w:r>
      <w:r w:rsidR="009401BF" w:rsidRPr="002E4C6B">
        <w:rPr>
          <w:lang w:val="en-US"/>
        </w:rPr>
        <w:t xml:space="preserve"> cannot be screened </w:t>
      </w:r>
      <w:r w:rsidR="002E4C6B" w:rsidRPr="002E4C6B">
        <w:rPr>
          <w:lang w:val="en-US"/>
        </w:rPr>
        <w:t>o</w:t>
      </w:r>
      <w:r w:rsidR="009401BF" w:rsidRPr="002E4C6B">
        <w:rPr>
          <w:lang w:val="en-US"/>
        </w:rPr>
        <w:t>ut</w:t>
      </w:r>
      <w:r w:rsidRPr="002E4C6B">
        <w:rPr>
          <w:lang w:val="en-US"/>
        </w:rPr>
        <w:t xml:space="preserve"> for any site (WENRA, 2015: </w:t>
      </w:r>
      <w:r w:rsidRPr="00FD415B">
        <w:rPr>
          <w:lang w:val="en-US"/>
        </w:rPr>
        <w:t>Issue T, Gui</w:t>
      </w:r>
      <w:r w:rsidRPr="00FD415B">
        <w:rPr>
          <w:lang w:val="en-US"/>
        </w:rPr>
        <w:t>d</w:t>
      </w:r>
      <w:r w:rsidRPr="00FD415B">
        <w:rPr>
          <w:lang w:val="en-US"/>
        </w:rPr>
        <w:t>ance on Seismnic Events</w:t>
      </w:r>
      <w:r w:rsidRPr="002E4C6B">
        <w:rPr>
          <w:lang w:val="en-US"/>
        </w:rPr>
        <w:t>)</w:t>
      </w:r>
      <w:r w:rsidR="00293198">
        <w:rPr>
          <w:lang w:val="en-US"/>
        </w:rPr>
        <w:t>.</w:t>
      </w:r>
    </w:p>
    <w:p w:rsidR="009401BF" w:rsidRPr="009401BF" w:rsidRDefault="009401BF" w:rsidP="00FD415B">
      <w:pPr>
        <w:ind w:left="120"/>
        <w:rPr>
          <w:lang w:val="en-US"/>
        </w:rPr>
      </w:pPr>
    </w:p>
    <w:p w:rsidR="00082E34" w:rsidRDefault="007B2D9D" w:rsidP="00FD415B">
      <w:pPr>
        <w:ind w:left="120"/>
        <w:rPr>
          <w:lang w:val="en-US"/>
        </w:rPr>
      </w:pPr>
      <w:r w:rsidRPr="001D61E2">
        <w:rPr>
          <w:b/>
          <w:i/>
          <w:lang w:val="en-US"/>
        </w:rPr>
        <w:t>Vibratory ground motion induced or triggered by human activity (oil, gas or groundwater extraction, qua</w:t>
      </w:r>
      <w:r w:rsidRPr="001D61E2">
        <w:rPr>
          <w:b/>
          <w:i/>
          <w:lang w:val="en-US"/>
        </w:rPr>
        <w:t>r</w:t>
      </w:r>
      <w:r w:rsidR="00024672">
        <w:rPr>
          <w:b/>
          <w:i/>
          <w:lang w:val="en-US"/>
        </w:rPr>
        <w:t>rying, mine collapse) (N2)</w:t>
      </w:r>
      <w:r w:rsidRPr="001D61E2">
        <w:rPr>
          <w:b/>
          <w:i/>
          <w:lang w:val="en-US"/>
        </w:rPr>
        <w:t>:</w:t>
      </w:r>
      <w:r>
        <w:rPr>
          <w:lang w:val="en-US"/>
        </w:rPr>
        <w:t xml:space="preserve"> Triggered or induced seismic ground </w:t>
      </w:r>
      <w:r w:rsidR="00227F27">
        <w:rPr>
          <w:lang w:val="en-US"/>
        </w:rPr>
        <w:t>motion</w:t>
      </w:r>
      <w:r>
        <w:rPr>
          <w:lang w:val="en-US"/>
        </w:rPr>
        <w:t xml:space="preserve"> can be screened out by the absence of man-made </w:t>
      </w:r>
      <w:r w:rsidR="00227F27">
        <w:rPr>
          <w:lang w:val="en-US"/>
        </w:rPr>
        <w:t xml:space="preserve">facilities </w:t>
      </w:r>
      <w:r>
        <w:rPr>
          <w:lang w:val="en-US"/>
        </w:rPr>
        <w:t>which might cause such events (screening o</w:t>
      </w:r>
      <w:r w:rsidR="00024672">
        <w:rPr>
          <w:lang w:val="en-US"/>
        </w:rPr>
        <w:t xml:space="preserve">ut by physical impossibility). </w:t>
      </w:r>
      <w:r w:rsidR="002E4C6B">
        <w:rPr>
          <w:lang w:val="en-US"/>
        </w:rPr>
        <w:t xml:space="preserve">Screening needs to consider the following </w:t>
      </w:r>
      <w:r w:rsidR="00227F27">
        <w:rPr>
          <w:lang w:val="en-US"/>
        </w:rPr>
        <w:t xml:space="preserve">potential </w:t>
      </w:r>
      <w:r w:rsidR="002E4C6B">
        <w:rPr>
          <w:lang w:val="en-US"/>
        </w:rPr>
        <w:t>sources:</w:t>
      </w:r>
    </w:p>
    <w:p w:rsidR="00082E34" w:rsidRDefault="00293198" w:rsidP="00860D1D">
      <w:pPr>
        <w:numPr>
          <w:ilvl w:val="0"/>
          <w:numId w:val="23"/>
        </w:numPr>
        <w:rPr>
          <w:lang w:val="en-US"/>
        </w:rPr>
      </w:pPr>
      <w:r>
        <w:rPr>
          <w:lang w:val="en-US"/>
        </w:rPr>
        <w:t>w</w:t>
      </w:r>
      <w:r w:rsidR="007B2D9D">
        <w:rPr>
          <w:lang w:val="en-US"/>
        </w:rPr>
        <w:t>ater, oil</w:t>
      </w:r>
      <w:r w:rsidR="00947444">
        <w:rPr>
          <w:lang w:val="en-US"/>
        </w:rPr>
        <w:t>,</w:t>
      </w:r>
      <w:r w:rsidR="007B2D9D">
        <w:rPr>
          <w:lang w:val="en-US"/>
        </w:rPr>
        <w:t xml:space="preserve"> or gas extraction wells</w:t>
      </w:r>
      <w:r>
        <w:rPr>
          <w:lang w:val="en-US"/>
        </w:rPr>
        <w:t>,</w:t>
      </w:r>
    </w:p>
    <w:p w:rsidR="00082E34" w:rsidRDefault="00293198" w:rsidP="00860D1D">
      <w:pPr>
        <w:numPr>
          <w:ilvl w:val="0"/>
          <w:numId w:val="23"/>
        </w:numPr>
        <w:rPr>
          <w:lang w:val="en-US"/>
        </w:rPr>
      </w:pPr>
      <w:r>
        <w:rPr>
          <w:lang w:val="en-US"/>
        </w:rPr>
        <w:t>h</w:t>
      </w:r>
      <w:r w:rsidR="007B2D9D">
        <w:rPr>
          <w:lang w:val="en-US"/>
        </w:rPr>
        <w:t xml:space="preserve">ydrothermal plants </w:t>
      </w:r>
      <w:r w:rsidR="002E4C6B">
        <w:rPr>
          <w:lang w:val="en-US"/>
        </w:rPr>
        <w:t xml:space="preserve">for thermal water </w:t>
      </w:r>
      <w:r w:rsidR="007B2D9D">
        <w:rPr>
          <w:lang w:val="en-US"/>
        </w:rPr>
        <w:t>extracti</w:t>
      </w:r>
      <w:r w:rsidR="002E4C6B">
        <w:rPr>
          <w:lang w:val="en-US"/>
        </w:rPr>
        <w:t>o</w:t>
      </w:r>
      <w:r w:rsidR="007B2D9D">
        <w:rPr>
          <w:lang w:val="en-US"/>
        </w:rPr>
        <w:t xml:space="preserve">n </w:t>
      </w:r>
      <w:r w:rsidR="00947444">
        <w:rPr>
          <w:lang w:val="en-US"/>
        </w:rPr>
        <w:t>or</w:t>
      </w:r>
      <w:r w:rsidR="007B2D9D">
        <w:rPr>
          <w:lang w:val="en-US"/>
        </w:rPr>
        <w:t xml:space="preserve"> re-injecti</w:t>
      </w:r>
      <w:r w:rsidR="002E4C6B">
        <w:rPr>
          <w:lang w:val="en-US"/>
        </w:rPr>
        <w:t>o</w:t>
      </w:r>
      <w:r w:rsidR="007B2D9D">
        <w:rPr>
          <w:lang w:val="en-US"/>
        </w:rPr>
        <w:t>n</w:t>
      </w:r>
      <w:r>
        <w:rPr>
          <w:lang w:val="en-US"/>
        </w:rPr>
        <w:t>,</w:t>
      </w:r>
    </w:p>
    <w:p w:rsidR="00082E34" w:rsidRDefault="00293198" w:rsidP="00860D1D">
      <w:pPr>
        <w:numPr>
          <w:ilvl w:val="0"/>
          <w:numId w:val="23"/>
        </w:numPr>
        <w:rPr>
          <w:lang w:val="en-US"/>
        </w:rPr>
      </w:pPr>
      <w:r>
        <w:rPr>
          <w:lang w:val="en-US"/>
        </w:rPr>
        <w:t>l</w:t>
      </w:r>
      <w:r w:rsidR="007B2D9D">
        <w:rPr>
          <w:lang w:val="en-US"/>
        </w:rPr>
        <w:t>iquid waste disposal wells</w:t>
      </w:r>
      <w:r>
        <w:rPr>
          <w:lang w:val="en-US"/>
        </w:rPr>
        <w:t>,</w:t>
      </w:r>
    </w:p>
    <w:p w:rsidR="00082E34" w:rsidRDefault="00293198" w:rsidP="00860D1D">
      <w:pPr>
        <w:numPr>
          <w:ilvl w:val="0"/>
          <w:numId w:val="23"/>
        </w:numPr>
        <w:rPr>
          <w:lang w:val="en-US"/>
        </w:rPr>
      </w:pPr>
      <w:r>
        <w:rPr>
          <w:lang w:val="en-US"/>
        </w:rPr>
        <w:t>m</w:t>
      </w:r>
      <w:r w:rsidR="002E4C6B">
        <w:rPr>
          <w:lang w:val="en-US"/>
        </w:rPr>
        <w:t>ines and other large open volumes in the subsurface</w:t>
      </w:r>
      <w:r>
        <w:rPr>
          <w:lang w:val="en-US"/>
        </w:rPr>
        <w:t>,</w:t>
      </w:r>
    </w:p>
    <w:p w:rsidR="00227F27" w:rsidRDefault="00293198" w:rsidP="00860D1D">
      <w:pPr>
        <w:numPr>
          <w:ilvl w:val="0"/>
          <w:numId w:val="23"/>
        </w:numPr>
        <w:rPr>
          <w:lang w:val="en-US"/>
        </w:rPr>
      </w:pPr>
      <w:r>
        <w:rPr>
          <w:lang w:val="en-US"/>
        </w:rPr>
        <w:t>q</w:t>
      </w:r>
      <w:r w:rsidR="002E4C6B">
        <w:rPr>
          <w:lang w:val="en-US"/>
        </w:rPr>
        <w:t>uarries which, by their topography, may p</w:t>
      </w:r>
      <w:r w:rsidR="00024672">
        <w:rPr>
          <w:lang w:val="en-US"/>
        </w:rPr>
        <w:t>roduce large volume rock falls.</w:t>
      </w:r>
    </w:p>
    <w:p w:rsidR="00227F27" w:rsidRDefault="00227F27" w:rsidP="00FD415B">
      <w:pPr>
        <w:ind w:left="120"/>
        <w:rPr>
          <w:lang w:val="en-US"/>
        </w:rPr>
      </w:pPr>
    </w:p>
    <w:p w:rsidR="00F5211D" w:rsidRDefault="002E4C6B" w:rsidP="00FD415B">
      <w:pPr>
        <w:ind w:left="120"/>
        <w:rPr>
          <w:lang w:val="en-US"/>
        </w:rPr>
      </w:pPr>
      <w:r>
        <w:rPr>
          <w:lang w:val="en-US"/>
        </w:rPr>
        <w:t xml:space="preserve">The screening area around the site should be chosen </w:t>
      </w:r>
      <w:r w:rsidR="00F5211D">
        <w:rPr>
          <w:lang w:val="en-US"/>
        </w:rPr>
        <w:t xml:space="preserve">in </w:t>
      </w:r>
      <w:r>
        <w:rPr>
          <w:lang w:val="en-US"/>
        </w:rPr>
        <w:t>accord</w:t>
      </w:r>
      <w:r w:rsidR="00F5211D">
        <w:rPr>
          <w:lang w:val="en-US"/>
        </w:rPr>
        <w:t xml:space="preserve">ance with </w:t>
      </w:r>
      <w:r>
        <w:rPr>
          <w:lang w:val="en-US"/>
        </w:rPr>
        <w:t xml:space="preserve">the potential maximum magnitude </w:t>
      </w:r>
      <w:r w:rsidR="005A44EE">
        <w:rPr>
          <w:lang w:val="en-US"/>
        </w:rPr>
        <w:t>that</w:t>
      </w:r>
      <w:r>
        <w:rPr>
          <w:lang w:val="en-US"/>
        </w:rPr>
        <w:t xml:space="preserve"> may be produced by such facilities</w:t>
      </w:r>
      <w:r w:rsidR="00F5211D">
        <w:rPr>
          <w:lang w:val="en-US"/>
        </w:rPr>
        <w:t>, and appropriate ground motion prediction equations</w:t>
      </w:r>
      <w:r w:rsidR="00187C4D">
        <w:rPr>
          <w:lang w:val="en-US"/>
        </w:rPr>
        <w:t xml:space="preserve"> (GMPEs)</w:t>
      </w:r>
      <w:r w:rsidR="00187C4D">
        <w:rPr>
          <w:rStyle w:val="Appelnotedebasdep"/>
          <w:lang w:val="en-US"/>
        </w:rPr>
        <w:footnoteReference w:id="4"/>
      </w:r>
      <w:r w:rsidR="00F5211D">
        <w:rPr>
          <w:lang w:val="en-US"/>
        </w:rPr>
        <w:t xml:space="preserve"> which are a</w:t>
      </w:r>
      <w:r w:rsidR="00F5211D">
        <w:rPr>
          <w:lang w:val="en-US"/>
        </w:rPr>
        <w:t>p</w:t>
      </w:r>
      <w:r w:rsidR="00F5211D">
        <w:rPr>
          <w:lang w:val="en-US"/>
        </w:rPr>
        <w:t>plicable to model such events.</w:t>
      </w:r>
    </w:p>
    <w:p w:rsidR="00F5211D" w:rsidRDefault="00F5211D" w:rsidP="00FD415B">
      <w:pPr>
        <w:ind w:left="120"/>
        <w:rPr>
          <w:lang w:val="en-US"/>
        </w:rPr>
      </w:pPr>
    </w:p>
    <w:p w:rsidR="005A44EE" w:rsidRDefault="00227F27" w:rsidP="00FD415B">
      <w:pPr>
        <w:ind w:left="120"/>
        <w:rPr>
          <w:lang w:val="en-US"/>
        </w:rPr>
      </w:pPr>
      <w:r>
        <w:rPr>
          <w:lang w:val="en-US"/>
        </w:rPr>
        <w:t xml:space="preserve">For induced earthquakes (i.e., </w:t>
      </w:r>
      <w:r w:rsidRPr="00FD415B">
        <w:rPr>
          <w:lang w:val="en-US"/>
        </w:rPr>
        <w:t xml:space="preserve">events which are entirely controlled by human intervention) </w:t>
      </w:r>
      <w:r w:rsidR="002E4C6B">
        <w:rPr>
          <w:lang w:val="en-US"/>
        </w:rPr>
        <w:t xml:space="preserve">magnitudes up to Mw </w:t>
      </w:r>
      <w:r w:rsidR="00947444">
        <w:rPr>
          <w:lang w:val="en-US"/>
        </w:rPr>
        <w:t>5</w:t>
      </w:r>
      <w:r w:rsidR="00657E77">
        <w:rPr>
          <w:lang w:val="en-US"/>
        </w:rPr>
        <w:t>.</w:t>
      </w:r>
      <w:r w:rsidR="00947444">
        <w:rPr>
          <w:lang w:val="en-US"/>
        </w:rPr>
        <w:t>6</w:t>
      </w:r>
      <w:r w:rsidR="002E4C6B">
        <w:rPr>
          <w:lang w:val="en-US"/>
        </w:rPr>
        <w:t xml:space="preserve"> have been </w:t>
      </w:r>
      <w:r w:rsidR="005A44EE">
        <w:rPr>
          <w:lang w:val="en-US"/>
        </w:rPr>
        <w:t>observed. Examples include sites in Switzerland (</w:t>
      </w:r>
      <w:r w:rsidR="005A44EE" w:rsidRPr="00947444">
        <w:rPr>
          <w:lang w:val="en-US"/>
        </w:rPr>
        <w:t>Basel</w:t>
      </w:r>
      <w:r w:rsidR="005A44EE">
        <w:rPr>
          <w:lang w:val="en-US"/>
        </w:rPr>
        <w:t xml:space="preserve"> </w:t>
      </w:r>
      <w:r w:rsidR="00947444" w:rsidRPr="00947444">
        <w:rPr>
          <w:lang w:val="en-US"/>
        </w:rPr>
        <w:t>Deep Heat Mining</w:t>
      </w:r>
      <w:r w:rsidR="005A44EE">
        <w:rPr>
          <w:lang w:val="en-US"/>
        </w:rPr>
        <w:t xml:space="preserve"> </w:t>
      </w:r>
      <w:r w:rsidR="00947444">
        <w:rPr>
          <w:lang w:val="en-US"/>
        </w:rPr>
        <w:t xml:space="preserve">: </w:t>
      </w:r>
      <w:r w:rsidR="005A44EE">
        <w:rPr>
          <w:lang w:val="en-US"/>
        </w:rPr>
        <w:t xml:space="preserve">recorded </w:t>
      </w:r>
      <w:r w:rsidR="00947444" w:rsidRPr="00947444">
        <w:rPr>
          <w:lang w:val="en-US"/>
        </w:rPr>
        <w:t>Mmax=3.4</w:t>
      </w:r>
      <w:r w:rsidR="00947444">
        <w:rPr>
          <w:lang w:val="en-US"/>
        </w:rPr>
        <w:t xml:space="preserve">, </w:t>
      </w:r>
      <w:r w:rsidR="00947444" w:rsidRPr="00947444">
        <w:rPr>
          <w:lang w:val="en-US"/>
        </w:rPr>
        <w:t>Deichmann, 2010</w:t>
      </w:r>
      <w:r w:rsidR="005A44EE">
        <w:rPr>
          <w:lang w:val="en-US"/>
        </w:rPr>
        <w:t>; maximum magnitude estimated from seismological data Mw 4.5, Baisch et al., 2009), Germany (</w:t>
      </w:r>
      <w:r w:rsidR="00947444" w:rsidRPr="00947444">
        <w:rPr>
          <w:lang w:val="en-US"/>
        </w:rPr>
        <w:t>Geothermianlage Landau</w:t>
      </w:r>
      <w:r w:rsidR="00947444">
        <w:rPr>
          <w:lang w:val="en-US"/>
        </w:rPr>
        <w:t xml:space="preserve"> : </w:t>
      </w:r>
      <w:r w:rsidR="00947444" w:rsidRPr="00947444">
        <w:rPr>
          <w:lang w:val="en-US"/>
        </w:rPr>
        <w:t>Imax=5</w:t>
      </w:r>
      <w:r w:rsidR="00947444">
        <w:rPr>
          <w:lang w:val="en-US"/>
        </w:rPr>
        <w:t>, Ritter et al., 2014</w:t>
      </w:r>
      <w:r w:rsidR="005A44EE">
        <w:rPr>
          <w:lang w:val="en-US"/>
        </w:rPr>
        <w:t>), and the USA (</w:t>
      </w:r>
      <w:r w:rsidR="00947444" w:rsidRPr="00947444">
        <w:rPr>
          <w:lang w:val="en-US"/>
        </w:rPr>
        <w:t>Rocky Mountain Arsenal</w:t>
      </w:r>
      <w:r w:rsidR="00947444">
        <w:rPr>
          <w:lang w:val="en-US"/>
        </w:rPr>
        <w:t xml:space="preserve">, </w:t>
      </w:r>
      <w:r w:rsidR="00947444" w:rsidRPr="00947444">
        <w:rPr>
          <w:lang w:val="en-US"/>
        </w:rPr>
        <w:t>Denver, Mmax=5.6</w:t>
      </w:r>
      <w:r w:rsidR="00947444">
        <w:rPr>
          <w:lang w:val="en-US"/>
        </w:rPr>
        <w:t xml:space="preserve">, </w:t>
      </w:r>
      <w:r w:rsidR="00947444" w:rsidRPr="00947444">
        <w:rPr>
          <w:lang w:val="en-US"/>
        </w:rPr>
        <w:t>Folger &amp; Tiemann, 2015</w:t>
      </w:r>
      <w:r w:rsidR="00947444">
        <w:rPr>
          <w:lang w:val="en-US"/>
        </w:rPr>
        <w:t xml:space="preserve">; </w:t>
      </w:r>
      <w:r w:rsidR="00947444" w:rsidRPr="00947444">
        <w:rPr>
          <w:lang w:val="en-US"/>
        </w:rPr>
        <w:t>Paradox Valley</w:t>
      </w:r>
      <w:r w:rsidR="00947444">
        <w:rPr>
          <w:lang w:val="en-US"/>
        </w:rPr>
        <w:t xml:space="preserve">, </w:t>
      </w:r>
      <w:r w:rsidR="00947444" w:rsidRPr="00947444">
        <w:rPr>
          <w:lang w:val="en-US"/>
        </w:rPr>
        <w:t>Colorado, M=4.3</w:t>
      </w:r>
      <w:r w:rsidR="00947444">
        <w:rPr>
          <w:lang w:val="en-US"/>
        </w:rPr>
        <w:t xml:space="preserve">, </w:t>
      </w:r>
      <w:r w:rsidR="00947444" w:rsidRPr="00947444">
        <w:rPr>
          <w:lang w:val="en-US"/>
        </w:rPr>
        <w:t>Ake et al., 2005</w:t>
      </w:r>
      <w:r w:rsidR="00947444">
        <w:rPr>
          <w:lang w:val="en-US"/>
        </w:rPr>
        <w:t xml:space="preserve">; </w:t>
      </w:r>
      <w:r w:rsidR="00947444" w:rsidRPr="00947444">
        <w:rPr>
          <w:lang w:val="en-US"/>
        </w:rPr>
        <w:t>The Geysers Field</w:t>
      </w:r>
      <w:r w:rsidR="00947444">
        <w:rPr>
          <w:lang w:val="en-US"/>
        </w:rPr>
        <w:t xml:space="preserve">, </w:t>
      </w:r>
      <w:r w:rsidR="00947444" w:rsidRPr="00947444">
        <w:rPr>
          <w:lang w:val="en-US"/>
        </w:rPr>
        <w:t>Cal</w:t>
      </w:r>
      <w:r w:rsidR="00947444" w:rsidRPr="00947444">
        <w:rPr>
          <w:lang w:val="en-US"/>
        </w:rPr>
        <w:t>i</w:t>
      </w:r>
      <w:r w:rsidR="00947444" w:rsidRPr="00947444">
        <w:rPr>
          <w:lang w:val="en-US"/>
        </w:rPr>
        <w:t>forni</w:t>
      </w:r>
      <w:r w:rsidR="00947444">
        <w:rPr>
          <w:lang w:val="en-US"/>
        </w:rPr>
        <w:t>a</w:t>
      </w:r>
      <w:r w:rsidR="00947444" w:rsidRPr="00947444">
        <w:rPr>
          <w:lang w:val="en-US"/>
        </w:rPr>
        <w:t>, Mmax=4.6</w:t>
      </w:r>
      <w:r w:rsidR="00947444">
        <w:rPr>
          <w:lang w:val="en-US"/>
        </w:rPr>
        <w:t xml:space="preserve">, </w:t>
      </w:r>
      <w:r w:rsidR="00947444" w:rsidRPr="00947444">
        <w:rPr>
          <w:lang w:val="en-US"/>
        </w:rPr>
        <w:t>US Department of Energy, 2015</w:t>
      </w:r>
      <w:r w:rsidR="00947444">
        <w:rPr>
          <w:lang w:val="en-US"/>
        </w:rPr>
        <w:t>)</w:t>
      </w:r>
      <w:r w:rsidR="00657E77">
        <w:rPr>
          <w:lang w:val="en-US"/>
        </w:rPr>
        <w:t>.</w:t>
      </w:r>
    </w:p>
    <w:p w:rsidR="00187C4D" w:rsidRDefault="00187C4D" w:rsidP="00FD415B">
      <w:pPr>
        <w:ind w:left="120"/>
        <w:rPr>
          <w:lang w:val="en-US"/>
        </w:rPr>
      </w:pPr>
    </w:p>
    <w:p w:rsidR="00947444" w:rsidRDefault="00947444" w:rsidP="00FD415B">
      <w:pPr>
        <w:ind w:left="120"/>
        <w:rPr>
          <w:lang w:val="en-US"/>
        </w:rPr>
      </w:pPr>
      <w:r>
        <w:rPr>
          <w:lang w:val="en-US"/>
        </w:rPr>
        <w:t xml:space="preserve">Although these magnitudes appear low compared to the possible magnitudes of natural earthquakes it must be considered that </w:t>
      </w:r>
      <w:r w:rsidR="005A44EE">
        <w:rPr>
          <w:lang w:val="en-US"/>
        </w:rPr>
        <w:t xml:space="preserve">induced </w:t>
      </w:r>
      <w:r>
        <w:rPr>
          <w:lang w:val="en-US"/>
        </w:rPr>
        <w:t>events occur at much shallower depth (typically 2-4 km) than natural earthquakes</w:t>
      </w:r>
      <w:r w:rsidR="005A44EE">
        <w:rPr>
          <w:lang w:val="en-US"/>
        </w:rPr>
        <w:t xml:space="preserve">. The small hypocenter depths </w:t>
      </w:r>
      <w:r>
        <w:rPr>
          <w:lang w:val="en-US"/>
        </w:rPr>
        <w:t>lead to large ground motion values</w:t>
      </w:r>
      <w:r w:rsidR="005A44EE">
        <w:rPr>
          <w:lang w:val="en-US"/>
        </w:rPr>
        <w:t xml:space="preserve"> at the epicenter</w:t>
      </w:r>
      <w:r>
        <w:rPr>
          <w:lang w:val="en-US"/>
        </w:rPr>
        <w:t xml:space="preserve">. The shallow nature of the events, however, implies that the area affected by ground shaking will be significantly smaller than the area shaken by </w:t>
      </w:r>
      <w:r w:rsidR="00AE55CA">
        <w:rPr>
          <w:lang w:val="en-US"/>
        </w:rPr>
        <w:t>deeper natural quakes.</w:t>
      </w:r>
    </w:p>
    <w:p w:rsidR="00947444" w:rsidRDefault="00947444" w:rsidP="00FD415B">
      <w:pPr>
        <w:ind w:left="120"/>
        <w:rPr>
          <w:lang w:val="en-US"/>
        </w:rPr>
      </w:pPr>
    </w:p>
    <w:p w:rsidR="00227F27" w:rsidRDefault="00DB7A4B" w:rsidP="00FD415B">
      <w:pPr>
        <w:ind w:left="120"/>
        <w:rPr>
          <w:lang w:val="en-US"/>
        </w:rPr>
      </w:pPr>
      <w:r>
        <w:rPr>
          <w:lang w:val="en-US"/>
        </w:rPr>
        <w:t xml:space="preserve">Maximum magnitude estimates for triggered seismicity, where </w:t>
      </w:r>
      <w:r w:rsidRPr="00FD415B">
        <w:rPr>
          <w:lang w:val="en-US"/>
        </w:rPr>
        <w:t xml:space="preserve">human intervention initiates the seismic rupture process of a fault while the subsequent rupture propagation is controlled by natural stress, are more difficult to </w:t>
      </w:r>
      <w:r w:rsidRPr="00FD415B">
        <w:rPr>
          <w:lang w:val="en-US"/>
        </w:rPr>
        <w:lastRenderedPageBreak/>
        <w:t>assess. Estimates should be based on the size of the largest fault that may rupture accounting for the orientation of the fault and the orientation of natural stresses. Maxiumum magnitude estimates can be obtained from scaling laws (</w:t>
      </w:r>
      <w:r w:rsidR="006E25C8" w:rsidRPr="00FD415B">
        <w:rPr>
          <w:lang w:val="en-US"/>
        </w:rPr>
        <w:t>Wells and Coppersmith, 1994</w:t>
      </w:r>
      <w:r w:rsidR="00187C4D">
        <w:rPr>
          <w:lang w:val="en-US"/>
        </w:rPr>
        <w:t xml:space="preserve">; see also chapter </w:t>
      </w:r>
      <w:r w:rsidR="00187C4D">
        <w:rPr>
          <w:lang w:val="en-US"/>
        </w:rPr>
        <w:fldChar w:fldCharType="begin"/>
      </w:r>
      <w:r w:rsidR="00187C4D">
        <w:rPr>
          <w:lang w:val="en-US"/>
        </w:rPr>
        <w:instrText xml:space="preserve"> REF _Ref433386373 \r \h </w:instrText>
      </w:r>
      <w:r w:rsidR="00187C4D">
        <w:rPr>
          <w:lang w:val="en-US"/>
        </w:rPr>
      </w:r>
      <w:r w:rsidR="00187C4D">
        <w:rPr>
          <w:lang w:val="en-US"/>
        </w:rPr>
        <w:fldChar w:fldCharType="separate"/>
      </w:r>
      <w:r w:rsidR="00173034">
        <w:rPr>
          <w:lang w:val="en-US"/>
        </w:rPr>
        <w:t>4.2.1</w:t>
      </w:r>
      <w:r w:rsidR="00187C4D">
        <w:rPr>
          <w:lang w:val="en-US"/>
        </w:rPr>
        <w:fldChar w:fldCharType="end"/>
      </w:r>
      <w:r w:rsidR="00187C4D">
        <w:rPr>
          <w:lang w:val="en-US"/>
        </w:rPr>
        <w:t xml:space="preserve">, page </w:t>
      </w:r>
      <w:r w:rsidR="00187C4D">
        <w:rPr>
          <w:lang w:val="en-US"/>
        </w:rPr>
        <w:fldChar w:fldCharType="begin"/>
      </w:r>
      <w:r w:rsidR="00187C4D">
        <w:rPr>
          <w:lang w:val="en-US"/>
        </w:rPr>
        <w:instrText xml:space="preserve"> PAGEREF _Ref433386377 \h </w:instrText>
      </w:r>
      <w:r w:rsidR="00187C4D">
        <w:rPr>
          <w:lang w:val="en-US"/>
        </w:rPr>
      </w:r>
      <w:r w:rsidR="00187C4D">
        <w:rPr>
          <w:lang w:val="en-US"/>
        </w:rPr>
        <w:fldChar w:fldCharType="separate"/>
      </w:r>
      <w:r w:rsidR="00173034">
        <w:rPr>
          <w:noProof/>
          <w:lang w:val="en-US"/>
        </w:rPr>
        <w:t>69</w:t>
      </w:r>
      <w:r w:rsidR="00187C4D">
        <w:rPr>
          <w:lang w:val="en-US"/>
        </w:rPr>
        <w:fldChar w:fldCharType="end"/>
      </w:r>
      <w:r w:rsidR="006E25C8" w:rsidRPr="00FD415B">
        <w:rPr>
          <w:lang w:val="en-US"/>
        </w:rPr>
        <w:t>).</w:t>
      </w:r>
    </w:p>
    <w:p w:rsidR="00227F27" w:rsidRDefault="00227F27" w:rsidP="00FD415B">
      <w:pPr>
        <w:ind w:left="120"/>
        <w:rPr>
          <w:lang w:val="en-US"/>
        </w:rPr>
      </w:pPr>
    </w:p>
    <w:p w:rsidR="00524282" w:rsidRDefault="002E4C6B" w:rsidP="00FD415B">
      <w:pPr>
        <w:ind w:left="120"/>
        <w:rPr>
          <w:lang w:val="en-US"/>
        </w:rPr>
      </w:pPr>
      <w:r w:rsidRPr="001D61E2">
        <w:rPr>
          <w:b/>
          <w:i/>
          <w:lang w:val="en-US"/>
        </w:rPr>
        <w:t>Surface faulting (fault capability) (N3):</w:t>
      </w:r>
      <w:r>
        <w:rPr>
          <w:lang w:val="en-US"/>
        </w:rPr>
        <w:t xml:space="preserve"> </w:t>
      </w:r>
      <w:r w:rsidR="000F1682">
        <w:rPr>
          <w:lang w:val="en-US"/>
        </w:rPr>
        <w:t xml:space="preserve">The hazard of surface faulting at the site </w:t>
      </w:r>
      <w:r>
        <w:rPr>
          <w:lang w:val="en-US"/>
        </w:rPr>
        <w:t xml:space="preserve">may be screened out by </w:t>
      </w:r>
      <w:r w:rsidR="005A44EE">
        <w:rPr>
          <w:lang w:val="en-US"/>
        </w:rPr>
        <w:t>ge</w:t>
      </w:r>
      <w:r w:rsidR="005A44EE">
        <w:rPr>
          <w:lang w:val="en-US"/>
        </w:rPr>
        <w:t>o</w:t>
      </w:r>
      <w:r w:rsidR="005A44EE">
        <w:rPr>
          <w:lang w:val="en-US"/>
        </w:rPr>
        <w:t>logical</w:t>
      </w:r>
      <w:r>
        <w:rPr>
          <w:lang w:val="en-US"/>
        </w:rPr>
        <w:t xml:space="preserve"> </w:t>
      </w:r>
      <w:r w:rsidR="000F1682">
        <w:rPr>
          <w:lang w:val="en-US"/>
        </w:rPr>
        <w:t xml:space="preserve">analyses at the </w:t>
      </w:r>
      <w:r>
        <w:rPr>
          <w:lang w:val="en-US"/>
        </w:rPr>
        <w:t xml:space="preserve">site </w:t>
      </w:r>
      <w:r w:rsidR="000F1682">
        <w:rPr>
          <w:lang w:val="en-US"/>
        </w:rPr>
        <w:t xml:space="preserve">and in the </w:t>
      </w:r>
      <w:r>
        <w:rPr>
          <w:lang w:val="en-US"/>
        </w:rPr>
        <w:t>site-vicinity</w:t>
      </w:r>
      <w:r w:rsidR="000F1682">
        <w:rPr>
          <w:lang w:val="en-US"/>
        </w:rPr>
        <w:t>. Past exa</w:t>
      </w:r>
      <w:r w:rsidR="005A44EE">
        <w:rPr>
          <w:lang w:val="en-US"/>
        </w:rPr>
        <w:t xml:space="preserve">mples of the identification of </w:t>
      </w:r>
      <w:r w:rsidR="000F1682">
        <w:rPr>
          <w:lang w:val="en-US"/>
        </w:rPr>
        <w:t xml:space="preserve">capable faults at the sites of existing nuclear facilities </w:t>
      </w:r>
      <w:r w:rsidR="003B069C">
        <w:rPr>
          <w:lang w:val="en-US"/>
        </w:rPr>
        <w:t xml:space="preserve">have shown that capable faults may have not been identified during the siting process </w:t>
      </w:r>
      <w:r w:rsidR="000F1682">
        <w:rPr>
          <w:lang w:val="en-US"/>
        </w:rPr>
        <w:t xml:space="preserve">(e.g., </w:t>
      </w:r>
      <w:r w:rsidR="000F1682" w:rsidRPr="00FD415B">
        <w:rPr>
          <w:lang w:val="en-US"/>
        </w:rPr>
        <w:t>Kashiwazaki Kariwa</w:t>
      </w:r>
      <w:r w:rsidR="00D05174" w:rsidRPr="00FD415B">
        <w:rPr>
          <w:lang w:val="en-US"/>
        </w:rPr>
        <w:t xml:space="preserve"> NPP</w:t>
      </w:r>
      <w:r w:rsidR="000F1682" w:rsidRPr="00FD415B">
        <w:rPr>
          <w:lang w:val="en-US"/>
        </w:rPr>
        <w:t xml:space="preserve">; </w:t>
      </w:r>
      <w:r w:rsidR="00D05174" w:rsidRPr="00FD415B">
        <w:rPr>
          <w:lang w:val="en-US"/>
        </w:rPr>
        <w:t>Tsuruga NPP, Chapman et al., 2014; Diablo Canion NPP</w:t>
      </w:r>
      <w:r w:rsidR="000F1682" w:rsidRPr="00FD415B">
        <w:rPr>
          <w:lang w:val="en-US"/>
        </w:rPr>
        <w:t xml:space="preserve">, </w:t>
      </w:r>
      <w:r w:rsidR="00D05174" w:rsidRPr="00FD415B">
        <w:rPr>
          <w:lang w:val="en-US"/>
        </w:rPr>
        <w:t>U</w:t>
      </w:r>
      <w:r w:rsidR="00187C4D">
        <w:rPr>
          <w:lang w:val="en-US"/>
        </w:rPr>
        <w:t>.</w:t>
      </w:r>
      <w:r w:rsidR="00D05174" w:rsidRPr="00FD415B">
        <w:rPr>
          <w:lang w:val="en-US"/>
        </w:rPr>
        <w:t>S</w:t>
      </w:r>
      <w:r w:rsidR="00187C4D">
        <w:rPr>
          <w:lang w:val="en-US"/>
        </w:rPr>
        <w:t>.</w:t>
      </w:r>
      <w:r w:rsidR="00D05174" w:rsidRPr="00FD415B">
        <w:rPr>
          <w:lang w:val="en-US"/>
        </w:rPr>
        <w:t>NRC</w:t>
      </w:r>
      <w:r w:rsidR="00A36F82" w:rsidRPr="00FD415B">
        <w:rPr>
          <w:lang w:val="en-US"/>
        </w:rPr>
        <w:t>,</w:t>
      </w:r>
      <w:r w:rsidR="00CA0EB3">
        <w:rPr>
          <w:lang w:val="en-US"/>
        </w:rPr>
        <w:t xml:space="preserve"> </w:t>
      </w:r>
      <w:r w:rsidR="00A36F82" w:rsidRPr="00FD415B">
        <w:rPr>
          <w:lang w:val="en-US"/>
        </w:rPr>
        <w:t>2012</w:t>
      </w:r>
      <w:r w:rsidR="00D05174" w:rsidRPr="00FD415B">
        <w:rPr>
          <w:lang w:val="en-US"/>
        </w:rPr>
        <w:t xml:space="preserve">; </w:t>
      </w:r>
      <w:r w:rsidR="000F1682" w:rsidRPr="00FD415B">
        <w:rPr>
          <w:lang w:val="en-US"/>
        </w:rPr>
        <w:t>Krsko</w:t>
      </w:r>
      <w:r w:rsidR="00D05174" w:rsidRPr="00FD415B">
        <w:rPr>
          <w:lang w:val="en-US"/>
        </w:rPr>
        <w:t xml:space="preserve">, </w:t>
      </w:r>
      <w:r w:rsidR="003B069C" w:rsidRPr="00FD415B">
        <w:rPr>
          <w:lang w:val="en-US"/>
        </w:rPr>
        <w:t>SNSA, 2013</w:t>
      </w:r>
      <w:r w:rsidR="000F1682" w:rsidRPr="00FD415B">
        <w:rPr>
          <w:lang w:val="en-US"/>
        </w:rPr>
        <w:t>)</w:t>
      </w:r>
      <w:r w:rsidR="000F1682">
        <w:rPr>
          <w:lang w:val="en-US"/>
        </w:rPr>
        <w:t xml:space="preserve">. </w:t>
      </w:r>
      <w:r w:rsidR="003B069C">
        <w:rPr>
          <w:lang w:val="en-US"/>
        </w:rPr>
        <w:t xml:space="preserve">Screening out surface faulting hazards solely by referring to the results of the siting process should therefore be done with care. Screening must </w:t>
      </w:r>
      <w:r w:rsidR="00524282">
        <w:rPr>
          <w:lang w:val="en-US"/>
        </w:rPr>
        <w:t xml:space="preserve">consider master and splay faults, which are related to the earthquake source, and secondary faults which are not related to the seismogenic source </w:t>
      </w:r>
    </w:p>
    <w:p w:rsidR="00524282" w:rsidRDefault="00524282" w:rsidP="00DE5513">
      <w:pPr>
        <w:pStyle w:val="Paragraphedeliste"/>
        <w:spacing w:after="0" w:line="240" w:lineRule="auto"/>
        <w:ind w:left="0"/>
        <w:contextualSpacing w:val="0"/>
        <w:rPr>
          <w:lang w:val="en-US"/>
        </w:rPr>
      </w:pPr>
    </w:p>
    <w:p w:rsidR="00524282" w:rsidRPr="00524282" w:rsidRDefault="00FA7DEE" w:rsidP="00923C7F">
      <w:pPr>
        <w:pStyle w:val="Paragraphedeliste"/>
        <w:spacing w:after="0" w:line="240" w:lineRule="auto"/>
        <w:ind w:left="0"/>
        <w:contextualSpacing w:val="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4.35pt;height:227.45pt">
            <v:imagedata r:id="rId15" o:title="Fig_Secondary_Faults"/>
          </v:shape>
        </w:pict>
      </w:r>
    </w:p>
    <w:p w:rsidR="009C74C3" w:rsidRDefault="009C74C3" w:rsidP="00524282">
      <w:pPr>
        <w:pStyle w:val="Lgende"/>
        <w:jc w:val="center"/>
      </w:pPr>
    </w:p>
    <w:p w:rsidR="00524282" w:rsidRPr="00923C7F" w:rsidRDefault="009C74C3" w:rsidP="00524282">
      <w:pPr>
        <w:pStyle w:val="Lgende"/>
        <w:jc w:val="center"/>
        <w:rPr>
          <w:i/>
        </w:rPr>
      </w:pPr>
      <w:bookmarkStart w:id="61" w:name="_Toc456012037"/>
      <w:r>
        <w:t xml:space="preserve">Figure </w:t>
      </w:r>
      <w:r>
        <w:fldChar w:fldCharType="begin"/>
      </w:r>
      <w:r>
        <w:instrText xml:space="preserve"> SEQ Figure \* ARABIC </w:instrText>
      </w:r>
      <w:r>
        <w:fldChar w:fldCharType="separate"/>
      </w:r>
      <w:r w:rsidR="00173034">
        <w:rPr>
          <w:noProof/>
        </w:rPr>
        <w:t>1</w:t>
      </w:r>
      <w:r>
        <w:fldChar w:fldCharType="end"/>
      </w:r>
      <w:r w:rsidR="00CB4C33">
        <w:t>:</w:t>
      </w:r>
      <w:r>
        <w:t xml:space="preserve"> </w:t>
      </w:r>
      <w:r w:rsidR="00923C7F">
        <w:t xml:space="preserve">Terminology of capable faults: master fault, secondary fault, </w:t>
      </w:r>
      <w:r w:rsidR="00CA0EB3">
        <w:t>splay</w:t>
      </w:r>
      <w:r w:rsidR="00CB4C33">
        <w:t xml:space="preserve"> </w:t>
      </w:r>
      <w:r w:rsidR="00923C7F">
        <w:t>fault</w:t>
      </w:r>
      <w:r w:rsidR="00524282">
        <w:t xml:space="preserve">. </w:t>
      </w:r>
      <w:r w:rsidR="00524282" w:rsidRPr="00923C7F">
        <w:rPr>
          <w:i/>
        </w:rPr>
        <w:t>[Fig_Secondary_Faults.JPG]</w:t>
      </w:r>
      <w:bookmarkEnd w:id="61"/>
    </w:p>
    <w:p w:rsidR="00524282" w:rsidRPr="00FD415B" w:rsidRDefault="00524282" w:rsidP="00FD415B">
      <w:pPr>
        <w:ind w:left="120"/>
        <w:rPr>
          <w:lang w:val="en-US"/>
        </w:rPr>
      </w:pPr>
    </w:p>
    <w:p w:rsidR="002E4C6B" w:rsidRDefault="002E4C6B" w:rsidP="00FD415B">
      <w:pPr>
        <w:ind w:left="120"/>
        <w:rPr>
          <w:lang w:val="en-US"/>
        </w:rPr>
      </w:pPr>
    </w:p>
    <w:p w:rsidR="002E4C6B" w:rsidRDefault="00935413" w:rsidP="00FD415B">
      <w:pPr>
        <w:ind w:left="120"/>
        <w:rPr>
          <w:lang w:val="en-US"/>
        </w:rPr>
      </w:pPr>
      <w:r w:rsidRPr="00FD415B">
        <w:rPr>
          <w:b/>
          <w:i/>
          <w:lang w:val="en-US"/>
        </w:rPr>
        <w:t>Liquefaction, lateral spreading (N4):</w:t>
      </w:r>
      <w:r>
        <w:rPr>
          <w:lang w:val="en-US"/>
        </w:rPr>
        <w:t xml:space="preserve"> </w:t>
      </w:r>
      <w:r w:rsidR="006E25C8">
        <w:rPr>
          <w:lang w:val="en-US"/>
        </w:rPr>
        <w:t xml:space="preserve">The phenomena can </w:t>
      </w:r>
      <w:r>
        <w:rPr>
          <w:lang w:val="en-US"/>
        </w:rPr>
        <w:t>be screened out by</w:t>
      </w:r>
      <w:r w:rsidR="00AA19FC">
        <w:rPr>
          <w:lang w:val="en-US"/>
        </w:rPr>
        <w:t xml:space="preserve"> the</w:t>
      </w:r>
      <w:r>
        <w:rPr>
          <w:lang w:val="en-US"/>
        </w:rPr>
        <w:t xml:space="preserve"> physical impossibility </w:t>
      </w:r>
      <w:r w:rsidR="00AA19FC">
        <w:rPr>
          <w:lang w:val="en-US"/>
        </w:rPr>
        <w:t>of li</w:t>
      </w:r>
      <w:r w:rsidR="00AA19FC">
        <w:rPr>
          <w:lang w:val="en-US"/>
        </w:rPr>
        <w:t>q</w:t>
      </w:r>
      <w:r w:rsidR="00AA19FC">
        <w:rPr>
          <w:lang w:val="en-US"/>
        </w:rPr>
        <w:t xml:space="preserve">uefaction to occur because a facility is </w:t>
      </w:r>
      <w:r w:rsidR="006E25C8">
        <w:rPr>
          <w:lang w:val="en-US"/>
        </w:rPr>
        <w:t xml:space="preserve">founded on </w:t>
      </w:r>
      <w:r>
        <w:rPr>
          <w:lang w:val="en-US"/>
        </w:rPr>
        <w:t>rock, consolidated sediments</w:t>
      </w:r>
      <w:r w:rsidR="006E25C8">
        <w:rPr>
          <w:lang w:val="en-US"/>
        </w:rPr>
        <w:t xml:space="preserve">, or stiff soil which </w:t>
      </w:r>
      <w:r w:rsidR="006E25C8" w:rsidRPr="000F1682">
        <w:rPr>
          <w:lang w:val="en-US"/>
        </w:rPr>
        <w:t>is not susce</w:t>
      </w:r>
      <w:r w:rsidR="006E25C8" w:rsidRPr="000F1682">
        <w:rPr>
          <w:lang w:val="en-US"/>
        </w:rPr>
        <w:t>p</w:t>
      </w:r>
      <w:r w:rsidR="006E25C8" w:rsidRPr="000F1682">
        <w:rPr>
          <w:lang w:val="en-US"/>
        </w:rPr>
        <w:t>tible to liquefaction.</w:t>
      </w:r>
      <w:r w:rsidRPr="000F1682">
        <w:rPr>
          <w:lang w:val="en-US"/>
        </w:rPr>
        <w:t xml:space="preserve"> </w:t>
      </w:r>
      <w:r w:rsidR="006E25C8" w:rsidRPr="000F1682">
        <w:rPr>
          <w:lang w:val="en-US"/>
        </w:rPr>
        <w:t>For other sites m</w:t>
      </w:r>
      <w:r w:rsidRPr="000F1682">
        <w:rPr>
          <w:lang w:val="en-US"/>
        </w:rPr>
        <w:t xml:space="preserve">ore detailed analyses </w:t>
      </w:r>
      <w:r w:rsidR="006E25C8" w:rsidRPr="000F1682">
        <w:rPr>
          <w:lang w:val="en-US"/>
        </w:rPr>
        <w:t xml:space="preserve">and data are </w:t>
      </w:r>
      <w:r w:rsidRPr="000F1682">
        <w:rPr>
          <w:lang w:val="en-US"/>
        </w:rPr>
        <w:t>require</w:t>
      </w:r>
      <w:r w:rsidR="006E25C8" w:rsidRPr="000F1682">
        <w:rPr>
          <w:lang w:val="en-US"/>
        </w:rPr>
        <w:t>d</w:t>
      </w:r>
      <w:r w:rsidR="00AA19FC" w:rsidRPr="000F1682">
        <w:rPr>
          <w:lang w:val="en-US"/>
        </w:rPr>
        <w:t xml:space="preserve">. These </w:t>
      </w:r>
      <w:r w:rsidR="006E25C8" w:rsidRPr="000F1682">
        <w:rPr>
          <w:lang w:val="en-US"/>
        </w:rPr>
        <w:t>includ</w:t>
      </w:r>
      <w:r w:rsidR="00AA19FC" w:rsidRPr="000F1682">
        <w:rPr>
          <w:lang w:val="en-US"/>
        </w:rPr>
        <w:t>e</w:t>
      </w:r>
      <w:r w:rsidR="006E25C8" w:rsidRPr="000F1682">
        <w:rPr>
          <w:lang w:val="en-US"/>
        </w:rPr>
        <w:t xml:space="preserve"> </w:t>
      </w:r>
      <w:r w:rsidRPr="000F1682">
        <w:rPr>
          <w:lang w:val="en-US"/>
        </w:rPr>
        <w:t xml:space="preserve">detailed </w:t>
      </w:r>
      <w:r w:rsidR="006E25C8" w:rsidRPr="000F1682">
        <w:rPr>
          <w:lang w:val="en-US"/>
        </w:rPr>
        <w:t xml:space="preserve">data </w:t>
      </w:r>
      <w:r w:rsidR="00AA19FC" w:rsidRPr="000F1682">
        <w:rPr>
          <w:lang w:val="en-US"/>
        </w:rPr>
        <w:t xml:space="preserve">of the </w:t>
      </w:r>
      <w:r w:rsidRPr="000F1682">
        <w:rPr>
          <w:lang w:val="en-US"/>
        </w:rPr>
        <w:t>soil properties</w:t>
      </w:r>
      <w:r w:rsidR="00AA19FC" w:rsidRPr="000F1682">
        <w:rPr>
          <w:lang w:val="en-US"/>
        </w:rPr>
        <w:t xml:space="preserve"> below the site, </w:t>
      </w:r>
      <w:r w:rsidR="000F1682" w:rsidRPr="000F1682">
        <w:rPr>
          <w:lang w:val="en-US"/>
        </w:rPr>
        <w:t xml:space="preserve">and </w:t>
      </w:r>
      <w:r w:rsidRPr="000F1682">
        <w:rPr>
          <w:lang w:val="en-US"/>
        </w:rPr>
        <w:t xml:space="preserve">ground motion parameters </w:t>
      </w:r>
      <w:r w:rsidR="00AA19FC" w:rsidRPr="000F1682">
        <w:rPr>
          <w:lang w:val="en-US"/>
        </w:rPr>
        <w:t xml:space="preserve">and occurrence frequencies of expected earthquakes </w:t>
      </w:r>
      <w:r w:rsidRPr="000F1682">
        <w:rPr>
          <w:lang w:val="en-US"/>
        </w:rPr>
        <w:t xml:space="preserve">(ground acceleration, duration of shaking, number of loading cycles). The </w:t>
      </w:r>
      <w:r w:rsidR="00C17E68">
        <w:rPr>
          <w:lang w:val="en-US"/>
        </w:rPr>
        <w:t>probability</w:t>
      </w:r>
      <w:r w:rsidRPr="000F1682">
        <w:rPr>
          <w:lang w:val="en-US"/>
        </w:rPr>
        <w:t xml:space="preserve"> of events with ground motion parameters exceeding the liquefaction threshold may be derived from conventional seismic hazard analysis.</w:t>
      </w:r>
    </w:p>
    <w:p w:rsidR="00935413" w:rsidRDefault="00935413" w:rsidP="00FD415B">
      <w:pPr>
        <w:ind w:left="120"/>
        <w:rPr>
          <w:lang w:val="en-US"/>
        </w:rPr>
      </w:pPr>
      <w:r w:rsidRPr="00FD415B">
        <w:rPr>
          <w:b/>
          <w:i/>
          <w:lang w:val="en-US"/>
        </w:rPr>
        <w:t>Dynamic compaction (seismically induced soil settlement) (N5) :</w:t>
      </w:r>
      <w:r>
        <w:rPr>
          <w:lang w:val="en-US"/>
        </w:rPr>
        <w:t xml:space="preserve"> </w:t>
      </w:r>
      <w:r w:rsidR="00C17E68">
        <w:rPr>
          <w:lang w:val="en-US"/>
        </w:rPr>
        <w:t xml:space="preserve">see paragraph </w:t>
      </w:r>
      <w:r w:rsidR="00C17E68" w:rsidRPr="00C17E68">
        <w:rPr>
          <w:lang w:val="en-US"/>
        </w:rPr>
        <w:t xml:space="preserve">above </w:t>
      </w:r>
      <w:r w:rsidRPr="00C17E68">
        <w:rPr>
          <w:lang w:val="en-US"/>
        </w:rPr>
        <w:t>(N4)</w:t>
      </w:r>
      <w:r w:rsidR="00C17E68" w:rsidRPr="00C17E68">
        <w:rPr>
          <w:lang w:val="en-US"/>
        </w:rPr>
        <w:t>.</w:t>
      </w:r>
    </w:p>
    <w:p w:rsidR="00432890" w:rsidRDefault="00432890" w:rsidP="00FD415B">
      <w:pPr>
        <w:ind w:left="120"/>
        <w:rPr>
          <w:lang w:val="en-US"/>
        </w:rPr>
      </w:pPr>
    </w:p>
    <w:p w:rsidR="00935413" w:rsidRDefault="00935413" w:rsidP="00FD415B">
      <w:pPr>
        <w:ind w:left="120"/>
        <w:rPr>
          <w:lang w:val="en-US"/>
        </w:rPr>
      </w:pPr>
      <w:r w:rsidRPr="00FD415B">
        <w:rPr>
          <w:b/>
          <w:i/>
          <w:lang w:val="en-US"/>
        </w:rPr>
        <w:lastRenderedPageBreak/>
        <w:t>Permanent ground displacement subsequent to earthquake (N6) :</w:t>
      </w:r>
      <w:r>
        <w:rPr>
          <w:lang w:val="en-US"/>
        </w:rPr>
        <w:t xml:space="preserve"> </w:t>
      </w:r>
      <w:r w:rsidR="00992223">
        <w:rPr>
          <w:lang w:val="en-US"/>
        </w:rPr>
        <w:t>The hazard can</w:t>
      </w:r>
      <w:r>
        <w:rPr>
          <w:lang w:val="en-US"/>
        </w:rPr>
        <w:t xml:space="preserve"> be screened out by physical impossibility </w:t>
      </w:r>
      <w:r w:rsidR="006E25C8">
        <w:rPr>
          <w:lang w:val="en-US"/>
        </w:rPr>
        <w:t>in cases where</w:t>
      </w:r>
      <w:r w:rsidR="00992223">
        <w:rPr>
          <w:lang w:val="en-US"/>
        </w:rPr>
        <w:t xml:space="preserve"> </w:t>
      </w:r>
      <w:r>
        <w:rPr>
          <w:lang w:val="en-US"/>
        </w:rPr>
        <w:t xml:space="preserve">no faults </w:t>
      </w:r>
      <w:r w:rsidR="006E25C8">
        <w:rPr>
          <w:lang w:val="en-US"/>
        </w:rPr>
        <w:t xml:space="preserve">are </w:t>
      </w:r>
      <w:r>
        <w:rPr>
          <w:lang w:val="en-US"/>
        </w:rPr>
        <w:t xml:space="preserve">present which </w:t>
      </w:r>
      <w:r w:rsidR="006E25C8">
        <w:rPr>
          <w:lang w:val="en-US"/>
        </w:rPr>
        <w:t xml:space="preserve">may </w:t>
      </w:r>
      <w:r>
        <w:rPr>
          <w:lang w:val="en-US"/>
        </w:rPr>
        <w:t>lead to significant permanent uplift / subsidence of the site</w:t>
      </w:r>
      <w:r w:rsidR="006E25C8">
        <w:rPr>
          <w:lang w:val="en-US"/>
        </w:rPr>
        <w:t xml:space="preserve">. The hazard cannot be screened out for sites which are located in the </w:t>
      </w:r>
      <w:r w:rsidR="00CF6AEA">
        <w:rPr>
          <w:lang w:val="en-US"/>
        </w:rPr>
        <w:t>vinicity of faults which may acc</w:t>
      </w:r>
      <w:r w:rsidR="00CF6AEA">
        <w:rPr>
          <w:lang w:val="en-US"/>
        </w:rPr>
        <w:t>u</w:t>
      </w:r>
      <w:r w:rsidR="00CF6AEA">
        <w:rPr>
          <w:lang w:val="en-US"/>
        </w:rPr>
        <w:t xml:space="preserve">mulate significant vertical displacement during a seismic event. These are sites in the </w:t>
      </w:r>
      <w:r w:rsidR="006E25C8">
        <w:rPr>
          <w:lang w:val="en-US"/>
        </w:rPr>
        <w:t>hangingwall of subduction zones</w:t>
      </w:r>
      <w:r w:rsidR="00CF6AEA">
        <w:rPr>
          <w:lang w:val="en-US"/>
        </w:rPr>
        <w:t xml:space="preserve"> or large thrust faults, and locations in the hangingwall / footwall of large normal faults.</w:t>
      </w:r>
    </w:p>
    <w:p w:rsidR="007B2D9D" w:rsidRPr="00DE5513" w:rsidRDefault="007B2D9D" w:rsidP="00DE5513">
      <w:pPr>
        <w:pStyle w:val="Paragraphedeliste"/>
        <w:spacing w:after="0" w:line="240" w:lineRule="auto"/>
        <w:ind w:left="0"/>
        <w:contextualSpacing w:val="0"/>
        <w:rPr>
          <w:lang w:val="en-US"/>
        </w:rPr>
      </w:pPr>
    </w:p>
    <w:p w:rsidR="001E747B" w:rsidRDefault="00187C4D" w:rsidP="001E747B">
      <w:pPr>
        <w:pStyle w:val="Titre1"/>
        <w:keepNext w:val="0"/>
        <w:keepLines/>
        <w:widowControl w:val="0"/>
        <w:tabs>
          <w:tab w:val="num" w:pos="567"/>
        </w:tabs>
        <w:spacing w:before="0" w:after="240"/>
        <w:ind w:left="567" w:hanging="567"/>
        <w:jc w:val="both"/>
      </w:pPr>
      <w:r w:rsidRPr="00CA52EA">
        <w:rPr>
          <w:rStyle w:val="CorpsdetexteCar"/>
        </w:rPr>
        <w:br w:type="page"/>
      </w:r>
      <w:bookmarkStart w:id="62" w:name="_Toc456011884"/>
      <w:r w:rsidR="00103F85">
        <w:lastRenderedPageBreak/>
        <w:t>D</w:t>
      </w:r>
      <w:r w:rsidR="00C37747">
        <w:t>a</w:t>
      </w:r>
      <w:r w:rsidR="00103F85">
        <w:t>tabase</w:t>
      </w:r>
      <w:bookmarkEnd w:id="62"/>
    </w:p>
    <w:p w:rsidR="00597D1C" w:rsidRDefault="001A21F1" w:rsidP="00676E8A">
      <w:pPr>
        <w:pStyle w:val="Titre2"/>
        <w:rPr>
          <w:lang w:val="en-US"/>
        </w:rPr>
      </w:pPr>
      <w:bookmarkStart w:id="63" w:name="_Toc456011885"/>
      <w:r>
        <w:rPr>
          <w:lang w:val="en-US"/>
        </w:rPr>
        <w:t xml:space="preserve">Data </w:t>
      </w:r>
      <w:r w:rsidR="00103F85">
        <w:rPr>
          <w:lang w:val="en-US"/>
        </w:rPr>
        <w:t xml:space="preserve">for </w:t>
      </w:r>
      <w:r w:rsidR="00A25DF9">
        <w:rPr>
          <w:lang w:val="en-US"/>
        </w:rPr>
        <w:t xml:space="preserve">the </w:t>
      </w:r>
      <w:r w:rsidR="00103F85">
        <w:rPr>
          <w:lang w:val="en-US"/>
        </w:rPr>
        <w:t>assessment</w:t>
      </w:r>
      <w:r w:rsidR="00A25DF9">
        <w:rPr>
          <w:lang w:val="en-US"/>
        </w:rPr>
        <w:t xml:space="preserve"> of seismotectonic hazards</w:t>
      </w:r>
      <w:bookmarkEnd w:id="63"/>
    </w:p>
    <w:p w:rsidR="00A25DF9" w:rsidRDefault="00A25DF9" w:rsidP="00A25DF9">
      <w:pPr>
        <w:pStyle w:val="Titre3"/>
        <w:rPr>
          <w:lang w:val="en-US"/>
        </w:rPr>
      </w:pPr>
      <w:bookmarkStart w:id="64" w:name="_Ref431201835"/>
      <w:bookmarkStart w:id="65" w:name="_Ref431201839"/>
      <w:bookmarkStart w:id="66" w:name="_Toc456011886"/>
      <w:r>
        <w:rPr>
          <w:lang w:val="en-US"/>
        </w:rPr>
        <w:t>Data for assessing vibratory ground motion hazards</w:t>
      </w:r>
      <w:bookmarkEnd w:id="64"/>
      <w:bookmarkEnd w:id="65"/>
      <w:bookmarkEnd w:id="66"/>
    </w:p>
    <w:p w:rsidR="001E0520" w:rsidRDefault="000F4581" w:rsidP="00E52C15">
      <w:pPr>
        <w:ind w:left="120"/>
        <w:rPr>
          <w:lang w:val="en-US"/>
        </w:rPr>
      </w:pPr>
      <w:r>
        <w:rPr>
          <w:lang w:val="en-US"/>
        </w:rPr>
        <w:t>The kinds of data and the detailledness required for d</w:t>
      </w:r>
      <w:r w:rsidR="00E01D15" w:rsidRPr="00752D77">
        <w:rPr>
          <w:lang w:val="en-US"/>
        </w:rPr>
        <w:t xml:space="preserve">ata </w:t>
      </w:r>
      <w:r>
        <w:rPr>
          <w:lang w:val="en-US"/>
        </w:rPr>
        <w:t xml:space="preserve">collection in preparation </w:t>
      </w:r>
      <w:r w:rsidR="00E01D15" w:rsidRPr="00752D77">
        <w:rPr>
          <w:lang w:val="en-US"/>
        </w:rPr>
        <w:t xml:space="preserve">for </w:t>
      </w:r>
      <w:r w:rsidR="003E74B9">
        <w:rPr>
          <w:lang w:val="en-US"/>
        </w:rPr>
        <w:t>seismic</w:t>
      </w:r>
      <w:r w:rsidR="00E01D15" w:rsidRPr="00752D77">
        <w:rPr>
          <w:lang w:val="en-US"/>
        </w:rPr>
        <w:t xml:space="preserve"> hazard evalu</w:t>
      </w:r>
      <w:r w:rsidR="00E01D15" w:rsidRPr="00752D77">
        <w:rPr>
          <w:lang w:val="en-US"/>
        </w:rPr>
        <w:t>a</w:t>
      </w:r>
      <w:r w:rsidR="00E01D15" w:rsidRPr="00752D77">
        <w:rPr>
          <w:lang w:val="en-US"/>
        </w:rPr>
        <w:t>tion</w:t>
      </w:r>
      <w:r>
        <w:rPr>
          <w:lang w:val="en-US"/>
        </w:rPr>
        <w:t>s</w:t>
      </w:r>
      <w:r w:rsidR="00E01D15" w:rsidRPr="00752D77">
        <w:rPr>
          <w:lang w:val="en-US"/>
        </w:rPr>
        <w:t xml:space="preserve"> </w:t>
      </w:r>
      <w:r>
        <w:rPr>
          <w:lang w:val="en-US"/>
        </w:rPr>
        <w:t xml:space="preserve">should generally follow the graded approach proposed </w:t>
      </w:r>
      <w:r w:rsidR="003E74B9">
        <w:rPr>
          <w:lang w:val="en-US"/>
        </w:rPr>
        <w:t xml:space="preserve">by </w:t>
      </w:r>
      <w:r w:rsidR="00E01D15" w:rsidRPr="00752D77">
        <w:rPr>
          <w:lang w:val="en-US"/>
        </w:rPr>
        <w:t xml:space="preserve">IAEA </w:t>
      </w:r>
      <w:r w:rsidR="003E74B9">
        <w:rPr>
          <w:lang w:val="en-US"/>
        </w:rPr>
        <w:t>(2009</w:t>
      </w:r>
      <w:r w:rsidR="00C17E68">
        <w:rPr>
          <w:lang w:val="en-US"/>
        </w:rPr>
        <w:t xml:space="preserve"> </w:t>
      </w:r>
      <w:r w:rsidR="003E74B9" w:rsidRPr="00086A42">
        <w:rPr>
          <w:color w:val="2E74B5"/>
          <w:lang w:val="en-US"/>
        </w:rPr>
        <w:t>SSG 9</w:t>
      </w:r>
      <w:r w:rsidR="003E74B9">
        <w:rPr>
          <w:lang w:val="en-US"/>
        </w:rPr>
        <w:t>)</w:t>
      </w:r>
      <w:r>
        <w:rPr>
          <w:lang w:val="en-US"/>
        </w:rPr>
        <w:t xml:space="preserve">. In this paper IAEA suggests </w:t>
      </w:r>
      <w:r w:rsidR="00E52C15">
        <w:rPr>
          <w:lang w:val="en-US"/>
        </w:rPr>
        <w:t xml:space="preserve">to </w:t>
      </w:r>
      <w:r>
        <w:rPr>
          <w:lang w:val="en-US"/>
        </w:rPr>
        <w:t>i</w:t>
      </w:r>
      <w:r>
        <w:rPr>
          <w:lang w:val="en-US"/>
        </w:rPr>
        <w:t>n</w:t>
      </w:r>
      <w:r>
        <w:rPr>
          <w:lang w:val="en-US"/>
        </w:rPr>
        <w:t>creas</w:t>
      </w:r>
      <w:r w:rsidR="00E52C15">
        <w:rPr>
          <w:lang w:val="en-US"/>
        </w:rPr>
        <w:t>e</w:t>
      </w:r>
      <w:r>
        <w:rPr>
          <w:lang w:val="en-US"/>
        </w:rPr>
        <w:t xml:space="preserve"> detailledness and efforts </w:t>
      </w:r>
      <w:r w:rsidR="00E52C15">
        <w:rPr>
          <w:lang w:val="en-US"/>
        </w:rPr>
        <w:t>for data collection with decreasing distance from the utility. IAEA discerns b</w:t>
      </w:r>
      <w:r w:rsidR="00E52C15">
        <w:rPr>
          <w:lang w:val="en-US"/>
        </w:rPr>
        <w:t>e</w:t>
      </w:r>
      <w:r w:rsidR="00E52C15">
        <w:rPr>
          <w:lang w:val="en-US"/>
        </w:rPr>
        <w:t>tween r</w:t>
      </w:r>
      <w:r w:rsidR="003E74B9">
        <w:rPr>
          <w:lang w:val="en-US"/>
        </w:rPr>
        <w:t xml:space="preserve">egional </w:t>
      </w:r>
      <w:r w:rsidR="00E52C15">
        <w:rPr>
          <w:lang w:val="en-US"/>
        </w:rPr>
        <w:t>(</w:t>
      </w:r>
      <w:r w:rsidR="00086B52">
        <w:rPr>
          <w:lang w:val="en-US"/>
        </w:rPr>
        <w:t xml:space="preserve">RE, </w:t>
      </w:r>
      <w:r w:rsidR="00E52C15">
        <w:rPr>
          <w:lang w:val="en-US"/>
        </w:rPr>
        <w:t>typically 300 km radius from the site), near-regional (</w:t>
      </w:r>
      <w:r w:rsidR="00086B52">
        <w:rPr>
          <w:lang w:val="en-US"/>
        </w:rPr>
        <w:t xml:space="preserve">NR, </w:t>
      </w:r>
      <w:r w:rsidR="00E52C15">
        <w:rPr>
          <w:lang w:val="en-US"/>
        </w:rPr>
        <w:t>typically 25 km), site-vicinity (</w:t>
      </w:r>
      <w:r w:rsidR="00086B52">
        <w:rPr>
          <w:lang w:val="en-US"/>
        </w:rPr>
        <w:t xml:space="preserve">SV, </w:t>
      </w:r>
      <w:r w:rsidR="00E52C15">
        <w:rPr>
          <w:lang w:val="en-US"/>
        </w:rPr>
        <w:t xml:space="preserve">5 km) and site </w:t>
      </w:r>
      <w:r w:rsidR="00086B52">
        <w:rPr>
          <w:lang w:val="en-US"/>
        </w:rPr>
        <w:t xml:space="preserve">(SI) </w:t>
      </w:r>
      <w:r w:rsidR="00E52C15">
        <w:rPr>
          <w:lang w:val="en-US"/>
        </w:rPr>
        <w:t xml:space="preserve">investigations. Data collection should be as complete as possible and include the acquisition of new data. It should be noted from the beginning of a hazard assessment programme that the acquisition of new data will be a suitable </w:t>
      </w:r>
      <w:r w:rsidR="00486444">
        <w:rPr>
          <w:lang w:val="en-US"/>
        </w:rPr>
        <w:t xml:space="preserve">and </w:t>
      </w:r>
      <w:r w:rsidR="00E52C15">
        <w:rPr>
          <w:lang w:val="en-US"/>
        </w:rPr>
        <w:t xml:space="preserve">in many cases the only tool to narrow down the uncertainties of the </w:t>
      </w:r>
      <w:r w:rsidR="009D4DCD">
        <w:rPr>
          <w:lang w:val="en-US"/>
        </w:rPr>
        <w:t xml:space="preserve">outcome of the </w:t>
      </w:r>
      <w:r w:rsidR="00CA52EA">
        <w:rPr>
          <w:lang w:val="en-US"/>
        </w:rPr>
        <w:t>assessment.</w:t>
      </w:r>
    </w:p>
    <w:p w:rsidR="00E52C15" w:rsidRDefault="00E52C15" w:rsidP="00E52C15">
      <w:pPr>
        <w:ind w:left="120"/>
        <w:rPr>
          <w:lang w:val="en-US"/>
        </w:rPr>
      </w:pPr>
      <w:r>
        <w:rPr>
          <w:lang w:val="en-US"/>
        </w:rPr>
        <w:t>The collected and newly acquired data should constrain as tightly as possible the following inputs for seismic hazard assessment:</w:t>
      </w:r>
    </w:p>
    <w:p w:rsidR="00FC5C2F" w:rsidRDefault="006A5945" w:rsidP="00860D1D">
      <w:pPr>
        <w:numPr>
          <w:ilvl w:val="0"/>
          <w:numId w:val="19"/>
        </w:numPr>
        <w:rPr>
          <w:lang w:val="en-US"/>
        </w:rPr>
      </w:pPr>
      <w:r w:rsidRPr="00187C4D">
        <w:rPr>
          <w:b/>
          <w:i/>
          <w:lang w:val="en-US"/>
        </w:rPr>
        <w:t>Construction of a regional seismotectonic model.</w:t>
      </w:r>
      <w:r w:rsidRPr="00FC5C2F">
        <w:rPr>
          <w:lang w:val="en-US"/>
        </w:rPr>
        <w:t xml:space="preserve"> The aim of a seismotectonic model is to integrate all available data which describe the deformation of the Earth’s crust under the current</w:t>
      </w:r>
      <w:r w:rsidR="009E2090">
        <w:rPr>
          <w:rStyle w:val="Appelnotedebasdep"/>
          <w:lang w:val="en-US"/>
        </w:rPr>
        <w:footnoteReference w:id="5"/>
      </w:r>
      <w:r w:rsidRPr="00FC5C2F">
        <w:rPr>
          <w:lang w:val="en-US"/>
        </w:rPr>
        <w:t xml:space="preserve"> geological cond</w:t>
      </w:r>
      <w:r w:rsidRPr="00FC5C2F">
        <w:rPr>
          <w:lang w:val="en-US"/>
        </w:rPr>
        <w:t>i</w:t>
      </w:r>
      <w:r w:rsidRPr="00FC5C2F">
        <w:rPr>
          <w:lang w:val="en-US"/>
        </w:rPr>
        <w:t>tions into a coherent and self-consistent model. Such a model must not be exclusively based on seism</w:t>
      </w:r>
      <w:r w:rsidRPr="00FC5C2F">
        <w:rPr>
          <w:lang w:val="en-US"/>
        </w:rPr>
        <w:t>o</w:t>
      </w:r>
      <w:r w:rsidRPr="00FC5C2F">
        <w:rPr>
          <w:lang w:val="en-US"/>
        </w:rPr>
        <w:t xml:space="preserve">logical data. Instead, a reasonable model will integrate earthquake data, geological data, geophysical data, geomorphological data, </w:t>
      </w:r>
      <w:r w:rsidR="009E2090" w:rsidRPr="00FC5C2F">
        <w:rPr>
          <w:lang w:val="en-US"/>
        </w:rPr>
        <w:t xml:space="preserve">paleoseismolgoical data, </w:t>
      </w:r>
      <w:r w:rsidRPr="00FC5C2F">
        <w:rPr>
          <w:lang w:val="en-US"/>
        </w:rPr>
        <w:t xml:space="preserve">geodetic data, </w:t>
      </w:r>
      <w:r w:rsidR="009E2090" w:rsidRPr="00FC5C2F">
        <w:rPr>
          <w:lang w:val="en-US"/>
        </w:rPr>
        <w:t>stress data, tectonic data descri</w:t>
      </w:r>
      <w:r w:rsidR="009E2090" w:rsidRPr="00FC5C2F">
        <w:rPr>
          <w:lang w:val="en-US"/>
        </w:rPr>
        <w:t>b</w:t>
      </w:r>
      <w:r w:rsidR="009E2090" w:rsidRPr="00FC5C2F">
        <w:rPr>
          <w:lang w:val="en-US"/>
        </w:rPr>
        <w:t xml:space="preserve">ing the deformation history, etc. (see below). </w:t>
      </w:r>
      <w:r w:rsidR="005B3906">
        <w:rPr>
          <w:lang w:val="en-US"/>
        </w:rPr>
        <w:t xml:space="preserve">One of the basic imputs is a tectonic map encompassing all relevant tectonic faults (both active and inactive). </w:t>
      </w:r>
      <w:r w:rsidR="009E2090" w:rsidRPr="00FC5C2F">
        <w:rPr>
          <w:lang w:val="en-US"/>
        </w:rPr>
        <w:t xml:space="preserve">The seismotectonic model may be </w:t>
      </w:r>
      <w:r w:rsidR="00486444" w:rsidRPr="00FC5C2F">
        <w:rPr>
          <w:lang w:val="en-US"/>
        </w:rPr>
        <w:t>regarded</w:t>
      </w:r>
      <w:r w:rsidR="009E2090" w:rsidRPr="00FC5C2F">
        <w:rPr>
          <w:lang w:val="en-US"/>
        </w:rPr>
        <w:t xml:space="preserve"> as a </w:t>
      </w:r>
      <w:r w:rsidR="00E453CA">
        <w:rPr>
          <w:lang w:val="en-US"/>
        </w:rPr>
        <w:t>theory of the current tectonic e</w:t>
      </w:r>
      <w:r w:rsidR="009E2090" w:rsidRPr="00FC5C2F">
        <w:rPr>
          <w:lang w:val="en-US"/>
        </w:rPr>
        <w:t xml:space="preserve">volution of </w:t>
      </w:r>
      <w:r w:rsidR="00CA52EA">
        <w:rPr>
          <w:lang w:val="en-US"/>
        </w:rPr>
        <w:t>the region under consideration.</w:t>
      </w:r>
    </w:p>
    <w:p w:rsidR="006A5945" w:rsidRPr="00FC5C2F" w:rsidRDefault="00F23B1B" w:rsidP="00FC5C2F">
      <w:pPr>
        <w:ind w:left="840"/>
        <w:rPr>
          <w:lang w:val="en-US"/>
        </w:rPr>
      </w:pPr>
      <w:r w:rsidRPr="00FC5C2F">
        <w:rPr>
          <w:lang w:val="en-US"/>
        </w:rPr>
        <w:t>In the construction of a seismiotectonic model all relevant and scientifically supportable interpretations should be taken into account. This process may result in more than one model without being able to d</w:t>
      </w:r>
      <w:r w:rsidRPr="00FC5C2F">
        <w:rPr>
          <w:lang w:val="en-US"/>
        </w:rPr>
        <w:t>e</w:t>
      </w:r>
      <w:r w:rsidRPr="00FC5C2F">
        <w:rPr>
          <w:lang w:val="en-US"/>
        </w:rPr>
        <w:t>cide about the correctness</w:t>
      </w:r>
      <w:r w:rsidR="00486444" w:rsidRPr="00FC5C2F">
        <w:rPr>
          <w:lang w:val="en-US"/>
        </w:rPr>
        <w:t xml:space="preserve"> of the different results</w:t>
      </w:r>
      <w:r w:rsidRPr="00FC5C2F">
        <w:rPr>
          <w:lang w:val="en-US"/>
        </w:rPr>
        <w:t>. It such cases it should be decided whether the acqu</w:t>
      </w:r>
      <w:r w:rsidRPr="00FC5C2F">
        <w:rPr>
          <w:lang w:val="en-US"/>
        </w:rPr>
        <w:t>i</w:t>
      </w:r>
      <w:r w:rsidRPr="00FC5C2F">
        <w:rPr>
          <w:lang w:val="en-US"/>
        </w:rPr>
        <w:t>sition of new data may reduce the number of possible models (</w:t>
      </w:r>
      <w:r w:rsidR="009D4DCD">
        <w:rPr>
          <w:lang w:val="en-US"/>
        </w:rPr>
        <w:t>thereby</w:t>
      </w:r>
      <w:r w:rsidRPr="00FC5C2F">
        <w:rPr>
          <w:lang w:val="en-US"/>
        </w:rPr>
        <w:t xml:space="preserve"> decreas</w:t>
      </w:r>
      <w:r w:rsidR="009D4DCD">
        <w:rPr>
          <w:lang w:val="en-US"/>
        </w:rPr>
        <w:t>ing</w:t>
      </w:r>
      <w:r w:rsidRPr="00FC5C2F">
        <w:rPr>
          <w:lang w:val="en-US"/>
        </w:rPr>
        <w:t xml:space="preserve"> uncertainty) or it is necessary to propagate the uncertainty of different models in a probabilistic approach</w:t>
      </w:r>
      <w:r w:rsidR="009D4DCD">
        <w:rPr>
          <w:lang w:val="en-US"/>
        </w:rPr>
        <w:t>, e.g., by adopting a logic tree</w:t>
      </w:r>
      <w:r w:rsidRPr="00FC5C2F">
        <w:rPr>
          <w:lang w:val="en-US"/>
        </w:rPr>
        <w:t xml:space="preserve">. </w:t>
      </w:r>
      <w:r w:rsidR="00C80063" w:rsidRPr="00FC5C2F">
        <w:rPr>
          <w:lang w:val="en-US"/>
        </w:rPr>
        <w:t>In the latter case all reasonable models should be weighted and considered in the final ha</w:t>
      </w:r>
      <w:r w:rsidR="00C80063" w:rsidRPr="00FC5C2F">
        <w:rPr>
          <w:lang w:val="en-US"/>
        </w:rPr>
        <w:t>z</w:t>
      </w:r>
      <w:r w:rsidR="00C80063" w:rsidRPr="00FC5C2F">
        <w:rPr>
          <w:lang w:val="en-US"/>
        </w:rPr>
        <w:t>ard evaluation.</w:t>
      </w:r>
    </w:p>
    <w:p w:rsidR="00F23B1B" w:rsidRDefault="00F23B1B" w:rsidP="00F23B1B">
      <w:pPr>
        <w:ind w:left="840"/>
        <w:rPr>
          <w:lang w:val="en-US"/>
        </w:rPr>
      </w:pPr>
      <w:r>
        <w:rPr>
          <w:lang w:val="en-US"/>
        </w:rPr>
        <w:t>The construction of a plausible and well supported seismotectonic model is re</w:t>
      </w:r>
      <w:r w:rsidR="00CB4C33">
        <w:rPr>
          <w:lang w:val="en-US"/>
        </w:rPr>
        <w:t>g</w:t>
      </w:r>
      <w:r>
        <w:rPr>
          <w:lang w:val="en-US"/>
        </w:rPr>
        <w:t xml:space="preserve">arded as a key step </w:t>
      </w:r>
      <w:r w:rsidR="00FC5C2F">
        <w:rPr>
          <w:lang w:val="en-US"/>
        </w:rPr>
        <w:t>b</w:t>
      </w:r>
      <w:r w:rsidR="00FC5C2F">
        <w:rPr>
          <w:lang w:val="en-US"/>
        </w:rPr>
        <w:t>e</w:t>
      </w:r>
      <w:r w:rsidR="00FC5C2F">
        <w:rPr>
          <w:lang w:val="en-US"/>
        </w:rPr>
        <w:t>cause</w:t>
      </w:r>
      <w:r>
        <w:rPr>
          <w:lang w:val="en-US"/>
        </w:rPr>
        <w:t xml:space="preserve"> many important decisions in </w:t>
      </w:r>
      <w:r w:rsidR="00486444">
        <w:rPr>
          <w:lang w:val="en-US"/>
        </w:rPr>
        <w:t xml:space="preserve">the </w:t>
      </w:r>
      <w:r>
        <w:rPr>
          <w:lang w:val="en-US"/>
        </w:rPr>
        <w:t>subsequent seismic hazard assessment</w:t>
      </w:r>
      <w:r w:rsidR="00486444">
        <w:rPr>
          <w:lang w:val="en-US"/>
        </w:rPr>
        <w:t xml:space="preserve"> procedure will depend on it</w:t>
      </w:r>
      <w:r>
        <w:rPr>
          <w:lang w:val="en-US"/>
        </w:rPr>
        <w:t xml:space="preserve"> </w:t>
      </w:r>
      <w:r w:rsidR="00C17E68">
        <w:rPr>
          <w:lang w:val="en-US"/>
        </w:rPr>
        <w:t>such as the</w:t>
      </w:r>
      <w:r>
        <w:rPr>
          <w:lang w:val="en-US"/>
        </w:rPr>
        <w:t xml:space="preserve"> selection of seismic so</w:t>
      </w:r>
      <w:r w:rsidR="00E453CA">
        <w:rPr>
          <w:lang w:val="en-US"/>
        </w:rPr>
        <w:t>u</w:t>
      </w:r>
      <w:r>
        <w:rPr>
          <w:lang w:val="en-US"/>
        </w:rPr>
        <w:t>rces</w:t>
      </w:r>
      <w:r w:rsidR="00E453CA">
        <w:rPr>
          <w:lang w:val="en-US"/>
        </w:rPr>
        <w:t xml:space="preserve"> /</w:t>
      </w:r>
      <w:r w:rsidR="00C17E68">
        <w:rPr>
          <w:lang w:val="en-US"/>
        </w:rPr>
        <w:t xml:space="preserve"> seismic </w:t>
      </w:r>
      <w:r>
        <w:rPr>
          <w:lang w:val="en-US"/>
        </w:rPr>
        <w:t>source zones</w:t>
      </w:r>
      <w:r w:rsidR="00C17E68">
        <w:rPr>
          <w:lang w:val="en-US"/>
        </w:rPr>
        <w:t xml:space="preserve">, the </w:t>
      </w:r>
      <w:r w:rsidR="00E453CA">
        <w:rPr>
          <w:lang w:val="en-US"/>
        </w:rPr>
        <w:t xml:space="preserve">characterization </w:t>
      </w:r>
      <w:r w:rsidR="00486444">
        <w:rPr>
          <w:lang w:val="en-US"/>
        </w:rPr>
        <w:t>of potentially a</w:t>
      </w:r>
      <w:r w:rsidR="00486444">
        <w:rPr>
          <w:lang w:val="en-US"/>
        </w:rPr>
        <w:t>c</w:t>
      </w:r>
      <w:r w:rsidR="00486444">
        <w:rPr>
          <w:lang w:val="en-US"/>
        </w:rPr>
        <w:t>tive faults</w:t>
      </w:r>
      <w:r w:rsidR="00C17E68">
        <w:rPr>
          <w:lang w:val="en-US"/>
        </w:rPr>
        <w:t xml:space="preserve">, </w:t>
      </w:r>
      <w:r w:rsidR="00486444">
        <w:rPr>
          <w:lang w:val="en-US"/>
        </w:rPr>
        <w:t xml:space="preserve">fault </w:t>
      </w:r>
      <w:r>
        <w:rPr>
          <w:lang w:val="en-US"/>
        </w:rPr>
        <w:t>activity rate</w:t>
      </w:r>
      <w:r w:rsidR="00486444">
        <w:rPr>
          <w:lang w:val="en-US"/>
        </w:rPr>
        <w:t>s</w:t>
      </w:r>
      <w:r w:rsidR="00C17E68">
        <w:rPr>
          <w:lang w:val="en-US"/>
        </w:rPr>
        <w:t xml:space="preserve"> etc</w:t>
      </w:r>
      <w:r w:rsidR="00486444">
        <w:rPr>
          <w:lang w:val="en-US"/>
        </w:rPr>
        <w:t>.</w:t>
      </w:r>
    </w:p>
    <w:p w:rsidR="00FC5C2F" w:rsidRDefault="00FC5C2F" w:rsidP="00F23B1B">
      <w:pPr>
        <w:ind w:left="840"/>
        <w:rPr>
          <w:lang w:val="en-US"/>
        </w:rPr>
      </w:pPr>
      <w:r>
        <w:rPr>
          <w:lang w:val="en-US"/>
        </w:rPr>
        <w:lastRenderedPageBreak/>
        <w:t>In most if not all parts of Europe the construction of seismotectonic models will be able to benefit from recent scientific studies on seismotectonics and active tectonics, which exploded in numbe</w:t>
      </w:r>
      <w:r w:rsidR="00CA52EA">
        <w:rPr>
          <w:lang w:val="en-US"/>
        </w:rPr>
        <w:t>rs during the last two decades.</w:t>
      </w:r>
    </w:p>
    <w:p w:rsidR="00486444" w:rsidRDefault="00486444" w:rsidP="00F23B1B">
      <w:pPr>
        <w:ind w:left="840"/>
        <w:rPr>
          <w:lang w:val="en-US"/>
        </w:rPr>
      </w:pPr>
      <w:r>
        <w:rPr>
          <w:lang w:val="en-US"/>
        </w:rPr>
        <w:t xml:space="preserve">It should also be noted that a well-defined seismotectonic model which is in agreement with current scientific standards will serve as a </w:t>
      </w:r>
      <w:r w:rsidR="009D4DCD">
        <w:rPr>
          <w:lang w:val="en-US"/>
        </w:rPr>
        <w:t>strong</w:t>
      </w:r>
      <w:r>
        <w:rPr>
          <w:lang w:val="en-US"/>
        </w:rPr>
        <w:t xml:space="preserve"> </w:t>
      </w:r>
      <w:r w:rsidR="009D4DCD">
        <w:rPr>
          <w:lang w:val="en-US"/>
        </w:rPr>
        <w:t xml:space="preserve">argument </w:t>
      </w:r>
      <w:r>
        <w:rPr>
          <w:lang w:val="en-US"/>
        </w:rPr>
        <w:t xml:space="preserve">to defend the </w:t>
      </w:r>
      <w:r w:rsidR="009D4DCD">
        <w:rPr>
          <w:lang w:val="en-US"/>
        </w:rPr>
        <w:t xml:space="preserve">final </w:t>
      </w:r>
      <w:r>
        <w:rPr>
          <w:lang w:val="en-US"/>
        </w:rPr>
        <w:t xml:space="preserve">results of </w:t>
      </w:r>
      <w:r w:rsidR="009D4DCD">
        <w:rPr>
          <w:lang w:val="en-US"/>
        </w:rPr>
        <w:t xml:space="preserve">a </w:t>
      </w:r>
      <w:r>
        <w:rPr>
          <w:lang w:val="en-US"/>
        </w:rPr>
        <w:t>hazard assessment.</w:t>
      </w:r>
    </w:p>
    <w:p w:rsidR="00802DC5" w:rsidRDefault="001E0520" w:rsidP="00860D1D">
      <w:pPr>
        <w:numPr>
          <w:ilvl w:val="0"/>
          <w:numId w:val="19"/>
        </w:numPr>
        <w:rPr>
          <w:lang w:val="en-US"/>
        </w:rPr>
      </w:pPr>
      <w:r w:rsidRPr="00187C4D">
        <w:rPr>
          <w:b/>
          <w:i/>
          <w:lang w:val="en-US"/>
        </w:rPr>
        <w:t>Seismogenic structures (active faults).</w:t>
      </w:r>
      <w:r w:rsidRPr="007701F9">
        <w:rPr>
          <w:lang w:val="en-US"/>
        </w:rPr>
        <w:t xml:space="preserve"> </w:t>
      </w:r>
      <w:r w:rsidR="003C334E" w:rsidRPr="007701F9">
        <w:rPr>
          <w:lang w:val="en-US"/>
        </w:rPr>
        <w:t xml:space="preserve">Earthquakes occur on geological faults. Most parts of Europe are intra-plate areas with slow </w:t>
      </w:r>
      <w:r w:rsidR="009D4DCD" w:rsidRPr="007701F9">
        <w:rPr>
          <w:lang w:val="en-US"/>
        </w:rPr>
        <w:t xml:space="preserve">(&lt; 1 mm/year) </w:t>
      </w:r>
      <w:r w:rsidR="009D4DCD">
        <w:rPr>
          <w:lang w:val="en-US"/>
        </w:rPr>
        <w:t xml:space="preserve">or very slow (&lt; 0.1 mm/year) </w:t>
      </w:r>
      <w:r w:rsidR="003C334E" w:rsidRPr="007701F9">
        <w:rPr>
          <w:lang w:val="en-US"/>
        </w:rPr>
        <w:t>fault displacement rates pr</w:t>
      </w:r>
      <w:r w:rsidR="003C334E" w:rsidRPr="007701F9">
        <w:rPr>
          <w:lang w:val="en-US"/>
        </w:rPr>
        <w:t>o</w:t>
      </w:r>
      <w:r w:rsidR="003C334E" w:rsidRPr="007701F9">
        <w:rPr>
          <w:lang w:val="en-US"/>
        </w:rPr>
        <w:t>ducing earthquakes at recurrence times of 10³ to 10</w:t>
      </w:r>
      <w:r w:rsidR="003C334E" w:rsidRPr="007701F9">
        <w:rPr>
          <w:vertAlign w:val="superscript"/>
          <w:lang w:val="en-US"/>
        </w:rPr>
        <w:t>5</w:t>
      </w:r>
      <w:r w:rsidR="003C334E" w:rsidRPr="007701F9">
        <w:rPr>
          <w:lang w:val="en-US"/>
        </w:rPr>
        <w:t xml:space="preserve"> years, which are significantly longer than the time span covered by earthquake records (generally &lt;10³ years; see below). It is </w:t>
      </w:r>
      <w:r w:rsidR="00514B95" w:rsidRPr="007701F9">
        <w:rPr>
          <w:lang w:val="en-US"/>
        </w:rPr>
        <w:t xml:space="preserve">therefore </w:t>
      </w:r>
      <w:r w:rsidR="003C334E" w:rsidRPr="007701F9">
        <w:rPr>
          <w:lang w:val="en-US"/>
        </w:rPr>
        <w:t xml:space="preserve">very unlikely that </w:t>
      </w:r>
      <w:r w:rsidR="009F1F70" w:rsidRPr="007701F9">
        <w:rPr>
          <w:lang w:val="en-US"/>
        </w:rPr>
        <w:t>all the active faults, which pose a potential threat in a certain region, have produced earthquakes in historical times</w:t>
      </w:r>
      <w:r w:rsidR="009D4DCD">
        <w:rPr>
          <w:lang w:val="en-US"/>
        </w:rPr>
        <w:t>, i.e., in the last 500 years or so</w:t>
      </w:r>
      <w:r w:rsidR="009F1F70" w:rsidRPr="007701F9">
        <w:rPr>
          <w:lang w:val="en-US"/>
        </w:rPr>
        <w:t>. It is equally unlikely that all active faults can be reco</w:t>
      </w:r>
      <w:r w:rsidR="009F1F70" w:rsidRPr="007701F9">
        <w:rPr>
          <w:lang w:val="en-US"/>
        </w:rPr>
        <w:t>g</w:t>
      </w:r>
      <w:r w:rsidR="009F1F70" w:rsidRPr="007701F9">
        <w:rPr>
          <w:lang w:val="en-US"/>
        </w:rPr>
        <w:t xml:space="preserve">nized from analyzing the earthquake record. The </w:t>
      </w:r>
      <w:r w:rsidR="003C334E" w:rsidRPr="007701F9">
        <w:rPr>
          <w:lang w:val="en-US"/>
        </w:rPr>
        <w:t xml:space="preserve">hazard contribution of </w:t>
      </w:r>
      <w:r w:rsidR="009F1F70" w:rsidRPr="007701F9">
        <w:rPr>
          <w:lang w:val="en-US"/>
        </w:rPr>
        <w:t xml:space="preserve">active faults therefore </w:t>
      </w:r>
      <w:r w:rsidR="003C334E" w:rsidRPr="007701F9">
        <w:rPr>
          <w:lang w:val="en-US"/>
        </w:rPr>
        <w:t>cannot be assessed from earth</w:t>
      </w:r>
      <w:r w:rsidR="00514B95">
        <w:rPr>
          <w:lang w:val="en-US"/>
        </w:rPr>
        <w:t>quake data alone</w:t>
      </w:r>
      <w:r w:rsidR="009D4DCD">
        <w:rPr>
          <w:lang w:val="en-US"/>
        </w:rPr>
        <w:t xml:space="preserve"> as </w:t>
      </w:r>
      <w:r w:rsidR="00C17E68">
        <w:rPr>
          <w:lang w:val="en-US"/>
        </w:rPr>
        <w:t>active</w:t>
      </w:r>
      <w:r w:rsidR="009D4DCD">
        <w:rPr>
          <w:lang w:val="en-US"/>
        </w:rPr>
        <w:t xml:space="preserve"> faults </w:t>
      </w:r>
      <w:r w:rsidR="00C17E68">
        <w:rPr>
          <w:lang w:val="en-US"/>
        </w:rPr>
        <w:t>which have not produced historical or instr</w:t>
      </w:r>
      <w:r w:rsidR="00C17E68">
        <w:rPr>
          <w:lang w:val="en-US"/>
        </w:rPr>
        <w:t>u</w:t>
      </w:r>
      <w:r w:rsidR="00C17E68">
        <w:rPr>
          <w:lang w:val="en-US"/>
        </w:rPr>
        <w:t xml:space="preserve">mental seismicity </w:t>
      </w:r>
      <w:r w:rsidR="009D4DCD">
        <w:rPr>
          <w:lang w:val="en-US"/>
        </w:rPr>
        <w:t>are invisible in the earthquake record</w:t>
      </w:r>
      <w:r w:rsidR="00514B95">
        <w:rPr>
          <w:lang w:val="en-US"/>
        </w:rPr>
        <w:t xml:space="preserve">. </w:t>
      </w:r>
      <w:r w:rsidR="009D4DCD">
        <w:rPr>
          <w:lang w:val="en-US"/>
        </w:rPr>
        <w:t>S</w:t>
      </w:r>
      <w:r w:rsidR="00802DC5" w:rsidRPr="007701F9">
        <w:rPr>
          <w:lang w:val="en-US"/>
        </w:rPr>
        <w:t xml:space="preserve">eismic hazard assessments </w:t>
      </w:r>
      <w:r w:rsidR="00514B95">
        <w:rPr>
          <w:lang w:val="en-US"/>
        </w:rPr>
        <w:t xml:space="preserve">which are </w:t>
      </w:r>
      <w:r w:rsidR="00802DC5" w:rsidRPr="007701F9">
        <w:rPr>
          <w:lang w:val="en-US"/>
        </w:rPr>
        <w:t>excl</w:t>
      </w:r>
      <w:r w:rsidR="00802DC5" w:rsidRPr="007701F9">
        <w:rPr>
          <w:lang w:val="en-US"/>
        </w:rPr>
        <w:t>u</w:t>
      </w:r>
      <w:r w:rsidR="00802DC5" w:rsidRPr="007701F9">
        <w:rPr>
          <w:lang w:val="en-US"/>
        </w:rPr>
        <w:t xml:space="preserve">sively </w:t>
      </w:r>
      <w:r w:rsidR="00514B95" w:rsidRPr="007701F9">
        <w:rPr>
          <w:lang w:val="en-US"/>
        </w:rPr>
        <w:t>bas</w:t>
      </w:r>
      <w:r w:rsidR="00514B95">
        <w:rPr>
          <w:lang w:val="en-US"/>
        </w:rPr>
        <w:t xml:space="preserve">ed </w:t>
      </w:r>
      <w:r w:rsidR="00802DC5" w:rsidRPr="007701F9">
        <w:rPr>
          <w:lang w:val="en-US"/>
        </w:rPr>
        <w:t>on earthquake data disregard</w:t>
      </w:r>
      <w:r w:rsidR="009D4DCD">
        <w:rPr>
          <w:lang w:val="en-US"/>
        </w:rPr>
        <w:t>ing</w:t>
      </w:r>
      <w:r w:rsidR="00802DC5" w:rsidRPr="007701F9">
        <w:rPr>
          <w:lang w:val="en-US"/>
        </w:rPr>
        <w:t xml:space="preserve"> active faults</w:t>
      </w:r>
      <w:r w:rsidR="00514B95">
        <w:rPr>
          <w:lang w:val="en-US"/>
        </w:rPr>
        <w:t xml:space="preserve"> </w:t>
      </w:r>
      <w:r w:rsidR="00C17E68">
        <w:rPr>
          <w:lang w:val="en-US"/>
        </w:rPr>
        <w:t>m</w:t>
      </w:r>
      <w:r w:rsidR="00872516">
        <w:rPr>
          <w:lang w:val="en-US"/>
        </w:rPr>
        <w:t>ay</w:t>
      </w:r>
      <w:r w:rsidR="00802DC5" w:rsidRPr="007701F9">
        <w:rPr>
          <w:lang w:val="en-US"/>
        </w:rPr>
        <w:t xml:space="preserve"> lead to </w:t>
      </w:r>
      <w:r w:rsidR="00872516">
        <w:rPr>
          <w:lang w:val="en-US"/>
        </w:rPr>
        <w:t xml:space="preserve">severely </w:t>
      </w:r>
      <w:r w:rsidR="00CA52EA">
        <w:rPr>
          <w:lang w:val="en-US"/>
        </w:rPr>
        <w:t>underestimated hazard values.</w:t>
      </w:r>
    </w:p>
    <w:p w:rsidR="007701F9" w:rsidRDefault="003C334E" w:rsidP="007701F9">
      <w:pPr>
        <w:ind w:left="840"/>
        <w:rPr>
          <w:lang w:val="en-US"/>
        </w:rPr>
      </w:pPr>
      <w:r w:rsidRPr="003C334E">
        <w:rPr>
          <w:lang w:val="en-US"/>
        </w:rPr>
        <w:t xml:space="preserve">The epistemic uncertainties </w:t>
      </w:r>
      <w:r w:rsidR="00514B95" w:rsidRPr="003C334E">
        <w:rPr>
          <w:lang w:val="en-US"/>
        </w:rPr>
        <w:t>resulting</w:t>
      </w:r>
      <w:r w:rsidR="00514B95">
        <w:rPr>
          <w:lang w:val="en-US"/>
        </w:rPr>
        <w:t xml:space="preserve"> from the inadequate time coverage of earthquake catalogues</w:t>
      </w:r>
      <w:r w:rsidR="00514B95" w:rsidRPr="003C334E">
        <w:rPr>
          <w:lang w:val="en-US"/>
        </w:rPr>
        <w:t xml:space="preserve"> </w:t>
      </w:r>
      <w:r w:rsidR="00514B95">
        <w:rPr>
          <w:lang w:val="en-US"/>
        </w:rPr>
        <w:t>shall</w:t>
      </w:r>
      <w:r w:rsidRPr="003C334E">
        <w:rPr>
          <w:lang w:val="en-US"/>
        </w:rPr>
        <w:t xml:space="preserve"> be reduced by systematic fault mapping and </w:t>
      </w:r>
      <w:r w:rsidR="009F1F70">
        <w:rPr>
          <w:lang w:val="en-US"/>
        </w:rPr>
        <w:t xml:space="preserve">the </w:t>
      </w:r>
      <w:r w:rsidRPr="003C334E">
        <w:rPr>
          <w:lang w:val="en-US"/>
        </w:rPr>
        <w:t>collecti</w:t>
      </w:r>
      <w:r w:rsidR="009F1F70">
        <w:rPr>
          <w:lang w:val="en-US"/>
        </w:rPr>
        <w:t>on of data to locate and characterize active faults (</w:t>
      </w:r>
      <w:r w:rsidR="00514B95">
        <w:rPr>
          <w:lang w:val="en-US"/>
        </w:rPr>
        <w:t>IAEA, 20</w:t>
      </w:r>
      <w:r w:rsidR="00A33966">
        <w:rPr>
          <w:lang w:val="en-US"/>
        </w:rPr>
        <w:t>10</w:t>
      </w:r>
      <w:r w:rsidR="00514B95">
        <w:rPr>
          <w:lang w:val="en-US"/>
        </w:rPr>
        <w:t xml:space="preserve"> </w:t>
      </w:r>
      <w:r w:rsidR="00514B95" w:rsidRPr="007701F9">
        <w:rPr>
          <w:color w:val="0070C0"/>
          <w:lang w:val="en-US"/>
        </w:rPr>
        <w:t>SSG-9</w:t>
      </w:r>
      <w:r w:rsidR="00514B95">
        <w:rPr>
          <w:color w:val="0070C0"/>
          <w:lang w:val="en-US"/>
        </w:rPr>
        <w:t xml:space="preserve">; </w:t>
      </w:r>
      <w:r w:rsidR="009F1F70" w:rsidRPr="007701F9">
        <w:rPr>
          <w:lang w:val="en-US"/>
        </w:rPr>
        <w:t>WENRA, 2016</w:t>
      </w:r>
      <w:r w:rsidR="009F1F70" w:rsidRPr="009F1F70">
        <w:rPr>
          <w:color w:val="0070C0"/>
          <w:lang w:val="en-US"/>
        </w:rPr>
        <w:t xml:space="preserve"> Seismic Guidance Document</w:t>
      </w:r>
      <w:r w:rsidR="009F1F70">
        <w:rPr>
          <w:lang w:val="en-US"/>
        </w:rPr>
        <w:t>)</w:t>
      </w:r>
      <w:r w:rsidRPr="003C334E">
        <w:rPr>
          <w:lang w:val="en-US"/>
        </w:rPr>
        <w:t xml:space="preserve">. </w:t>
      </w:r>
      <w:r w:rsidR="007701F9" w:rsidRPr="00802DC5">
        <w:rPr>
          <w:lang w:val="en-US"/>
        </w:rPr>
        <w:t xml:space="preserve">Systematic geologic surveys for identifying seismogenic faults significant for hazard results </w:t>
      </w:r>
      <w:r w:rsidR="005429AA">
        <w:rPr>
          <w:lang w:val="en-US"/>
        </w:rPr>
        <w:t>shall</w:t>
      </w:r>
      <w:r w:rsidR="007701F9" w:rsidRPr="00802DC5">
        <w:rPr>
          <w:lang w:val="en-US"/>
        </w:rPr>
        <w:t xml:space="preserve"> extend to a sufficient distance from the site. </w:t>
      </w:r>
      <w:r w:rsidR="007701F9">
        <w:rPr>
          <w:lang w:val="en-US"/>
        </w:rPr>
        <w:t xml:space="preserve">The choice of the </w:t>
      </w:r>
      <w:r w:rsidR="007701F9" w:rsidRPr="00802DC5">
        <w:rPr>
          <w:lang w:val="en-US"/>
        </w:rPr>
        <w:t xml:space="preserve">distance </w:t>
      </w:r>
      <w:r w:rsidR="007701F9">
        <w:rPr>
          <w:lang w:val="en-US"/>
        </w:rPr>
        <w:t xml:space="preserve">to perform dedicated </w:t>
      </w:r>
      <w:r w:rsidR="00D63F3C">
        <w:rPr>
          <w:lang w:val="en-US"/>
        </w:rPr>
        <w:t xml:space="preserve">investigations </w:t>
      </w:r>
      <w:r w:rsidR="007701F9" w:rsidRPr="00802DC5">
        <w:rPr>
          <w:lang w:val="en-US"/>
        </w:rPr>
        <w:t>may depend on the site seismicity. Larger distances</w:t>
      </w:r>
      <w:r w:rsidR="00D63F3C">
        <w:rPr>
          <w:lang w:val="en-US"/>
        </w:rPr>
        <w:t xml:space="preserve"> </w:t>
      </w:r>
      <w:r w:rsidR="007701F9" w:rsidRPr="00802DC5">
        <w:rPr>
          <w:lang w:val="en-US"/>
        </w:rPr>
        <w:t xml:space="preserve">may be adequate for sites with </w:t>
      </w:r>
      <w:r w:rsidR="00D63F3C">
        <w:rPr>
          <w:lang w:val="en-US"/>
        </w:rPr>
        <w:t xml:space="preserve">apparent </w:t>
      </w:r>
      <w:r w:rsidR="007701F9" w:rsidRPr="00802DC5">
        <w:rPr>
          <w:lang w:val="en-US"/>
        </w:rPr>
        <w:t xml:space="preserve">low hazard as strong earthquakes occurring on remote faults may produce ground motion </w:t>
      </w:r>
      <w:r w:rsidR="00D63F3C">
        <w:rPr>
          <w:lang w:val="en-US"/>
        </w:rPr>
        <w:t>on the site, which exceed</w:t>
      </w:r>
      <w:r w:rsidR="00575B22">
        <w:rPr>
          <w:lang w:val="en-US"/>
        </w:rPr>
        <w:t>s</w:t>
      </w:r>
      <w:r w:rsidR="00D63F3C">
        <w:rPr>
          <w:lang w:val="en-US"/>
        </w:rPr>
        <w:t xml:space="preserve"> the assumed </w:t>
      </w:r>
      <w:r w:rsidR="007701F9" w:rsidRPr="00802DC5">
        <w:rPr>
          <w:lang w:val="en-US"/>
        </w:rPr>
        <w:t xml:space="preserve">low values. </w:t>
      </w:r>
      <w:r w:rsidR="00514B95">
        <w:rPr>
          <w:lang w:val="en-US"/>
        </w:rPr>
        <w:t>Systema</w:t>
      </w:r>
      <w:r w:rsidR="00514B95">
        <w:rPr>
          <w:lang w:val="en-US"/>
        </w:rPr>
        <w:t>t</w:t>
      </w:r>
      <w:r w:rsidR="00514B95">
        <w:rPr>
          <w:lang w:val="en-US"/>
        </w:rPr>
        <w:t>ic e</w:t>
      </w:r>
      <w:r w:rsidR="00514B95" w:rsidRPr="003C334E">
        <w:rPr>
          <w:lang w:val="en-US"/>
        </w:rPr>
        <w:t xml:space="preserve">fforts should at least be made in the near-region of the site (25 km radius according to </w:t>
      </w:r>
      <w:r w:rsidR="00514B95">
        <w:rPr>
          <w:lang w:val="en-US"/>
        </w:rPr>
        <w:t xml:space="preserve">IAEA 2009 </w:t>
      </w:r>
      <w:r w:rsidR="00514B95" w:rsidRPr="007701F9">
        <w:rPr>
          <w:color w:val="0070C0"/>
          <w:lang w:val="en-US"/>
        </w:rPr>
        <w:t>SSG-9</w:t>
      </w:r>
      <w:r w:rsidR="00514B95" w:rsidRPr="007701F9">
        <w:rPr>
          <w:lang w:val="en-US"/>
        </w:rPr>
        <w:t>)</w:t>
      </w:r>
      <w:r w:rsidR="00514B95" w:rsidRPr="003C334E">
        <w:rPr>
          <w:lang w:val="en-US"/>
        </w:rPr>
        <w:t>.</w:t>
      </w:r>
    </w:p>
    <w:p w:rsidR="00397186" w:rsidRDefault="00D63F3C" w:rsidP="00D63F3C">
      <w:pPr>
        <w:ind w:left="840"/>
        <w:rPr>
          <w:lang w:val="en-US"/>
        </w:rPr>
      </w:pPr>
      <w:r>
        <w:rPr>
          <w:lang w:val="en-US"/>
        </w:rPr>
        <w:t xml:space="preserve">General guidance for the identification and characterization of active faults is given by IAEA (2009; </w:t>
      </w:r>
      <w:r w:rsidRPr="007701F9">
        <w:rPr>
          <w:color w:val="0070C0"/>
          <w:lang w:val="en-US"/>
        </w:rPr>
        <w:t>SSG-9</w:t>
      </w:r>
      <w:r>
        <w:rPr>
          <w:lang w:val="en-US"/>
        </w:rPr>
        <w:t>) and more detailed by IAEA (2015</w:t>
      </w:r>
      <w:r w:rsidR="00B0008D">
        <w:rPr>
          <w:lang w:val="en-US"/>
        </w:rPr>
        <w:t>c</w:t>
      </w:r>
      <w:r>
        <w:rPr>
          <w:lang w:val="en-US"/>
        </w:rPr>
        <w:t xml:space="preserve"> </w:t>
      </w:r>
      <w:r w:rsidRPr="007701F9">
        <w:rPr>
          <w:color w:val="0070C0"/>
          <w:lang w:val="en-US"/>
        </w:rPr>
        <w:t>Tecdoc Paleoseismology</w:t>
      </w:r>
      <w:r>
        <w:rPr>
          <w:lang w:val="en-US"/>
        </w:rPr>
        <w:t xml:space="preserve">). Modern geosciences provide </w:t>
      </w:r>
      <w:r w:rsidR="00397186">
        <w:rPr>
          <w:lang w:val="en-US"/>
        </w:rPr>
        <w:t>reliable</w:t>
      </w:r>
      <w:r>
        <w:rPr>
          <w:lang w:val="en-US"/>
        </w:rPr>
        <w:t xml:space="preserve"> tools for the identification </w:t>
      </w:r>
      <w:r w:rsidR="00397186">
        <w:rPr>
          <w:lang w:val="en-US"/>
        </w:rPr>
        <w:t xml:space="preserve">and charactrerisation </w:t>
      </w:r>
      <w:r>
        <w:rPr>
          <w:lang w:val="en-US"/>
        </w:rPr>
        <w:t xml:space="preserve">of active faults which are applicable within a reasonable time frame. </w:t>
      </w:r>
      <w:r w:rsidR="00CA7383">
        <w:rPr>
          <w:lang w:val="en-US"/>
        </w:rPr>
        <w:t xml:space="preserve">Among these methods quantitative tectonic geomorphology </w:t>
      </w:r>
      <w:r w:rsidR="00397186">
        <w:rPr>
          <w:lang w:val="en-US"/>
        </w:rPr>
        <w:t xml:space="preserve">and paleoseismological </w:t>
      </w:r>
      <w:r w:rsidR="00CA7383">
        <w:rPr>
          <w:lang w:val="en-US"/>
        </w:rPr>
        <w:t>tec</w:t>
      </w:r>
      <w:r w:rsidR="00CA7383">
        <w:rPr>
          <w:lang w:val="en-US"/>
        </w:rPr>
        <w:t>h</w:t>
      </w:r>
      <w:r w:rsidR="00CA7383">
        <w:rPr>
          <w:lang w:val="en-US"/>
        </w:rPr>
        <w:t xml:space="preserve">niques are regarded as </w:t>
      </w:r>
      <w:r>
        <w:rPr>
          <w:lang w:val="en-US"/>
        </w:rPr>
        <w:t>key method</w:t>
      </w:r>
      <w:r w:rsidR="00397186">
        <w:rPr>
          <w:lang w:val="en-US"/>
        </w:rPr>
        <w:t>s</w:t>
      </w:r>
      <w:r w:rsidR="00CA7383">
        <w:rPr>
          <w:lang w:val="en-US"/>
        </w:rPr>
        <w:t xml:space="preserve">. The </w:t>
      </w:r>
      <w:r w:rsidR="00397186">
        <w:rPr>
          <w:lang w:val="en-US"/>
        </w:rPr>
        <w:t xml:space="preserve">tectonic geomorphology </w:t>
      </w:r>
      <w:r w:rsidR="00CA7383">
        <w:rPr>
          <w:lang w:val="en-US"/>
        </w:rPr>
        <w:t xml:space="preserve">approach </w:t>
      </w:r>
      <w:r w:rsidR="00575B22">
        <w:rPr>
          <w:lang w:val="en-US"/>
        </w:rPr>
        <w:t>identifies</w:t>
      </w:r>
      <w:r w:rsidR="00CA7383">
        <w:rPr>
          <w:lang w:val="en-US"/>
        </w:rPr>
        <w:t xml:space="preserve"> landforms which result from the deformation of the Earth’s surface by active faulting and deformation. </w:t>
      </w:r>
      <w:r w:rsidR="00397186">
        <w:rPr>
          <w:lang w:val="en-US"/>
        </w:rPr>
        <w:t xml:space="preserve">It </w:t>
      </w:r>
      <w:r w:rsidR="00CA7383">
        <w:rPr>
          <w:lang w:val="en-US"/>
        </w:rPr>
        <w:t xml:space="preserve">is capable of applying a </w:t>
      </w:r>
      <w:r w:rsidR="00E172D7">
        <w:rPr>
          <w:lang w:val="en-US"/>
        </w:rPr>
        <w:t xml:space="preserve">time-saving </w:t>
      </w:r>
      <w:r w:rsidR="00CA7383">
        <w:rPr>
          <w:lang w:val="en-US"/>
        </w:rPr>
        <w:t xml:space="preserve">graded approach including: screening of relatively large </w:t>
      </w:r>
      <w:r>
        <w:rPr>
          <w:lang w:val="en-US"/>
        </w:rPr>
        <w:t>a</w:t>
      </w:r>
      <w:r w:rsidR="00CA7383">
        <w:rPr>
          <w:lang w:val="en-US"/>
        </w:rPr>
        <w:t>reas (several 100 km²) to identify potentially active faults</w:t>
      </w:r>
      <w:r w:rsidR="00575B22">
        <w:rPr>
          <w:lang w:val="en-US"/>
        </w:rPr>
        <w:t>,</w:t>
      </w:r>
      <w:r w:rsidR="00397186">
        <w:rPr>
          <w:lang w:val="en-US"/>
        </w:rPr>
        <w:t xml:space="preserve"> </w:t>
      </w:r>
      <w:r w:rsidR="00CA7383">
        <w:rPr>
          <w:lang w:val="en-US"/>
        </w:rPr>
        <w:t>fault mapping</w:t>
      </w:r>
      <w:r w:rsidR="00575B22">
        <w:rPr>
          <w:lang w:val="en-US"/>
        </w:rPr>
        <w:t>,</w:t>
      </w:r>
      <w:r w:rsidR="00397186">
        <w:rPr>
          <w:lang w:val="en-US"/>
        </w:rPr>
        <w:t xml:space="preserve"> initial </w:t>
      </w:r>
      <w:r w:rsidR="00CA7383">
        <w:rPr>
          <w:lang w:val="en-US"/>
        </w:rPr>
        <w:t>fault characterization</w:t>
      </w:r>
      <w:r w:rsidR="00461A41">
        <w:rPr>
          <w:lang w:val="en-US"/>
        </w:rPr>
        <w:t xml:space="preserve"> and</w:t>
      </w:r>
      <w:r w:rsidR="00397186">
        <w:rPr>
          <w:lang w:val="en-US"/>
        </w:rPr>
        <w:t xml:space="preserve"> selection of faults requiring further analysis by paleoseismological methods</w:t>
      </w:r>
      <w:r w:rsidR="00397186" w:rsidRPr="00C534DD">
        <w:rPr>
          <w:lang w:val="en-US"/>
        </w:rPr>
        <w:t>. Guidance for the implementation</w:t>
      </w:r>
      <w:r w:rsidR="00CA52EA">
        <w:rPr>
          <w:lang w:val="en-US"/>
        </w:rPr>
        <w:t xml:space="preserve"> of the met</w:t>
      </w:r>
      <w:r w:rsidR="00CA52EA">
        <w:rPr>
          <w:lang w:val="en-US"/>
        </w:rPr>
        <w:t>h</w:t>
      </w:r>
      <w:r w:rsidR="00CA52EA">
        <w:rPr>
          <w:lang w:val="en-US"/>
        </w:rPr>
        <w:t xml:space="preserve">od </w:t>
      </w:r>
      <w:r w:rsidR="00575B22">
        <w:rPr>
          <w:lang w:val="en-US"/>
        </w:rPr>
        <w:t xml:space="preserve">is </w:t>
      </w:r>
      <w:r w:rsidR="00CA52EA">
        <w:rPr>
          <w:lang w:val="en-US"/>
        </w:rPr>
        <w:t>given below.</w:t>
      </w:r>
    </w:p>
    <w:p w:rsidR="003C334E" w:rsidRDefault="00397186" w:rsidP="00E172D7">
      <w:pPr>
        <w:ind w:left="840"/>
        <w:rPr>
          <w:lang w:val="en-US"/>
        </w:rPr>
      </w:pPr>
      <w:r>
        <w:rPr>
          <w:lang w:val="en-US"/>
        </w:rPr>
        <w:t xml:space="preserve">Paleoseismological trenching techniques allow to identify and </w:t>
      </w:r>
      <w:r w:rsidR="00461A41">
        <w:rPr>
          <w:lang w:val="en-US"/>
        </w:rPr>
        <w:t xml:space="preserve">to </w:t>
      </w:r>
      <w:r>
        <w:rPr>
          <w:lang w:val="en-US"/>
        </w:rPr>
        <w:t xml:space="preserve">characterize prehistorical earthquakes that occurred on surface-breaqking faults in terms of the timing of earthquake occurrence, magnitude, </w:t>
      </w:r>
      <w:r w:rsidR="00E172D7">
        <w:rPr>
          <w:lang w:val="en-US"/>
        </w:rPr>
        <w:t xml:space="preserve">and recurrence intervals. </w:t>
      </w:r>
      <w:r w:rsidR="00514B95">
        <w:rPr>
          <w:lang w:val="en-US"/>
        </w:rPr>
        <w:t>These parameters shall be used to update the seismological database (see b</w:t>
      </w:r>
      <w:r w:rsidR="00514B95">
        <w:rPr>
          <w:lang w:val="en-US"/>
        </w:rPr>
        <w:t>e</w:t>
      </w:r>
      <w:r w:rsidR="00514B95">
        <w:rPr>
          <w:lang w:val="en-US"/>
        </w:rPr>
        <w:t>low).</w:t>
      </w:r>
    </w:p>
    <w:p w:rsidR="00D576CB" w:rsidRDefault="00514B95" w:rsidP="00860D1D">
      <w:pPr>
        <w:numPr>
          <w:ilvl w:val="0"/>
          <w:numId w:val="19"/>
        </w:numPr>
        <w:rPr>
          <w:lang w:val="en-US"/>
        </w:rPr>
      </w:pPr>
      <w:r w:rsidRPr="00130883">
        <w:rPr>
          <w:b/>
          <w:i/>
          <w:lang w:val="en-US"/>
        </w:rPr>
        <w:lastRenderedPageBreak/>
        <w:t>Seismological database.</w:t>
      </w:r>
      <w:r>
        <w:rPr>
          <w:lang w:val="en-US"/>
        </w:rPr>
        <w:t xml:space="preserve"> The requirements of a seismological database for seismic hazard assessment are described in detail by IAEA (20</w:t>
      </w:r>
      <w:r w:rsidR="00C534DD">
        <w:rPr>
          <w:lang w:val="en-US"/>
        </w:rPr>
        <w:t>10</w:t>
      </w:r>
      <w:r>
        <w:rPr>
          <w:lang w:val="en-US"/>
        </w:rPr>
        <w:t xml:space="preserve"> </w:t>
      </w:r>
      <w:r w:rsidRPr="007701F9">
        <w:rPr>
          <w:color w:val="0070C0"/>
          <w:lang w:val="en-US"/>
        </w:rPr>
        <w:t>SSG-9</w:t>
      </w:r>
      <w:r>
        <w:rPr>
          <w:lang w:val="en-US"/>
        </w:rPr>
        <w:t>). IAEA discriminates between prehistoric, historical and instr</w:t>
      </w:r>
      <w:r>
        <w:rPr>
          <w:lang w:val="en-US"/>
        </w:rPr>
        <w:t>u</w:t>
      </w:r>
      <w:r>
        <w:rPr>
          <w:lang w:val="en-US"/>
        </w:rPr>
        <w:t xml:space="preserve">mental earthquakes due to the fact that these types of data are characterized by different reliability and accuracy. The main data characteristics are </w:t>
      </w:r>
      <w:r w:rsidR="00063AB0">
        <w:rPr>
          <w:lang w:val="en-US"/>
        </w:rPr>
        <w:t xml:space="preserve">summarized </w:t>
      </w:r>
      <w:r w:rsidR="00D576CB" w:rsidRPr="00BC2CC2">
        <w:rPr>
          <w:lang w:val="en-US"/>
        </w:rPr>
        <w:t>as</w:t>
      </w:r>
      <w:r w:rsidR="00063AB0">
        <w:rPr>
          <w:lang w:val="en-US"/>
        </w:rPr>
        <w:t xml:space="preserve"> </w:t>
      </w:r>
      <w:r w:rsidR="00CA52EA">
        <w:rPr>
          <w:lang w:val="en-US"/>
        </w:rPr>
        <w:t>follows:</w:t>
      </w:r>
    </w:p>
    <w:p w:rsidR="00B30CB1" w:rsidRDefault="00D576CB" w:rsidP="00B30CB1">
      <w:pPr>
        <w:ind w:left="840"/>
        <w:rPr>
          <w:lang w:val="en-US"/>
        </w:rPr>
      </w:pPr>
      <w:r>
        <w:rPr>
          <w:lang w:val="en-US"/>
        </w:rPr>
        <w:t>P</w:t>
      </w:r>
      <w:r w:rsidR="00514B95">
        <w:rPr>
          <w:lang w:val="en-US"/>
        </w:rPr>
        <w:t>rehistorical earthquake</w:t>
      </w:r>
      <w:r>
        <w:rPr>
          <w:lang w:val="en-US"/>
        </w:rPr>
        <w:t xml:space="preserve"> data </w:t>
      </w:r>
      <w:r w:rsidR="00487C6F">
        <w:rPr>
          <w:lang w:val="en-US"/>
        </w:rPr>
        <w:t>typically</w:t>
      </w:r>
      <w:r w:rsidR="00BC2CC2">
        <w:rPr>
          <w:lang w:val="en-US"/>
        </w:rPr>
        <w:t xml:space="preserve"> </w:t>
      </w:r>
      <w:r>
        <w:rPr>
          <w:lang w:val="en-US"/>
        </w:rPr>
        <w:t>derive</w:t>
      </w:r>
      <w:r w:rsidR="00514B95">
        <w:rPr>
          <w:lang w:val="en-US"/>
        </w:rPr>
        <w:t xml:space="preserve"> from paleoseismological</w:t>
      </w:r>
      <w:r>
        <w:rPr>
          <w:lang w:val="en-US"/>
        </w:rPr>
        <w:t xml:space="preserve"> trenching of active fault</w:t>
      </w:r>
      <w:r w:rsidR="00487C6F">
        <w:rPr>
          <w:lang w:val="en-US"/>
        </w:rPr>
        <w:t>s</w:t>
      </w:r>
      <w:r>
        <w:rPr>
          <w:lang w:val="en-US"/>
        </w:rPr>
        <w:t>. The data are precise with respect to the location of the earthquake because they occurred on the trenched seismogenic source. Mag</w:t>
      </w:r>
      <w:r w:rsidR="00461A41">
        <w:rPr>
          <w:lang w:val="en-US"/>
        </w:rPr>
        <w:t>n</w:t>
      </w:r>
      <w:r>
        <w:rPr>
          <w:lang w:val="en-US"/>
        </w:rPr>
        <w:t>itude</w:t>
      </w:r>
      <w:r w:rsidR="00BC2CC2">
        <w:rPr>
          <w:lang w:val="en-US"/>
        </w:rPr>
        <w:t>s are</w:t>
      </w:r>
      <w:r>
        <w:rPr>
          <w:lang w:val="en-US"/>
        </w:rPr>
        <w:t xml:space="preserve"> estimate</w:t>
      </w:r>
      <w:r w:rsidR="00BC2CC2">
        <w:rPr>
          <w:lang w:val="en-US"/>
        </w:rPr>
        <w:t>d</w:t>
      </w:r>
      <w:r>
        <w:rPr>
          <w:lang w:val="en-US"/>
        </w:rPr>
        <w:t xml:space="preserve"> from empirical </w:t>
      </w:r>
      <w:r w:rsidR="00BC2CC2">
        <w:rPr>
          <w:lang w:val="en-US"/>
        </w:rPr>
        <w:t>relationships between faulting param</w:t>
      </w:r>
      <w:r w:rsidR="00BC2CC2">
        <w:rPr>
          <w:lang w:val="en-US"/>
        </w:rPr>
        <w:t>e</w:t>
      </w:r>
      <w:r w:rsidR="00BC2CC2">
        <w:rPr>
          <w:lang w:val="en-US"/>
        </w:rPr>
        <w:t>ters (e.g., surface displacement) and magnitude (compare IAEA, 2015</w:t>
      </w:r>
      <w:r w:rsidR="00C534DD">
        <w:rPr>
          <w:lang w:val="en-US"/>
        </w:rPr>
        <w:t>c</w:t>
      </w:r>
      <w:r w:rsidR="00BC2CC2">
        <w:rPr>
          <w:lang w:val="en-US"/>
        </w:rPr>
        <w:t xml:space="preserve">, </w:t>
      </w:r>
      <w:r w:rsidR="00C534DD">
        <w:rPr>
          <w:lang w:val="en-US"/>
        </w:rPr>
        <w:t xml:space="preserve">pages </w:t>
      </w:r>
      <w:r w:rsidR="00BC2CC2">
        <w:rPr>
          <w:lang w:val="en-US"/>
        </w:rPr>
        <w:t xml:space="preserve">95-107 </w:t>
      </w:r>
      <w:r w:rsidR="00BC2CC2" w:rsidRPr="007701F9">
        <w:rPr>
          <w:color w:val="0070C0"/>
          <w:lang w:val="en-US"/>
        </w:rPr>
        <w:t>Tecdoc Paleoseismol</w:t>
      </w:r>
      <w:r w:rsidR="00BC2CC2" w:rsidRPr="007701F9">
        <w:rPr>
          <w:color w:val="0070C0"/>
          <w:lang w:val="en-US"/>
        </w:rPr>
        <w:t>o</w:t>
      </w:r>
      <w:r w:rsidR="00BC2CC2" w:rsidRPr="007701F9">
        <w:rPr>
          <w:color w:val="0070C0"/>
          <w:lang w:val="en-US"/>
        </w:rPr>
        <w:t>gy</w:t>
      </w:r>
      <w:r w:rsidR="00BC2CC2">
        <w:rPr>
          <w:lang w:val="en-US"/>
        </w:rPr>
        <w:t xml:space="preserve">). Magnitudes therefore have error bars which can be quantified </w:t>
      </w:r>
      <w:r w:rsidR="005429AA">
        <w:rPr>
          <w:lang w:val="en-US"/>
        </w:rPr>
        <w:t>by statistical methods</w:t>
      </w:r>
      <w:r w:rsidR="00BC2CC2">
        <w:rPr>
          <w:lang w:val="en-US"/>
        </w:rPr>
        <w:t xml:space="preserve">. The </w:t>
      </w:r>
      <w:r w:rsidR="005429AA">
        <w:rPr>
          <w:lang w:val="en-US"/>
        </w:rPr>
        <w:t>a</w:t>
      </w:r>
      <w:r w:rsidR="005429AA">
        <w:rPr>
          <w:lang w:val="en-US"/>
        </w:rPr>
        <w:t>c</w:t>
      </w:r>
      <w:r w:rsidR="005429AA">
        <w:rPr>
          <w:lang w:val="en-US"/>
        </w:rPr>
        <w:t xml:space="preserve">curacy of </w:t>
      </w:r>
      <w:r w:rsidR="00BC2CC2">
        <w:rPr>
          <w:lang w:val="en-US"/>
        </w:rPr>
        <w:t>timing of the</w:t>
      </w:r>
      <w:r w:rsidR="00195AAF">
        <w:rPr>
          <w:lang w:val="en-US"/>
        </w:rPr>
        <w:t xml:space="preserve"> </w:t>
      </w:r>
      <w:r w:rsidR="00BC2CC2">
        <w:rPr>
          <w:lang w:val="en-US"/>
        </w:rPr>
        <w:t>events is limited by the applied dating techniques (compare IAEA, 2015</w:t>
      </w:r>
      <w:r w:rsidR="00C534DD">
        <w:rPr>
          <w:lang w:val="en-US"/>
        </w:rPr>
        <w:t>c</w:t>
      </w:r>
      <w:r w:rsidR="00BC2CC2">
        <w:rPr>
          <w:lang w:val="en-US"/>
        </w:rPr>
        <w:t xml:space="preserve">, </w:t>
      </w:r>
      <w:r w:rsidR="00C534DD">
        <w:rPr>
          <w:lang w:val="en-US"/>
        </w:rPr>
        <w:t xml:space="preserve">pages </w:t>
      </w:r>
      <w:r w:rsidR="00BC2CC2">
        <w:rPr>
          <w:lang w:val="en-US"/>
        </w:rPr>
        <w:t xml:space="preserve">82-91 </w:t>
      </w:r>
      <w:r w:rsidR="00BC2CC2" w:rsidRPr="007701F9">
        <w:rPr>
          <w:color w:val="0070C0"/>
          <w:lang w:val="en-US"/>
        </w:rPr>
        <w:t>Tecdoc Paleoseismology</w:t>
      </w:r>
      <w:r w:rsidR="00BC2CC2" w:rsidRPr="00C534DD">
        <w:rPr>
          <w:lang w:val="en-US"/>
        </w:rPr>
        <w:t>)</w:t>
      </w:r>
      <w:r w:rsidR="00BC2CC2">
        <w:rPr>
          <w:lang w:val="en-US"/>
        </w:rPr>
        <w:t xml:space="preserve"> and may therefore </w:t>
      </w:r>
      <w:r w:rsidR="0072036E">
        <w:rPr>
          <w:lang w:val="en-US"/>
        </w:rPr>
        <w:t>be be subjected to errors up to a range of few thousand years. Data completeness depends on the effort and depth of research, and the local geological situ</w:t>
      </w:r>
      <w:r w:rsidR="0072036E">
        <w:rPr>
          <w:lang w:val="en-US"/>
        </w:rPr>
        <w:t>a</w:t>
      </w:r>
      <w:r w:rsidR="0072036E">
        <w:rPr>
          <w:lang w:val="en-US"/>
        </w:rPr>
        <w:t xml:space="preserve">tion which may be favorable or unfavorable to conserve the effects of prehistorical earthquakes. </w:t>
      </w:r>
      <w:r w:rsidR="00195AAF">
        <w:rPr>
          <w:lang w:val="en-US"/>
        </w:rPr>
        <w:t>Data quality and completeness can be increased by additional inestigations</w:t>
      </w:r>
      <w:r w:rsidR="00487C6F">
        <w:rPr>
          <w:lang w:val="en-US"/>
        </w:rPr>
        <w:t xml:space="preserve"> in reasonable time</w:t>
      </w:r>
      <w:r w:rsidR="00195AAF">
        <w:rPr>
          <w:lang w:val="en-US"/>
        </w:rPr>
        <w:t>.</w:t>
      </w:r>
      <w:r w:rsidR="00B30CB1">
        <w:rPr>
          <w:lang w:val="en-US"/>
        </w:rPr>
        <w:t xml:space="preserve"> I</w:t>
      </w:r>
      <w:r w:rsidR="00B30CB1" w:rsidRPr="00B30CB1">
        <w:rPr>
          <w:lang w:val="en-US"/>
        </w:rPr>
        <w:t xml:space="preserve">n some </w:t>
      </w:r>
      <w:r w:rsidR="00872516">
        <w:rPr>
          <w:lang w:val="en-US"/>
        </w:rPr>
        <w:t>e</w:t>
      </w:r>
      <w:r w:rsidR="00872516">
        <w:rPr>
          <w:lang w:val="en-US"/>
        </w:rPr>
        <w:t>x</w:t>
      </w:r>
      <w:r w:rsidR="00872516">
        <w:rPr>
          <w:lang w:val="en-US"/>
        </w:rPr>
        <w:t xml:space="preserve">ceptional </w:t>
      </w:r>
      <w:r w:rsidR="00872516" w:rsidRPr="00B30CB1">
        <w:rPr>
          <w:lang w:val="en-US"/>
        </w:rPr>
        <w:t xml:space="preserve">cases </w:t>
      </w:r>
      <w:r w:rsidR="00B30CB1" w:rsidRPr="00B30CB1">
        <w:rPr>
          <w:lang w:val="en-US"/>
        </w:rPr>
        <w:t>a</w:t>
      </w:r>
      <w:r w:rsidR="00B30CB1" w:rsidRPr="00B30CB1">
        <w:rPr>
          <w:lang w:val="en-US"/>
        </w:rPr>
        <w:t>t</w:t>
      </w:r>
      <w:r w:rsidR="00B30CB1" w:rsidRPr="00B30CB1">
        <w:rPr>
          <w:lang w:val="en-US"/>
        </w:rPr>
        <w:t>tention needs to be paid to the stationarity of data</w:t>
      </w:r>
      <w:r w:rsidR="00872516">
        <w:rPr>
          <w:lang w:val="en-US"/>
        </w:rPr>
        <w:t xml:space="preserve">. </w:t>
      </w:r>
      <w:r w:rsidR="003F193B">
        <w:rPr>
          <w:lang w:val="en-US"/>
        </w:rPr>
        <w:t xml:space="preserve">Such a case is the </w:t>
      </w:r>
      <w:r w:rsidR="00B30CB1" w:rsidRPr="00B30CB1">
        <w:rPr>
          <w:lang w:val="en-US"/>
        </w:rPr>
        <w:t>deglaciation</w:t>
      </w:r>
      <w:r w:rsidR="003F193B">
        <w:rPr>
          <w:lang w:val="en-US"/>
        </w:rPr>
        <w:t xml:space="preserve"> of Northern Europe during the last late Pleistocene to Holocene.</w:t>
      </w:r>
    </w:p>
    <w:p w:rsidR="00195AAF" w:rsidRDefault="0072036E" w:rsidP="00D576CB">
      <w:pPr>
        <w:ind w:left="840"/>
        <w:rPr>
          <w:lang w:val="en-US"/>
        </w:rPr>
      </w:pPr>
      <w:r>
        <w:rPr>
          <w:lang w:val="en-US"/>
        </w:rPr>
        <w:t xml:space="preserve">Historical earthquake data are compiled from historical documents which include descriptions of the earthquake effects at different locations. </w:t>
      </w:r>
      <w:r w:rsidR="00195AAF">
        <w:rPr>
          <w:lang w:val="en-US"/>
        </w:rPr>
        <w:t>These</w:t>
      </w:r>
      <w:r>
        <w:rPr>
          <w:lang w:val="en-US"/>
        </w:rPr>
        <w:t xml:space="preserve"> descriptions are interpreted in terms of macroseismic intensity resulting in a set of intensity data points, which in turn are used to estimate the location of the epicenter and the maximum (epicentral) intensity. Earthquake magnitudes are derived from empir</w:t>
      </w:r>
      <w:r>
        <w:rPr>
          <w:lang w:val="en-US"/>
        </w:rPr>
        <w:t>i</w:t>
      </w:r>
      <w:r>
        <w:rPr>
          <w:lang w:val="en-US"/>
        </w:rPr>
        <w:t>cal intensity-magnitude correlations</w:t>
      </w:r>
      <w:r w:rsidR="00195AAF">
        <w:rPr>
          <w:lang w:val="en-US"/>
        </w:rPr>
        <w:t xml:space="preserve"> for the maximum intensity</w:t>
      </w:r>
      <w:r>
        <w:rPr>
          <w:lang w:val="en-US"/>
        </w:rPr>
        <w:t xml:space="preserve">. The </w:t>
      </w:r>
      <w:r w:rsidR="00195AAF">
        <w:rPr>
          <w:lang w:val="en-US"/>
        </w:rPr>
        <w:t xml:space="preserve">workflow therefore includes a number of steps that </w:t>
      </w:r>
      <w:r w:rsidR="003F193B">
        <w:rPr>
          <w:lang w:val="en-US"/>
        </w:rPr>
        <w:t xml:space="preserve">may </w:t>
      </w:r>
      <w:r w:rsidR="00195AAF">
        <w:rPr>
          <w:lang w:val="en-US"/>
        </w:rPr>
        <w:t xml:space="preserve">introduce </w:t>
      </w:r>
      <w:r w:rsidR="003F193B">
        <w:rPr>
          <w:lang w:val="en-US"/>
        </w:rPr>
        <w:t>substantial</w:t>
      </w:r>
      <w:r w:rsidR="00195AAF">
        <w:rPr>
          <w:lang w:val="en-US"/>
        </w:rPr>
        <w:t xml:space="preserve"> errors</w:t>
      </w:r>
      <w:r w:rsidR="003F193B">
        <w:rPr>
          <w:lang w:val="en-US"/>
        </w:rPr>
        <w:t xml:space="preserve">: </w:t>
      </w:r>
      <w:r w:rsidR="00195AAF">
        <w:rPr>
          <w:lang w:val="en-US"/>
        </w:rPr>
        <w:t>interpretation of historical sources</w:t>
      </w:r>
      <w:r w:rsidR="005429AA">
        <w:rPr>
          <w:lang w:val="en-US"/>
        </w:rPr>
        <w:t>;</w:t>
      </w:r>
      <w:r w:rsidR="00195AAF">
        <w:rPr>
          <w:lang w:val="en-US"/>
        </w:rPr>
        <w:t xml:space="preserve"> intensity a</w:t>
      </w:r>
      <w:r w:rsidR="00195AAF">
        <w:rPr>
          <w:lang w:val="en-US"/>
        </w:rPr>
        <w:t>s</w:t>
      </w:r>
      <w:r w:rsidR="00195AAF">
        <w:rPr>
          <w:lang w:val="en-US"/>
        </w:rPr>
        <w:t>sessment for intensity datapoints</w:t>
      </w:r>
      <w:r w:rsidR="005429AA">
        <w:rPr>
          <w:lang w:val="en-US"/>
        </w:rPr>
        <w:t>;</w:t>
      </w:r>
      <w:r w:rsidR="00195AAF">
        <w:rPr>
          <w:lang w:val="en-US"/>
        </w:rPr>
        <w:t xml:space="preserve"> assessment of epicenter location</w:t>
      </w:r>
      <w:r w:rsidR="005429AA">
        <w:rPr>
          <w:lang w:val="en-US"/>
        </w:rPr>
        <w:t>;</w:t>
      </w:r>
      <w:r w:rsidR="00195AAF">
        <w:rPr>
          <w:lang w:val="en-US"/>
        </w:rPr>
        <w:t xml:space="preserve"> </w:t>
      </w:r>
      <w:r w:rsidR="005429AA">
        <w:rPr>
          <w:lang w:val="en-US"/>
        </w:rPr>
        <w:t xml:space="preserve">assessment of </w:t>
      </w:r>
      <w:r w:rsidR="00195AAF">
        <w:rPr>
          <w:lang w:val="en-US"/>
        </w:rPr>
        <w:t>epicentral intensity</w:t>
      </w:r>
      <w:r w:rsidR="005429AA">
        <w:rPr>
          <w:lang w:val="en-US"/>
        </w:rPr>
        <w:t>;</w:t>
      </w:r>
      <w:r w:rsidR="00195AAF">
        <w:rPr>
          <w:lang w:val="en-US"/>
        </w:rPr>
        <w:t xml:space="preserve"> </w:t>
      </w:r>
      <w:r w:rsidR="005429AA">
        <w:rPr>
          <w:lang w:val="en-US"/>
        </w:rPr>
        <w:t>intensity-</w:t>
      </w:r>
      <w:r w:rsidR="00195AAF">
        <w:rPr>
          <w:lang w:val="en-US"/>
        </w:rPr>
        <w:t xml:space="preserve">magnitude conversion. </w:t>
      </w:r>
      <w:r w:rsidR="004F4E1C">
        <w:rPr>
          <w:lang w:val="en-US"/>
        </w:rPr>
        <w:t>E</w:t>
      </w:r>
      <w:r w:rsidR="00195AAF">
        <w:rPr>
          <w:lang w:val="en-US"/>
        </w:rPr>
        <w:t>arthquake location, intensity, and magnitude</w:t>
      </w:r>
      <w:r w:rsidR="004F4E1C">
        <w:rPr>
          <w:lang w:val="en-US"/>
        </w:rPr>
        <w:t xml:space="preserve"> will therefore be su</w:t>
      </w:r>
      <w:r w:rsidR="004F4E1C">
        <w:rPr>
          <w:lang w:val="en-US"/>
        </w:rPr>
        <w:t>b</w:t>
      </w:r>
      <w:r w:rsidR="004F4E1C">
        <w:rPr>
          <w:lang w:val="en-US"/>
        </w:rPr>
        <w:t xml:space="preserve">jected to significant uncertainties, which </w:t>
      </w:r>
      <w:r w:rsidR="005429AA">
        <w:rPr>
          <w:lang w:val="en-US"/>
        </w:rPr>
        <w:t xml:space="preserve">frequently </w:t>
      </w:r>
      <w:r w:rsidR="004F4E1C">
        <w:rPr>
          <w:lang w:val="en-US"/>
        </w:rPr>
        <w:t>are not mentioned or quantified in earthquake ca</w:t>
      </w:r>
      <w:r w:rsidR="004F4E1C">
        <w:rPr>
          <w:lang w:val="en-US"/>
        </w:rPr>
        <w:t>t</w:t>
      </w:r>
      <w:r w:rsidR="004F4E1C">
        <w:rPr>
          <w:lang w:val="en-US"/>
        </w:rPr>
        <w:t>alogues</w:t>
      </w:r>
      <w:r w:rsidR="00195AAF">
        <w:rPr>
          <w:lang w:val="en-US"/>
        </w:rPr>
        <w:t xml:space="preserve">. </w:t>
      </w:r>
      <w:r w:rsidR="003F193B">
        <w:rPr>
          <w:lang w:val="en-US"/>
        </w:rPr>
        <w:t xml:space="preserve">Due to the uncertainties of earthquake locations which may </w:t>
      </w:r>
      <w:r w:rsidR="00F13878">
        <w:rPr>
          <w:lang w:val="en-US"/>
        </w:rPr>
        <w:t>reach up to se</w:t>
      </w:r>
      <w:r w:rsidR="00922555">
        <w:rPr>
          <w:lang w:val="en-US"/>
        </w:rPr>
        <w:t>veral tens of kilom</w:t>
      </w:r>
      <w:r w:rsidR="00922555">
        <w:rPr>
          <w:lang w:val="en-US"/>
        </w:rPr>
        <w:t>e</w:t>
      </w:r>
      <w:r w:rsidR="00922555">
        <w:rPr>
          <w:lang w:val="en-US"/>
        </w:rPr>
        <w:t xml:space="preserve">ters </w:t>
      </w:r>
      <w:r w:rsidR="00F13878">
        <w:rPr>
          <w:lang w:val="en-US"/>
        </w:rPr>
        <w:t>it</w:t>
      </w:r>
      <w:r w:rsidR="00195AAF">
        <w:rPr>
          <w:lang w:val="en-US"/>
        </w:rPr>
        <w:t xml:space="preserve"> will only in exceptional cases be possible to associate historical events to a certain seismic source. The data completeness and quality</w:t>
      </w:r>
      <w:r w:rsidR="00F13878">
        <w:rPr>
          <w:lang w:val="en-US"/>
        </w:rPr>
        <w:t xml:space="preserve"> of historical earthquake data</w:t>
      </w:r>
      <w:r w:rsidR="00195AAF">
        <w:rPr>
          <w:lang w:val="en-US"/>
        </w:rPr>
        <w:t xml:space="preserve"> can be increased by targeted historical research but will finally be limited by availability of historical documents.</w:t>
      </w:r>
    </w:p>
    <w:p w:rsidR="002C58C9" w:rsidRDefault="00487C6F" w:rsidP="00D576CB">
      <w:pPr>
        <w:ind w:left="840"/>
        <w:rPr>
          <w:lang w:val="en-US"/>
        </w:rPr>
      </w:pPr>
      <w:r>
        <w:rPr>
          <w:lang w:val="en-US"/>
        </w:rPr>
        <w:t xml:space="preserve">The quality and accuracy of instrumental earthquake data is strongly dependent on the density </w:t>
      </w:r>
      <w:r w:rsidR="005429AA">
        <w:rPr>
          <w:lang w:val="en-US"/>
        </w:rPr>
        <w:t xml:space="preserve">and quality </w:t>
      </w:r>
      <w:r>
        <w:rPr>
          <w:lang w:val="en-US"/>
        </w:rPr>
        <w:t>of the seismic station network which has substantially changed since the beginning of instrume</w:t>
      </w:r>
      <w:r>
        <w:rPr>
          <w:lang w:val="en-US"/>
        </w:rPr>
        <w:t>n</w:t>
      </w:r>
      <w:r>
        <w:rPr>
          <w:lang w:val="en-US"/>
        </w:rPr>
        <w:t>tal records in the late 19</w:t>
      </w:r>
      <w:r w:rsidRPr="00487C6F">
        <w:rPr>
          <w:vertAlign w:val="superscript"/>
          <w:lang w:val="en-US"/>
        </w:rPr>
        <w:t>th</w:t>
      </w:r>
      <w:r>
        <w:rPr>
          <w:lang w:val="en-US"/>
        </w:rPr>
        <w:t xml:space="preserve"> century. Location accuracy, reliability of magnitude values, and record thresholds will </w:t>
      </w:r>
      <w:r w:rsidR="00DB6F50">
        <w:rPr>
          <w:lang w:val="en-US"/>
        </w:rPr>
        <w:t>generally increase in quality through the 20</w:t>
      </w:r>
      <w:r w:rsidR="00DB6F50" w:rsidRPr="00DB6F50">
        <w:rPr>
          <w:vertAlign w:val="superscript"/>
          <w:lang w:val="en-US"/>
        </w:rPr>
        <w:t>th</w:t>
      </w:r>
      <w:r w:rsidR="00DB6F50">
        <w:rPr>
          <w:lang w:val="en-US"/>
        </w:rPr>
        <w:t xml:space="preserve"> century but </w:t>
      </w:r>
      <w:r>
        <w:rPr>
          <w:lang w:val="en-US"/>
        </w:rPr>
        <w:t>need to be assessed sepa</w:t>
      </w:r>
      <w:r w:rsidR="00CA52EA">
        <w:rPr>
          <w:lang w:val="en-US"/>
        </w:rPr>
        <w:t>rately for different locations.</w:t>
      </w:r>
    </w:p>
    <w:p w:rsidR="003E74B9" w:rsidRDefault="002C58C9" w:rsidP="002C58C9">
      <w:pPr>
        <w:ind w:left="840"/>
        <w:rPr>
          <w:lang w:val="en-US"/>
        </w:rPr>
      </w:pPr>
      <w:r>
        <w:rPr>
          <w:lang w:val="en-US"/>
        </w:rPr>
        <w:t xml:space="preserve">As suggested by IAEA (2009 </w:t>
      </w:r>
      <w:r w:rsidRPr="007701F9">
        <w:rPr>
          <w:color w:val="0070C0"/>
          <w:lang w:val="en-US"/>
        </w:rPr>
        <w:t>SSG-9</w:t>
      </w:r>
      <w:r>
        <w:rPr>
          <w:lang w:val="en-US"/>
        </w:rPr>
        <w:t xml:space="preserve">) </w:t>
      </w:r>
      <w:r w:rsidR="005429AA">
        <w:rPr>
          <w:lang w:val="en-US"/>
        </w:rPr>
        <w:t xml:space="preserve">the seismological database </w:t>
      </w:r>
      <w:r>
        <w:rPr>
          <w:lang w:val="en-US"/>
        </w:rPr>
        <w:t xml:space="preserve">data should also include </w:t>
      </w:r>
      <w:r w:rsidR="00DF2C13">
        <w:rPr>
          <w:lang w:val="en-US"/>
        </w:rPr>
        <w:t xml:space="preserve">all </w:t>
      </w:r>
      <w:r>
        <w:rPr>
          <w:lang w:val="en-US"/>
        </w:rPr>
        <w:t>types of data that help to identify seismogenic structures and support the seismotectonic model. Such data may pa</w:t>
      </w:r>
      <w:r>
        <w:rPr>
          <w:lang w:val="en-US"/>
        </w:rPr>
        <w:t>r</w:t>
      </w:r>
      <w:r>
        <w:rPr>
          <w:lang w:val="en-US"/>
        </w:rPr>
        <w:t>ticularly be obtained from local seismic networks around nuclear installations and include focal mech</w:t>
      </w:r>
      <w:r>
        <w:rPr>
          <w:lang w:val="en-US"/>
        </w:rPr>
        <w:t>a</w:t>
      </w:r>
      <w:r>
        <w:rPr>
          <w:lang w:val="en-US"/>
        </w:rPr>
        <w:t xml:space="preserve">nisms, fore- and aftershock sequences, and precise relocations of earthquakes. </w:t>
      </w:r>
      <w:r w:rsidR="00130883">
        <w:rPr>
          <w:lang w:val="en-US"/>
        </w:rPr>
        <w:t xml:space="preserve">IAEA (2015) further </w:t>
      </w:r>
      <w:r w:rsidR="00130883">
        <w:rPr>
          <w:lang w:val="en-US"/>
        </w:rPr>
        <w:lastRenderedPageBreak/>
        <w:t xml:space="preserve">clearly states that </w:t>
      </w:r>
      <w:r w:rsidR="00130883" w:rsidRPr="00130883">
        <w:rPr>
          <w:i/>
          <w:lang w:val="en-US"/>
        </w:rPr>
        <w:t>“seismic hazard assessments based on historical data are not sufficient to capture low frequency seismic events. Investigations to collect prehistoric data are needed”.</w:t>
      </w:r>
    </w:p>
    <w:p w:rsidR="001E0520" w:rsidRDefault="001E0520" w:rsidP="00860D1D">
      <w:pPr>
        <w:numPr>
          <w:ilvl w:val="0"/>
          <w:numId w:val="19"/>
        </w:numPr>
        <w:rPr>
          <w:lang w:val="en-US"/>
        </w:rPr>
      </w:pPr>
      <w:r w:rsidRPr="00130883">
        <w:rPr>
          <w:b/>
          <w:i/>
          <w:lang w:val="en-US"/>
        </w:rPr>
        <w:t>Site conditions.</w:t>
      </w:r>
      <w:r w:rsidR="00ED716C">
        <w:rPr>
          <w:lang w:val="en-US"/>
        </w:rPr>
        <w:t xml:space="preserve"> Site-specific seismic hazard assessments require to determine the geotechnical and d</w:t>
      </w:r>
      <w:r w:rsidR="00ED716C">
        <w:rPr>
          <w:lang w:val="en-US"/>
        </w:rPr>
        <w:t>y</w:t>
      </w:r>
      <w:r w:rsidR="00ED716C">
        <w:rPr>
          <w:lang w:val="en-US"/>
        </w:rPr>
        <w:t xml:space="preserve">namic characteristics of the site </w:t>
      </w:r>
      <w:r w:rsidR="00ED716C" w:rsidRPr="00ED716C">
        <w:rPr>
          <w:lang w:val="en-US"/>
        </w:rPr>
        <w:t>considering site topography, the crustal and soil structure below the reactor basemat, and seismic velocity profiles of seismic and geotechnic bedrocks.</w:t>
      </w:r>
      <w:r w:rsidR="00ED716C">
        <w:rPr>
          <w:lang w:val="en-US"/>
        </w:rPr>
        <w:t xml:space="preserve"> Guidance on this i</w:t>
      </w:r>
      <w:r w:rsidR="00ED716C">
        <w:rPr>
          <w:lang w:val="en-US"/>
        </w:rPr>
        <w:t>s</w:t>
      </w:r>
      <w:r w:rsidR="00ED716C">
        <w:rPr>
          <w:lang w:val="en-US"/>
        </w:rPr>
        <w:t xml:space="preserve">sue is provided by IAEA (2004 </w:t>
      </w:r>
      <w:r w:rsidR="00ED716C" w:rsidRPr="00ED716C">
        <w:rPr>
          <w:color w:val="0070C0"/>
          <w:lang w:val="en-US"/>
        </w:rPr>
        <w:t>NS-G-3.6</w:t>
      </w:r>
      <w:r w:rsidR="00ED716C">
        <w:rPr>
          <w:lang w:val="en-US"/>
        </w:rPr>
        <w:t>)</w:t>
      </w:r>
      <w:r w:rsidR="00DF2C13">
        <w:rPr>
          <w:lang w:val="en-US"/>
        </w:rPr>
        <w:t>.</w:t>
      </w:r>
    </w:p>
    <w:p w:rsidR="00286E90" w:rsidRDefault="00286E90" w:rsidP="00752D77">
      <w:pPr>
        <w:ind w:left="120"/>
        <w:rPr>
          <w:lang w:val="en-US"/>
        </w:rPr>
      </w:pPr>
    </w:p>
    <w:p w:rsidR="00C47C14" w:rsidRDefault="004041B9" w:rsidP="00752D77">
      <w:pPr>
        <w:ind w:left="120"/>
        <w:rPr>
          <w:lang w:val="en-US"/>
        </w:rPr>
      </w:pPr>
      <w:r>
        <w:rPr>
          <w:lang w:val="en-US"/>
        </w:rPr>
        <w:t xml:space="preserve">IAEA (2009 </w:t>
      </w:r>
      <w:r w:rsidRPr="00E3663A">
        <w:rPr>
          <w:lang w:val="en-US"/>
        </w:rPr>
        <w:t>SSG-9</w:t>
      </w:r>
      <w:r>
        <w:rPr>
          <w:lang w:val="en-US"/>
        </w:rPr>
        <w:t>) provides a</w:t>
      </w:r>
      <w:r w:rsidR="00DF2C13">
        <w:rPr>
          <w:lang w:val="en-US"/>
        </w:rPr>
        <w:t xml:space="preserve">n </w:t>
      </w:r>
      <w:r w:rsidR="00EF0E68">
        <w:rPr>
          <w:lang w:val="en-US"/>
        </w:rPr>
        <w:t xml:space="preserve">incompressible </w:t>
      </w:r>
      <w:r>
        <w:rPr>
          <w:lang w:val="en-US"/>
        </w:rPr>
        <w:t xml:space="preserve">compilation of data which is required for the assessment at the </w:t>
      </w:r>
      <w:r w:rsidR="00ED716C">
        <w:rPr>
          <w:lang w:val="en-US"/>
        </w:rPr>
        <w:t>r</w:t>
      </w:r>
      <w:r w:rsidR="00ED716C">
        <w:rPr>
          <w:lang w:val="en-US"/>
        </w:rPr>
        <w:t>e</w:t>
      </w:r>
      <w:r w:rsidR="00ED716C">
        <w:rPr>
          <w:lang w:val="en-US"/>
        </w:rPr>
        <w:t>gional (</w:t>
      </w:r>
      <w:r w:rsidR="009461A7">
        <w:rPr>
          <w:lang w:val="en-US"/>
        </w:rPr>
        <w:t xml:space="preserve">RE; </w:t>
      </w:r>
      <w:r w:rsidR="00ED716C">
        <w:rPr>
          <w:lang w:val="en-US"/>
        </w:rPr>
        <w:t>300 km), near-regional (</w:t>
      </w:r>
      <w:r w:rsidR="009461A7">
        <w:rPr>
          <w:lang w:val="en-US"/>
        </w:rPr>
        <w:t xml:space="preserve">NR; </w:t>
      </w:r>
      <w:r w:rsidR="00ED716C">
        <w:rPr>
          <w:lang w:val="en-US"/>
        </w:rPr>
        <w:t>25 km), site-vicinity (</w:t>
      </w:r>
      <w:r w:rsidR="009461A7">
        <w:rPr>
          <w:lang w:val="en-US"/>
        </w:rPr>
        <w:t xml:space="preserve">SV; </w:t>
      </w:r>
      <w:r w:rsidR="00ED716C">
        <w:rPr>
          <w:lang w:val="en-US"/>
        </w:rPr>
        <w:t xml:space="preserve">5 km) and site </w:t>
      </w:r>
      <w:r w:rsidR="009461A7">
        <w:rPr>
          <w:lang w:val="en-US"/>
        </w:rPr>
        <w:t xml:space="preserve">(SI) </w:t>
      </w:r>
      <w:r>
        <w:rPr>
          <w:lang w:val="en-US"/>
        </w:rPr>
        <w:t xml:space="preserve">scale. </w:t>
      </w:r>
      <w:r w:rsidR="00E3663A">
        <w:rPr>
          <w:lang w:val="en-US"/>
        </w:rPr>
        <w:t>In addition to</w:t>
      </w:r>
      <w:r>
        <w:rPr>
          <w:lang w:val="en-US"/>
        </w:rPr>
        <w:t xml:space="preserve"> the data listed </w:t>
      </w:r>
      <w:r w:rsidR="00E3663A">
        <w:rPr>
          <w:lang w:val="en-US"/>
        </w:rPr>
        <w:t xml:space="preserve">there </w:t>
      </w:r>
      <w:r>
        <w:rPr>
          <w:lang w:val="en-US"/>
        </w:rPr>
        <w:t>the following d</w:t>
      </w:r>
      <w:r w:rsidR="00ED716C">
        <w:rPr>
          <w:lang w:val="en-US"/>
        </w:rPr>
        <w:t xml:space="preserve">ata </w:t>
      </w:r>
      <w:r>
        <w:rPr>
          <w:lang w:val="en-US"/>
        </w:rPr>
        <w:t xml:space="preserve">should be </w:t>
      </w:r>
      <w:r w:rsidR="00ED716C">
        <w:rPr>
          <w:lang w:val="en-US"/>
        </w:rPr>
        <w:t>collect</w:t>
      </w:r>
      <w:r>
        <w:rPr>
          <w:lang w:val="en-US"/>
        </w:rPr>
        <w:t xml:space="preserve">ed </w:t>
      </w:r>
      <w:r w:rsidR="00086B52">
        <w:rPr>
          <w:lang w:val="en-US"/>
        </w:rPr>
        <w:t xml:space="preserve">and </w:t>
      </w:r>
      <w:r>
        <w:rPr>
          <w:lang w:val="en-US"/>
        </w:rPr>
        <w:t>acquired</w:t>
      </w:r>
      <w:r w:rsidR="00286E90">
        <w:rPr>
          <w:lang w:val="en-US"/>
        </w:rPr>
        <w:t xml:space="preserve"> to support </w:t>
      </w:r>
      <w:r w:rsidR="00DF2C13">
        <w:rPr>
          <w:lang w:val="en-US"/>
        </w:rPr>
        <w:t>hazard asses</w:t>
      </w:r>
      <w:r w:rsidR="00DF2C13">
        <w:rPr>
          <w:lang w:val="en-US"/>
        </w:rPr>
        <w:t>s</w:t>
      </w:r>
      <w:r w:rsidR="00DF2C13">
        <w:rPr>
          <w:lang w:val="en-US"/>
        </w:rPr>
        <w:t>ment:</w:t>
      </w:r>
    </w:p>
    <w:p w:rsidR="004041B9" w:rsidRDefault="004041B9" w:rsidP="00752D77">
      <w:pPr>
        <w:ind w:left="120"/>
        <w:rPr>
          <w:lang w:val="en-US"/>
        </w:rPr>
      </w:pPr>
    </w:p>
    <w:p w:rsidR="004041B9" w:rsidRPr="00DF2C13" w:rsidRDefault="009461A7" w:rsidP="00752D77">
      <w:pPr>
        <w:ind w:left="120"/>
        <w:rPr>
          <w:b/>
          <w:i/>
          <w:lang w:val="en-US"/>
        </w:rPr>
      </w:pPr>
      <w:r w:rsidRPr="00DF2C13">
        <w:rPr>
          <w:b/>
          <w:i/>
          <w:lang w:val="en-US"/>
        </w:rPr>
        <w:t>Database of s</w:t>
      </w:r>
      <w:r w:rsidR="004041B9" w:rsidRPr="00DF2C13">
        <w:rPr>
          <w:b/>
          <w:i/>
          <w:lang w:val="en-US"/>
        </w:rPr>
        <w:t>cientific</w:t>
      </w:r>
      <w:r w:rsidR="00B07367">
        <w:rPr>
          <w:b/>
          <w:i/>
          <w:lang w:val="en-US"/>
        </w:rPr>
        <w:t xml:space="preserve"> and technical</w:t>
      </w:r>
      <w:r w:rsidR="00CA52EA">
        <w:rPr>
          <w:b/>
          <w:i/>
          <w:lang w:val="en-US"/>
        </w:rPr>
        <w:t xml:space="preserve"> literature</w:t>
      </w:r>
      <w:r w:rsidR="004041B9" w:rsidRPr="00DF2C13">
        <w:rPr>
          <w:b/>
          <w:i/>
          <w:lang w:val="en-US"/>
        </w:rPr>
        <w:t xml:space="preserve">: </w:t>
      </w:r>
    </w:p>
    <w:p w:rsidR="009461A7" w:rsidRDefault="00CA52EA" w:rsidP="00860D1D">
      <w:pPr>
        <w:numPr>
          <w:ilvl w:val="0"/>
          <w:numId w:val="21"/>
        </w:numPr>
        <w:rPr>
          <w:lang w:val="en-US"/>
        </w:rPr>
      </w:pPr>
      <w:r>
        <w:rPr>
          <w:b/>
          <w:i/>
          <w:lang w:val="en-US"/>
        </w:rPr>
        <w:t>Data</w:t>
      </w:r>
      <w:r w:rsidR="00286E90" w:rsidRPr="00286E90">
        <w:rPr>
          <w:b/>
          <w:i/>
          <w:lang w:val="en-US"/>
        </w:rPr>
        <w:t>:</w:t>
      </w:r>
      <w:r w:rsidR="00286E90">
        <w:rPr>
          <w:lang w:val="en-US"/>
        </w:rPr>
        <w:t xml:space="preserve"> </w:t>
      </w:r>
      <w:r w:rsidR="000E529B">
        <w:rPr>
          <w:lang w:val="en-US"/>
        </w:rPr>
        <w:t>g</w:t>
      </w:r>
      <w:r w:rsidR="009461A7">
        <w:rPr>
          <w:lang w:val="en-US"/>
        </w:rPr>
        <w:t xml:space="preserve">eological and geophysical research </w:t>
      </w:r>
      <w:r w:rsidR="00286E90">
        <w:rPr>
          <w:lang w:val="en-US"/>
        </w:rPr>
        <w:t xml:space="preserve">papers </w:t>
      </w:r>
      <w:r w:rsidR="009461A7">
        <w:rPr>
          <w:lang w:val="en-US"/>
        </w:rPr>
        <w:t>on seismicity, seismotectonics, and active faulting</w:t>
      </w:r>
      <w:r w:rsidR="00DF2C13">
        <w:rPr>
          <w:lang w:val="en-US"/>
        </w:rPr>
        <w:t>.</w:t>
      </w:r>
      <w:r w:rsidR="00286E90">
        <w:rPr>
          <w:lang w:val="en-US"/>
        </w:rPr>
        <w:t xml:space="preserve"> </w:t>
      </w:r>
      <w:r w:rsidR="00DF2C13">
        <w:rPr>
          <w:lang w:val="en-US"/>
        </w:rPr>
        <w:t>T</w:t>
      </w:r>
      <w:r w:rsidR="00286E90">
        <w:rPr>
          <w:lang w:val="en-US"/>
        </w:rPr>
        <w:t>he number of</w:t>
      </w:r>
      <w:r w:rsidR="00DF2C13">
        <w:rPr>
          <w:lang w:val="en-US"/>
        </w:rPr>
        <w:t xml:space="preserve"> topical</w:t>
      </w:r>
      <w:r w:rsidR="00286E90">
        <w:rPr>
          <w:lang w:val="en-US"/>
        </w:rPr>
        <w:t xml:space="preserve"> papers </w:t>
      </w:r>
      <w:r w:rsidR="009461A7">
        <w:rPr>
          <w:lang w:val="en-US"/>
        </w:rPr>
        <w:t xml:space="preserve">has tremendously increased </w:t>
      </w:r>
      <w:r w:rsidR="00286E90">
        <w:rPr>
          <w:lang w:val="en-US"/>
        </w:rPr>
        <w:t>in the past years</w:t>
      </w:r>
      <w:r w:rsidR="00DF2C13">
        <w:rPr>
          <w:lang w:val="en-US"/>
        </w:rPr>
        <w:t xml:space="preserve"> due to a recent shift of the focus of academic research to active seismotectonic phenomena and processes. I</w:t>
      </w:r>
      <w:r w:rsidR="009461A7">
        <w:rPr>
          <w:lang w:val="en-US"/>
        </w:rPr>
        <w:t>t is therefore i</w:t>
      </w:r>
      <w:r w:rsidR="009461A7">
        <w:rPr>
          <w:lang w:val="en-US"/>
        </w:rPr>
        <w:t>n</w:t>
      </w:r>
      <w:r w:rsidR="009461A7">
        <w:rPr>
          <w:lang w:val="en-US"/>
        </w:rPr>
        <w:t>d</w:t>
      </w:r>
      <w:r w:rsidR="00EF0E68">
        <w:rPr>
          <w:lang w:val="en-US"/>
        </w:rPr>
        <w:t>i</w:t>
      </w:r>
      <w:r w:rsidR="009461A7">
        <w:rPr>
          <w:lang w:val="en-US"/>
        </w:rPr>
        <w:t>spensable to collect a database of relevant scientific papers (RE, NR, SV)</w:t>
      </w:r>
      <w:r w:rsidR="000E529B">
        <w:rPr>
          <w:lang w:val="en-US"/>
        </w:rPr>
        <w:t>,</w:t>
      </w:r>
    </w:p>
    <w:p w:rsidR="00286E90" w:rsidRDefault="00CA52EA" w:rsidP="00286E90">
      <w:pPr>
        <w:ind w:left="840" w:firstLine="229"/>
        <w:rPr>
          <w:lang w:val="en-US"/>
        </w:rPr>
      </w:pPr>
      <w:r>
        <w:rPr>
          <w:b/>
          <w:i/>
          <w:lang w:val="en-US"/>
        </w:rPr>
        <w:t>Purpose</w:t>
      </w:r>
      <w:r w:rsidR="00286E90" w:rsidRPr="00286E90">
        <w:rPr>
          <w:b/>
          <w:i/>
          <w:lang w:val="en-US"/>
        </w:rPr>
        <w:t>:</w:t>
      </w:r>
      <w:r w:rsidR="000E529B">
        <w:rPr>
          <w:lang w:val="en-US"/>
        </w:rPr>
        <w:t xml:space="preserve"> s</w:t>
      </w:r>
      <w:r w:rsidR="00286E90">
        <w:rPr>
          <w:lang w:val="en-US"/>
        </w:rPr>
        <w:t>upport the construction of a seismotectonic model</w:t>
      </w:r>
      <w:r w:rsidR="000E529B">
        <w:rPr>
          <w:lang w:val="en-US"/>
        </w:rPr>
        <w:t>.</w:t>
      </w:r>
    </w:p>
    <w:p w:rsidR="00B07367" w:rsidRDefault="00B07367" w:rsidP="00752D77">
      <w:pPr>
        <w:ind w:left="120"/>
        <w:rPr>
          <w:lang w:val="en-US"/>
        </w:rPr>
      </w:pPr>
    </w:p>
    <w:p w:rsidR="00B07367" w:rsidRDefault="00CA52EA" w:rsidP="00B07367">
      <w:pPr>
        <w:ind w:left="120"/>
        <w:rPr>
          <w:b/>
          <w:i/>
          <w:lang w:val="en-US"/>
        </w:rPr>
      </w:pPr>
      <w:r>
        <w:rPr>
          <w:b/>
          <w:i/>
          <w:lang w:val="en-US"/>
        </w:rPr>
        <w:t>Seismological data</w:t>
      </w:r>
      <w:r w:rsidR="00B07367" w:rsidRPr="00B07367">
        <w:rPr>
          <w:b/>
          <w:i/>
          <w:lang w:val="en-US"/>
        </w:rPr>
        <w:t>:</w:t>
      </w:r>
    </w:p>
    <w:p w:rsidR="00B07367" w:rsidRDefault="00CA52EA" w:rsidP="00860D1D">
      <w:pPr>
        <w:numPr>
          <w:ilvl w:val="0"/>
          <w:numId w:val="21"/>
        </w:numPr>
        <w:rPr>
          <w:lang w:val="en-US"/>
        </w:rPr>
      </w:pPr>
      <w:r>
        <w:rPr>
          <w:b/>
          <w:i/>
          <w:lang w:val="en-US"/>
        </w:rPr>
        <w:t>Data</w:t>
      </w:r>
      <w:r w:rsidR="00B07367" w:rsidRPr="00286E90">
        <w:rPr>
          <w:b/>
          <w:i/>
          <w:lang w:val="en-US"/>
        </w:rPr>
        <w:t>:</w:t>
      </w:r>
      <w:r w:rsidR="000E529B">
        <w:rPr>
          <w:lang w:val="en-US"/>
        </w:rPr>
        <w:t xml:space="preserve"> e</w:t>
      </w:r>
      <w:r w:rsidR="00B07367">
        <w:rPr>
          <w:lang w:val="en-US"/>
        </w:rPr>
        <w:t xml:space="preserve">arthquake catalogues </w:t>
      </w:r>
      <w:r w:rsidR="00B57226">
        <w:rPr>
          <w:lang w:val="en-US"/>
        </w:rPr>
        <w:t>with</w:t>
      </w:r>
      <w:r w:rsidR="00B07367">
        <w:rPr>
          <w:lang w:val="en-US"/>
        </w:rPr>
        <w:t xml:space="preserve"> instrumental / historical / paleoseismological data (RE, NR, SV) </w:t>
      </w:r>
      <w:r w:rsidR="00B57226" w:rsidRPr="00B57226">
        <w:rPr>
          <w:lang w:val="en-US"/>
        </w:rPr>
        <w:t>Earthquake data from local observation networks (NR, SV)</w:t>
      </w:r>
      <w:r w:rsidR="00B57226">
        <w:rPr>
          <w:lang w:val="en-US"/>
        </w:rPr>
        <w:t xml:space="preserve"> and data listed in by IAEA (2009 </w:t>
      </w:r>
      <w:r w:rsidR="00B57226" w:rsidRPr="007701F9">
        <w:rPr>
          <w:color w:val="0070C0"/>
          <w:lang w:val="en-US"/>
        </w:rPr>
        <w:t>SSG-9</w:t>
      </w:r>
      <w:r w:rsidR="00B57226">
        <w:rPr>
          <w:lang w:val="en-US"/>
        </w:rPr>
        <w:t>)</w:t>
      </w:r>
      <w:r w:rsidR="000E529B">
        <w:rPr>
          <w:lang w:val="en-US"/>
        </w:rPr>
        <w:t>,</w:t>
      </w:r>
    </w:p>
    <w:p w:rsidR="00B07367" w:rsidRDefault="00CA52EA" w:rsidP="00B57226">
      <w:pPr>
        <w:ind w:left="1069"/>
        <w:rPr>
          <w:lang w:val="en-US"/>
        </w:rPr>
      </w:pPr>
      <w:r>
        <w:rPr>
          <w:b/>
          <w:i/>
          <w:lang w:val="en-US"/>
        </w:rPr>
        <w:t>Purpose</w:t>
      </w:r>
      <w:r w:rsidR="00B07367" w:rsidRPr="00286E90">
        <w:rPr>
          <w:b/>
          <w:i/>
          <w:lang w:val="en-US"/>
        </w:rPr>
        <w:t>:</w:t>
      </w:r>
      <w:r w:rsidR="00B07367">
        <w:rPr>
          <w:lang w:val="en-US"/>
        </w:rPr>
        <w:t xml:space="preserve"> </w:t>
      </w:r>
      <w:r w:rsidR="000E529B">
        <w:rPr>
          <w:lang w:val="en-US"/>
        </w:rPr>
        <w:t>d</w:t>
      </w:r>
      <w:r w:rsidR="00B57226">
        <w:rPr>
          <w:lang w:val="en-US"/>
        </w:rPr>
        <w:t xml:space="preserve">efinition of seismicity; </w:t>
      </w:r>
      <w:r w:rsidR="00B07367">
        <w:rPr>
          <w:lang w:val="en-US"/>
        </w:rPr>
        <w:t>construction of a seismotectonic model</w:t>
      </w:r>
      <w:r w:rsidR="00B57226">
        <w:rPr>
          <w:lang w:val="en-US"/>
        </w:rPr>
        <w:t>; i</w:t>
      </w:r>
      <w:r w:rsidR="00086B52">
        <w:rPr>
          <w:lang w:val="en-US"/>
        </w:rPr>
        <w:t>dentification of active faults</w:t>
      </w:r>
      <w:r w:rsidR="000E529B">
        <w:rPr>
          <w:lang w:val="en-US"/>
        </w:rPr>
        <w:t>.</w:t>
      </w:r>
    </w:p>
    <w:p w:rsidR="00B57226" w:rsidRDefault="00CA52EA" w:rsidP="00860D1D">
      <w:pPr>
        <w:numPr>
          <w:ilvl w:val="0"/>
          <w:numId w:val="21"/>
        </w:numPr>
        <w:rPr>
          <w:lang w:val="en-US"/>
        </w:rPr>
      </w:pPr>
      <w:r>
        <w:rPr>
          <w:b/>
          <w:i/>
          <w:lang w:val="en-US"/>
        </w:rPr>
        <w:t>Data</w:t>
      </w:r>
      <w:r w:rsidR="00B57226" w:rsidRPr="00286E90">
        <w:rPr>
          <w:b/>
          <w:i/>
          <w:lang w:val="en-US"/>
        </w:rPr>
        <w:t>:</w:t>
      </w:r>
      <w:r w:rsidR="00B57226">
        <w:rPr>
          <w:lang w:val="en-US"/>
        </w:rPr>
        <w:t xml:space="preserve"> </w:t>
      </w:r>
      <w:r w:rsidR="000E529B">
        <w:rPr>
          <w:lang w:val="en-US"/>
        </w:rPr>
        <w:t>c</w:t>
      </w:r>
      <w:r w:rsidR="00B57226" w:rsidRPr="00B57226">
        <w:rPr>
          <w:lang w:val="en-US"/>
        </w:rPr>
        <w:t>ompilations of focal mechanism (fault plane solution) data</w:t>
      </w:r>
      <w:r w:rsidR="00B57226">
        <w:rPr>
          <w:lang w:val="en-US"/>
        </w:rPr>
        <w:t xml:space="preserve"> and seismic moment tensors</w:t>
      </w:r>
      <w:r w:rsidR="00B57226" w:rsidRPr="00B57226">
        <w:rPr>
          <w:lang w:val="en-US"/>
        </w:rPr>
        <w:t xml:space="preserve"> (RE)</w:t>
      </w:r>
      <w:r w:rsidR="000E529B">
        <w:rPr>
          <w:lang w:val="en-US"/>
        </w:rPr>
        <w:t>,</w:t>
      </w:r>
    </w:p>
    <w:p w:rsidR="00B57226" w:rsidRDefault="00CA52EA" w:rsidP="00B57226">
      <w:pPr>
        <w:ind w:left="1069"/>
        <w:rPr>
          <w:lang w:val="en-US"/>
        </w:rPr>
      </w:pPr>
      <w:r>
        <w:rPr>
          <w:b/>
          <w:i/>
          <w:lang w:val="en-US"/>
        </w:rPr>
        <w:t>Purpose</w:t>
      </w:r>
      <w:r w:rsidR="00B57226" w:rsidRPr="00286E90">
        <w:rPr>
          <w:b/>
          <w:i/>
          <w:lang w:val="en-US"/>
        </w:rPr>
        <w:t>:</w:t>
      </w:r>
      <w:r w:rsidR="000E529B">
        <w:rPr>
          <w:lang w:val="en-US"/>
        </w:rPr>
        <w:t xml:space="preserve"> a</w:t>
      </w:r>
      <w:r w:rsidR="00B57226">
        <w:rPr>
          <w:lang w:val="en-US"/>
        </w:rPr>
        <w:t>ssess the orientation and kinematics of seismogenic faults; support the construction of a seismotectonic model</w:t>
      </w:r>
      <w:r w:rsidR="000E529B">
        <w:rPr>
          <w:lang w:val="en-US"/>
        </w:rPr>
        <w:t>,</w:t>
      </w:r>
    </w:p>
    <w:p w:rsidR="00086B52" w:rsidRDefault="00CA52EA" w:rsidP="00860D1D">
      <w:pPr>
        <w:numPr>
          <w:ilvl w:val="0"/>
          <w:numId w:val="21"/>
        </w:numPr>
        <w:rPr>
          <w:lang w:val="en-US"/>
        </w:rPr>
      </w:pPr>
      <w:r>
        <w:rPr>
          <w:b/>
          <w:i/>
          <w:lang w:val="en-US"/>
        </w:rPr>
        <w:t>Data</w:t>
      </w:r>
      <w:r w:rsidR="00086B52" w:rsidRPr="00286E90">
        <w:rPr>
          <w:b/>
          <w:i/>
          <w:lang w:val="en-US"/>
        </w:rPr>
        <w:t>:</w:t>
      </w:r>
      <w:r w:rsidR="000E529B">
        <w:rPr>
          <w:lang w:val="en-US"/>
        </w:rPr>
        <w:t xml:space="preserve"> s</w:t>
      </w:r>
      <w:r w:rsidR="00086B52">
        <w:rPr>
          <w:lang w:val="en-US"/>
        </w:rPr>
        <w:t xml:space="preserve">trong motion data and/or intensity data points of individual events, isoseismal maps, ground motion prediction equations published in scientific and technical literature data </w:t>
      </w:r>
      <w:r w:rsidR="00086B52" w:rsidRPr="00B57226">
        <w:rPr>
          <w:lang w:val="en-US"/>
        </w:rPr>
        <w:t>(RE)</w:t>
      </w:r>
      <w:r w:rsidR="000E529B">
        <w:rPr>
          <w:lang w:val="en-US"/>
        </w:rPr>
        <w:t>,</w:t>
      </w:r>
    </w:p>
    <w:p w:rsidR="00086B52" w:rsidRDefault="00CA52EA" w:rsidP="00086B52">
      <w:pPr>
        <w:ind w:left="1069"/>
        <w:rPr>
          <w:lang w:val="en-US"/>
        </w:rPr>
      </w:pPr>
      <w:r>
        <w:rPr>
          <w:b/>
          <w:i/>
          <w:lang w:val="en-US"/>
        </w:rPr>
        <w:t>Purpose</w:t>
      </w:r>
      <w:r w:rsidR="00086B52" w:rsidRPr="00286E90">
        <w:rPr>
          <w:b/>
          <w:i/>
          <w:lang w:val="en-US"/>
        </w:rPr>
        <w:t>:</w:t>
      </w:r>
      <w:r w:rsidR="000E529B">
        <w:rPr>
          <w:lang w:val="en-US"/>
        </w:rPr>
        <w:t xml:space="preserve"> s</w:t>
      </w:r>
      <w:r w:rsidR="00086B52">
        <w:rPr>
          <w:lang w:val="en-US"/>
        </w:rPr>
        <w:t>election of appropriate ground motion prediction equations</w:t>
      </w:r>
      <w:r w:rsidR="000E529B">
        <w:rPr>
          <w:lang w:val="en-US"/>
        </w:rPr>
        <w:t>.</w:t>
      </w:r>
    </w:p>
    <w:p w:rsidR="00086B52" w:rsidRDefault="00086B52" w:rsidP="00B57226">
      <w:pPr>
        <w:ind w:left="1069"/>
        <w:rPr>
          <w:lang w:val="en-US"/>
        </w:rPr>
      </w:pPr>
    </w:p>
    <w:p w:rsidR="003E74B9" w:rsidRPr="00DF2C13" w:rsidRDefault="003E74B9" w:rsidP="00752D77">
      <w:pPr>
        <w:ind w:left="120"/>
        <w:rPr>
          <w:b/>
          <w:i/>
          <w:lang w:val="en-US"/>
        </w:rPr>
      </w:pPr>
      <w:r w:rsidRPr="00DF2C13">
        <w:rPr>
          <w:b/>
          <w:i/>
          <w:lang w:val="en-US"/>
        </w:rPr>
        <w:t>G</w:t>
      </w:r>
      <w:r w:rsidR="00E01D15" w:rsidRPr="00DF2C13">
        <w:rPr>
          <w:b/>
          <w:i/>
          <w:lang w:val="en-US"/>
        </w:rPr>
        <w:t xml:space="preserve">eological </w:t>
      </w:r>
      <w:r w:rsidR="004041B9" w:rsidRPr="00DF2C13">
        <w:rPr>
          <w:b/>
          <w:i/>
          <w:lang w:val="en-US"/>
        </w:rPr>
        <w:t xml:space="preserve">and tectonic </w:t>
      </w:r>
      <w:r w:rsidR="00CA52EA">
        <w:rPr>
          <w:b/>
          <w:i/>
          <w:lang w:val="en-US"/>
        </w:rPr>
        <w:t>data:</w:t>
      </w:r>
    </w:p>
    <w:p w:rsidR="00600940" w:rsidRDefault="00CA52EA" w:rsidP="00860D1D">
      <w:pPr>
        <w:numPr>
          <w:ilvl w:val="0"/>
          <w:numId w:val="21"/>
        </w:numPr>
        <w:rPr>
          <w:lang w:val="en-US"/>
        </w:rPr>
      </w:pPr>
      <w:r>
        <w:rPr>
          <w:b/>
          <w:i/>
          <w:lang w:val="en-US"/>
        </w:rPr>
        <w:t>Data</w:t>
      </w:r>
      <w:r w:rsidR="00286E90" w:rsidRPr="00600940">
        <w:rPr>
          <w:b/>
          <w:i/>
          <w:lang w:val="en-US"/>
        </w:rPr>
        <w:t>:</w:t>
      </w:r>
      <w:r w:rsidR="00286E90" w:rsidRPr="00286E90">
        <w:rPr>
          <w:lang w:val="en-US"/>
        </w:rPr>
        <w:t xml:space="preserve"> </w:t>
      </w:r>
      <w:r w:rsidR="000E529B">
        <w:rPr>
          <w:lang w:val="en-US"/>
        </w:rPr>
        <w:t>t</w:t>
      </w:r>
      <w:r w:rsidR="00A95BAE" w:rsidRPr="00286E90">
        <w:rPr>
          <w:lang w:val="en-US"/>
        </w:rPr>
        <w:t>ectonic maps showing all relevant faults (both inactive and active) with adequate scales</w:t>
      </w:r>
      <w:r w:rsidR="00286E90" w:rsidRPr="00286E90">
        <w:rPr>
          <w:lang w:val="en-US"/>
        </w:rPr>
        <w:t xml:space="preserve">; </w:t>
      </w:r>
      <w:r w:rsidR="00286E90">
        <w:rPr>
          <w:lang w:val="en-US"/>
        </w:rPr>
        <w:t>c</w:t>
      </w:r>
      <w:r w:rsidR="00A95BAE" w:rsidRPr="00286E90">
        <w:rPr>
          <w:lang w:val="en-US"/>
        </w:rPr>
        <w:t xml:space="preserve">ompilation of the tectonic history of the area under consideration as derived from structural geology techniques </w:t>
      </w:r>
      <w:r w:rsidR="00DF2C13">
        <w:rPr>
          <w:lang w:val="en-US"/>
        </w:rPr>
        <w:t xml:space="preserve">and tectonic analyses </w:t>
      </w:r>
      <w:r w:rsidR="00A95BAE" w:rsidRPr="00286E90">
        <w:rPr>
          <w:lang w:val="en-US"/>
        </w:rPr>
        <w:t>(literature compilation)</w:t>
      </w:r>
      <w:r w:rsidR="00286E90">
        <w:rPr>
          <w:lang w:val="en-US"/>
        </w:rPr>
        <w:t>; list of significant</w:t>
      </w:r>
      <w:r w:rsidR="00286E90">
        <w:rPr>
          <w:rStyle w:val="Appelnotedebasdep"/>
          <w:lang w:val="en-US"/>
        </w:rPr>
        <w:footnoteReference w:id="6"/>
      </w:r>
      <w:r w:rsidR="00286E90">
        <w:rPr>
          <w:lang w:val="en-US"/>
        </w:rPr>
        <w:t xml:space="preserve"> tectonic faults (both a</w:t>
      </w:r>
      <w:r w:rsidR="00286E90">
        <w:rPr>
          <w:lang w:val="en-US"/>
        </w:rPr>
        <w:t>c</w:t>
      </w:r>
      <w:r w:rsidR="00286E90">
        <w:rPr>
          <w:lang w:val="en-US"/>
        </w:rPr>
        <w:lastRenderedPageBreak/>
        <w:t xml:space="preserve">tive and inactive) with fault names, orientation, slip characteristics, geological evidence for youngest slip events </w:t>
      </w:r>
      <w:r w:rsidR="00286E90" w:rsidRPr="00286E90">
        <w:rPr>
          <w:lang w:val="en-US"/>
        </w:rPr>
        <w:t>(RE, NR, SV)</w:t>
      </w:r>
      <w:r w:rsidR="00600940">
        <w:rPr>
          <w:lang w:val="en-US"/>
        </w:rPr>
        <w:t>; recent stress data</w:t>
      </w:r>
      <w:r w:rsidR="00B07367">
        <w:rPr>
          <w:lang w:val="en-US"/>
        </w:rPr>
        <w:t xml:space="preserve"> preferably from deep industrial boreholes</w:t>
      </w:r>
      <w:r w:rsidR="00600940">
        <w:rPr>
          <w:lang w:val="en-US"/>
        </w:rPr>
        <w:t xml:space="preserve"> (RE)</w:t>
      </w:r>
      <w:r w:rsidR="000E529B">
        <w:rPr>
          <w:lang w:val="en-US"/>
        </w:rPr>
        <w:t>,</w:t>
      </w:r>
    </w:p>
    <w:p w:rsidR="00D46C47" w:rsidRDefault="00CA52EA" w:rsidP="00D46C47">
      <w:pPr>
        <w:ind w:left="1069"/>
        <w:rPr>
          <w:lang w:val="en-US"/>
        </w:rPr>
      </w:pPr>
      <w:r>
        <w:rPr>
          <w:b/>
          <w:i/>
          <w:lang w:val="en-US"/>
        </w:rPr>
        <w:t>Purpose</w:t>
      </w:r>
      <w:r w:rsidR="00286E90" w:rsidRPr="00600940">
        <w:rPr>
          <w:b/>
          <w:i/>
          <w:lang w:val="en-US"/>
        </w:rPr>
        <w:t>:</w:t>
      </w:r>
      <w:r w:rsidR="000E529B">
        <w:rPr>
          <w:lang w:val="en-US"/>
        </w:rPr>
        <w:t xml:space="preserve"> s</w:t>
      </w:r>
      <w:r w:rsidR="00286E90">
        <w:rPr>
          <w:lang w:val="en-US"/>
        </w:rPr>
        <w:t>upport the construction of a seismotectonic model</w:t>
      </w:r>
      <w:r w:rsidR="00600940">
        <w:rPr>
          <w:lang w:val="en-US"/>
        </w:rPr>
        <w:t xml:space="preserve">; </w:t>
      </w:r>
      <w:r w:rsidR="00286E90">
        <w:rPr>
          <w:lang w:val="en-US"/>
        </w:rPr>
        <w:t>loca</w:t>
      </w:r>
      <w:r w:rsidR="00600940">
        <w:rPr>
          <w:lang w:val="en-US"/>
        </w:rPr>
        <w:t xml:space="preserve">te </w:t>
      </w:r>
      <w:r w:rsidR="00286E90">
        <w:rPr>
          <w:lang w:val="en-US"/>
        </w:rPr>
        <w:t>and characterize faults</w:t>
      </w:r>
      <w:r w:rsidR="00600940">
        <w:rPr>
          <w:lang w:val="en-US"/>
        </w:rPr>
        <w:t xml:space="preserve"> (orient</w:t>
      </w:r>
      <w:r w:rsidR="00600940">
        <w:rPr>
          <w:lang w:val="en-US"/>
        </w:rPr>
        <w:t>a</w:t>
      </w:r>
      <w:r w:rsidR="00600940">
        <w:rPr>
          <w:lang w:val="en-US"/>
        </w:rPr>
        <w:t>tion, slip characteristics); identify faults which could move in current stress field (RE, NR, SV)</w:t>
      </w:r>
      <w:r w:rsidR="000E529B">
        <w:rPr>
          <w:lang w:val="en-US"/>
        </w:rPr>
        <w:t>,</w:t>
      </w:r>
    </w:p>
    <w:p w:rsidR="00D46C47" w:rsidRPr="00D46C47" w:rsidRDefault="00CA52EA" w:rsidP="00860D1D">
      <w:pPr>
        <w:numPr>
          <w:ilvl w:val="0"/>
          <w:numId w:val="21"/>
        </w:numPr>
        <w:rPr>
          <w:lang w:val="en-US"/>
        </w:rPr>
      </w:pPr>
      <w:r>
        <w:rPr>
          <w:b/>
          <w:i/>
          <w:lang w:val="en-US"/>
        </w:rPr>
        <w:t>Data</w:t>
      </w:r>
      <w:r w:rsidR="00D46C47" w:rsidRPr="00600940">
        <w:rPr>
          <w:b/>
          <w:i/>
          <w:lang w:val="en-US"/>
        </w:rPr>
        <w:t>:</w:t>
      </w:r>
      <w:r w:rsidR="00D46C47" w:rsidRPr="00286E90">
        <w:rPr>
          <w:lang w:val="en-US"/>
        </w:rPr>
        <w:t xml:space="preserve"> </w:t>
      </w:r>
      <w:r w:rsidR="000E529B">
        <w:rPr>
          <w:lang w:val="en-US"/>
        </w:rPr>
        <w:t>l</w:t>
      </w:r>
      <w:r w:rsidR="00D46C47" w:rsidRPr="00D46C47">
        <w:rPr>
          <w:lang w:val="en-US"/>
        </w:rPr>
        <w:t xml:space="preserve">ist of proved / disputed active faults from published data </w:t>
      </w:r>
      <w:r w:rsidR="00D46C47">
        <w:rPr>
          <w:lang w:val="en-US"/>
        </w:rPr>
        <w:t xml:space="preserve">or fault </w:t>
      </w:r>
      <w:r w:rsidR="00D46C47" w:rsidRPr="00D46C47">
        <w:rPr>
          <w:lang w:val="en-US"/>
        </w:rPr>
        <w:t>databases (RE, NR)</w:t>
      </w:r>
      <w:r w:rsidR="000E529B">
        <w:rPr>
          <w:lang w:val="en-US"/>
        </w:rPr>
        <w:t>,</w:t>
      </w:r>
    </w:p>
    <w:p w:rsidR="00D46C47" w:rsidRDefault="00CA52EA" w:rsidP="00D46C47">
      <w:pPr>
        <w:ind w:left="1069"/>
        <w:rPr>
          <w:lang w:val="en-US"/>
        </w:rPr>
      </w:pPr>
      <w:r>
        <w:rPr>
          <w:b/>
          <w:i/>
          <w:lang w:val="en-US"/>
        </w:rPr>
        <w:t>Purpose</w:t>
      </w:r>
      <w:r w:rsidR="00D46C47" w:rsidRPr="00600940">
        <w:rPr>
          <w:b/>
          <w:i/>
          <w:lang w:val="en-US"/>
        </w:rPr>
        <w:t>:</w:t>
      </w:r>
      <w:r w:rsidR="000E529B">
        <w:rPr>
          <w:lang w:val="en-US"/>
        </w:rPr>
        <w:t xml:space="preserve"> s</w:t>
      </w:r>
      <w:r w:rsidR="00D46C47">
        <w:rPr>
          <w:lang w:val="en-US"/>
        </w:rPr>
        <w:t>upport the construction of a seismotectonic model; locate</w:t>
      </w:r>
      <w:r w:rsidR="000E529B">
        <w:rPr>
          <w:lang w:val="en-US"/>
        </w:rPr>
        <w:t xml:space="preserve"> and characterize active faults.</w:t>
      </w:r>
    </w:p>
    <w:p w:rsidR="00D46C47" w:rsidRDefault="00D46C47" w:rsidP="00600940">
      <w:pPr>
        <w:ind w:left="1069"/>
        <w:rPr>
          <w:lang w:val="en-US"/>
        </w:rPr>
      </w:pPr>
    </w:p>
    <w:p w:rsidR="00B6292B" w:rsidRPr="00B07367" w:rsidRDefault="00CA52EA" w:rsidP="00B6292B">
      <w:pPr>
        <w:ind w:left="120"/>
        <w:rPr>
          <w:b/>
          <w:i/>
          <w:lang w:val="en-US"/>
        </w:rPr>
      </w:pPr>
      <w:r>
        <w:rPr>
          <w:b/>
          <w:i/>
          <w:lang w:val="en-US"/>
        </w:rPr>
        <w:t>Geophysical data</w:t>
      </w:r>
      <w:r w:rsidR="00B6292B" w:rsidRPr="00B07367">
        <w:rPr>
          <w:b/>
          <w:i/>
          <w:lang w:val="en-US"/>
        </w:rPr>
        <w:t>:</w:t>
      </w:r>
    </w:p>
    <w:p w:rsidR="009461A7" w:rsidRDefault="00CA35F2" w:rsidP="00860D1D">
      <w:pPr>
        <w:numPr>
          <w:ilvl w:val="0"/>
          <w:numId w:val="21"/>
        </w:numPr>
        <w:rPr>
          <w:lang w:val="en-US"/>
        </w:rPr>
      </w:pPr>
      <w:r>
        <w:rPr>
          <w:b/>
          <w:i/>
          <w:lang w:val="en-US"/>
        </w:rPr>
        <w:t>Data</w:t>
      </w:r>
      <w:r w:rsidR="00600940" w:rsidRPr="00600940">
        <w:rPr>
          <w:b/>
          <w:i/>
          <w:lang w:val="en-US"/>
        </w:rPr>
        <w:t>:</w:t>
      </w:r>
      <w:r w:rsidR="00600940" w:rsidRPr="00286E90">
        <w:rPr>
          <w:lang w:val="en-US"/>
        </w:rPr>
        <w:t xml:space="preserve"> </w:t>
      </w:r>
      <w:r w:rsidR="000E529B">
        <w:rPr>
          <w:lang w:val="en-US"/>
        </w:rPr>
        <w:t>r</w:t>
      </w:r>
      <w:r w:rsidR="009461A7">
        <w:rPr>
          <w:lang w:val="en-US"/>
        </w:rPr>
        <w:t xml:space="preserve">eflection / refraction seismic, </w:t>
      </w:r>
      <w:r w:rsidR="00600940">
        <w:rPr>
          <w:lang w:val="en-US"/>
        </w:rPr>
        <w:t xml:space="preserve">seismic tomography, </w:t>
      </w:r>
      <w:r w:rsidR="009461A7">
        <w:rPr>
          <w:lang w:val="en-US"/>
        </w:rPr>
        <w:t>heat flow</w:t>
      </w:r>
      <w:r w:rsidR="00600940">
        <w:rPr>
          <w:lang w:val="en-US"/>
        </w:rPr>
        <w:t xml:space="preserve">, gravity </w:t>
      </w:r>
      <w:r w:rsidR="009461A7">
        <w:rPr>
          <w:lang w:val="en-US"/>
        </w:rPr>
        <w:t>(RE</w:t>
      </w:r>
      <w:r w:rsidR="00CA52EA">
        <w:rPr>
          <w:lang w:val="en-US"/>
        </w:rPr>
        <w:t>)</w:t>
      </w:r>
      <w:r w:rsidR="000E529B">
        <w:rPr>
          <w:lang w:val="en-US"/>
        </w:rPr>
        <w:t>,</w:t>
      </w:r>
    </w:p>
    <w:p w:rsidR="00B6292B" w:rsidRDefault="00CA52EA" w:rsidP="00600940">
      <w:pPr>
        <w:ind w:left="1069"/>
        <w:rPr>
          <w:lang w:val="en-US"/>
        </w:rPr>
      </w:pPr>
      <w:r>
        <w:rPr>
          <w:b/>
          <w:i/>
          <w:lang w:val="en-US"/>
        </w:rPr>
        <w:t>Purpose</w:t>
      </w:r>
      <w:r w:rsidR="00600940" w:rsidRPr="00600940">
        <w:rPr>
          <w:b/>
          <w:i/>
          <w:lang w:val="en-US"/>
        </w:rPr>
        <w:t>:</w:t>
      </w:r>
      <w:r w:rsidR="000E529B">
        <w:rPr>
          <w:lang w:val="en-US"/>
        </w:rPr>
        <w:t xml:space="preserve"> d</w:t>
      </w:r>
      <w:r w:rsidR="00600940">
        <w:rPr>
          <w:lang w:val="en-US"/>
        </w:rPr>
        <w:t xml:space="preserve">efine the thickness of the seismogenic crust and </w:t>
      </w:r>
      <w:r w:rsidR="009461A7">
        <w:rPr>
          <w:lang w:val="en-US"/>
        </w:rPr>
        <w:t>sources of seismicity in the mantle</w:t>
      </w:r>
      <w:r w:rsidR="00E3663A" w:rsidRPr="00600940">
        <w:rPr>
          <w:vertAlign w:val="superscript"/>
        </w:rPr>
        <w:footnoteReference w:id="7"/>
      </w:r>
    </w:p>
    <w:p w:rsidR="009461A7" w:rsidRDefault="00CA35F2" w:rsidP="00860D1D">
      <w:pPr>
        <w:numPr>
          <w:ilvl w:val="0"/>
          <w:numId w:val="21"/>
        </w:numPr>
        <w:rPr>
          <w:lang w:val="en-US"/>
        </w:rPr>
      </w:pPr>
      <w:r>
        <w:rPr>
          <w:b/>
          <w:i/>
          <w:lang w:val="en-US"/>
        </w:rPr>
        <w:t>Data</w:t>
      </w:r>
      <w:r w:rsidR="00600940" w:rsidRPr="00600940">
        <w:rPr>
          <w:b/>
          <w:i/>
          <w:lang w:val="en-US"/>
        </w:rPr>
        <w:t>:</w:t>
      </w:r>
      <w:r w:rsidR="00600940" w:rsidRPr="00286E90">
        <w:rPr>
          <w:lang w:val="en-US"/>
        </w:rPr>
        <w:t xml:space="preserve"> </w:t>
      </w:r>
      <w:r w:rsidR="000E529B">
        <w:rPr>
          <w:lang w:val="en-US"/>
        </w:rPr>
        <w:t>r</w:t>
      </w:r>
      <w:r w:rsidR="009461A7">
        <w:rPr>
          <w:lang w:val="en-US"/>
        </w:rPr>
        <w:t>eflection seismic, gravity, magmetic (RE, NR)</w:t>
      </w:r>
      <w:r w:rsidR="000E529B">
        <w:rPr>
          <w:lang w:val="en-US"/>
        </w:rPr>
        <w:t>,</w:t>
      </w:r>
    </w:p>
    <w:p w:rsidR="00600940" w:rsidRDefault="00CA35F2" w:rsidP="00600940">
      <w:pPr>
        <w:ind w:left="1069"/>
        <w:rPr>
          <w:lang w:val="en-US"/>
        </w:rPr>
      </w:pPr>
      <w:r>
        <w:rPr>
          <w:b/>
          <w:i/>
          <w:lang w:val="en-US"/>
        </w:rPr>
        <w:t>Purpose</w:t>
      </w:r>
      <w:r w:rsidR="00600940" w:rsidRPr="00600940">
        <w:rPr>
          <w:b/>
          <w:i/>
          <w:lang w:val="en-US"/>
        </w:rPr>
        <w:t>:</w:t>
      </w:r>
      <w:r w:rsidR="000E529B">
        <w:rPr>
          <w:lang w:val="en-US"/>
        </w:rPr>
        <w:t xml:space="preserve"> m</w:t>
      </w:r>
      <w:r>
        <w:rPr>
          <w:lang w:val="en-US"/>
        </w:rPr>
        <w:t>ap tectonic faults</w:t>
      </w:r>
      <w:r w:rsidR="000E529B">
        <w:rPr>
          <w:lang w:val="en-US"/>
        </w:rPr>
        <w:t>,</w:t>
      </w:r>
    </w:p>
    <w:p w:rsidR="00600940" w:rsidRDefault="00CA35F2" w:rsidP="00860D1D">
      <w:pPr>
        <w:numPr>
          <w:ilvl w:val="0"/>
          <w:numId w:val="21"/>
        </w:numPr>
        <w:rPr>
          <w:lang w:val="en-US"/>
        </w:rPr>
      </w:pPr>
      <w:r>
        <w:rPr>
          <w:b/>
          <w:i/>
          <w:lang w:val="en-US"/>
        </w:rPr>
        <w:t>Data</w:t>
      </w:r>
      <w:r w:rsidR="00600940" w:rsidRPr="00600940">
        <w:rPr>
          <w:b/>
          <w:i/>
          <w:lang w:val="en-US"/>
        </w:rPr>
        <w:t>:</w:t>
      </w:r>
      <w:r w:rsidR="00600940" w:rsidRPr="00286E90">
        <w:rPr>
          <w:lang w:val="en-US"/>
        </w:rPr>
        <w:t xml:space="preserve"> </w:t>
      </w:r>
      <w:r w:rsidR="000E529B">
        <w:rPr>
          <w:lang w:val="en-US"/>
        </w:rPr>
        <w:t>h</w:t>
      </w:r>
      <w:r w:rsidR="00E3663A">
        <w:rPr>
          <w:lang w:val="en-US"/>
        </w:rPr>
        <w:t xml:space="preserve">igh-resolution </w:t>
      </w:r>
      <w:r w:rsidR="00600940">
        <w:rPr>
          <w:lang w:val="en-US"/>
        </w:rPr>
        <w:t xml:space="preserve">near-surface </w:t>
      </w:r>
      <w:r w:rsidR="00E3663A">
        <w:rPr>
          <w:lang w:val="en-US"/>
        </w:rPr>
        <w:t>geophysical data (reflection seismic, resistivity, gravity</w:t>
      </w:r>
      <w:r w:rsidR="00600940">
        <w:rPr>
          <w:lang w:val="en-US"/>
        </w:rPr>
        <w:t>,</w:t>
      </w:r>
      <w:r w:rsidR="00E3663A">
        <w:rPr>
          <w:lang w:val="en-US"/>
        </w:rPr>
        <w:t xml:space="preserve"> ground penetrating radar) </w:t>
      </w:r>
      <w:r>
        <w:rPr>
          <w:lang w:val="en-US"/>
        </w:rPr>
        <w:t>(NR, SV, SI)</w:t>
      </w:r>
      <w:r w:rsidR="000E529B">
        <w:rPr>
          <w:lang w:val="en-US"/>
        </w:rPr>
        <w:t>,</w:t>
      </w:r>
    </w:p>
    <w:p w:rsidR="009461A7" w:rsidRDefault="00CA35F2" w:rsidP="00D46C47">
      <w:pPr>
        <w:ind w:left="1069"/>
        <w:rPr>
          <w:lang w:val="en-US"/>
        </w:rPr>
      </w:pPr>
      <w:r>
        <w:rPr>
          <w:b/>
          <w:i/>
          <w:lang w:val="en-US"/>
        </w:rPr>
        <w:t>Purpose</w:t>
      </w:r>
      <w:r w:rsidR="00D46C47" w:rsidRPr="00600940">
        <w:rPr>
          <w:b/>
          <w:i/>
          <w:lang w:val="en-US"/>
        </w:rPr>
        <w:t>:</w:t>
      </w:r>
      <w:r w:rsidR="000E529B">
        <w:rPr>
          <w:lang w:val="en-US"/>
        </w:rPr>
        <w:t xml:space="preserve"> m</w:t>
      </w:r>
      <w:r w:rsidR="00E3663A">
        <w:rPr>
          <w:lang w:val="en-US"/>
        </w:rPr>
        <w:t>ap and loca</w:t>
      </w:r>
      <w:r w:rsidR="00D46C47">
        <w:rPr>
          <w:lang w:val="en-US"/>
        </w:rPr>
        <w:t xml:space="preserve">te potentially active </w:t>
      </w:r>
      <w:r w:rsidR="00E3663A">
        <w:rPr>
          <w:lang w:val="en-US"/>
        </w:rPr>
        <w:t xml:space="preserve">faults </w:t>
      </w:r>
      <w:r w:rsidR="00D46C47">
        <w:rPr>
          <w:lang w:val="en-US"/>
        </w:rPr>
        <w:t>precisely for paleoseismological investitations</w:t>
      </w:r>
      <w:r w:rsidR="000E529B">
        <w:rPr>
          <w:lang w:val="en-US"/>
        </w:rPr>
        <w:t>.</w:t>
      </w:r>
    </w:p>
    <w:p w:rsidR="0075608E" w:rsidRDefault="0075608E" w:rsidP="00E3663A">
      <w:pPr>
        <w:ind w:left="120"/>
        <w:rPr>
          <w:lang w:val="en-US"/>
        </w:rPr>
      </w:pPr>
    </w:p>
    <w:p w:rsidR="00C47C14" w:rsidRPr="00B07367" w:rsidRDefault="00C47C14" w:rsidP="00E3663A">
      <w:pPr>
        <w:ind w:left="120"/>
        <w:rPr>
          <w:b/>
          <w:i/>
          <w:lang w:val="en-US"/>
        </w:rPr>
      </w:pPr>
      <w:r w:rsidRPr="00B07367">
        <w:rPr>
          <w:b/>
          <w:i/>
          <w:lang w:val="en-US"/>
        </w:rPr>
        <w:t>Topographic and remote sensing data</w:t>
      </w:r>
      <w:r w:rsidR="00373E7E">
        <w:rPr>
          <w:b/>
          <w:i/>
          <w:lang w:val="en-US"/>
        </w:rPr>
        <w:t>:</w:t>
      </w:r>
    </w:p>
    <w:p w:rsidR="009461A7" w:rsidRDefault="00CA35F2" w:rsidP="00860D1D">
      <w:pPr>
        <w:numPr>
          <w:ilvl w:val="0"/>
          <w:numId w:val="22"/>
        </w:numPr>
        <w:rPr>
          <w:lang w:val="en-US"/>
        </w:rPr>
      </w:pPr>
      <w:r>
        <w:rPr>
          <w:b/>
          <w:i/>
          <w:lang w:val="en-US"/>
        </w:rPr>
        <w:t>Data</w:t>
      </w:r>
      <w:r w:rsidR="00D46C47" w:rsidRPr="00600940">
        <w:rPr>
          <w:b/>
          <w:i/>
          <w:lang w:val="en-US"/>
        </w:rPr>
        <w:t>:</w:t>
      </w:r>
      <w:r w:rsidR="00D46C47" w:rsidRPr="00286E90">
        <w:rPr>
          <w:lang w:val="en-US"/>
        </w:rPr>
        <w:t xml:space="preserve"> </w:t>
      </w:r>
      <w:r w:rsidR="000E529B">
        <w:rPr>
          <w:lang w:val="en-US"/>
        </w:rPr>
        <w:t>s</w:t>
      </w:r>
      <w:r w:rsidR="00E3663A">
        <w:rPr>
          <w:lang w:val="en-US"/>
        </w:rPr>
        <w:t>atellite imagery</w:t>
      </w:r>
      <w:r w:rsidR="00D46C47">
        <w:rPr>
          <w:lang w:val="en-US"/>
        </w:rPr>
        <w:t xml:space="preserve">, </w:t>
      </w:r>
      <w:r w:rsidR="00E3663A">
        <w:rPr>
          <w:lang w:val="en-US"/>
        </w:rPr>
        <w:t>a</w:t>
      </w:r>
      <w:r w:rsidR="004041B9">
        <w:rPr>
          <w:lang w:val="en-US"/>
        </w:rPr>
        <w:t>erial photographs</w:t>
      </w:r>
      <w:r w:rsidR="00D46C47">
        <w:rPr>
          <w:lang w:val="en-US"/>
        </w:rPr>
        <w:t xml:space="preserve">, </w:t>
      </w:r>
      <w:r w:rsidR="004041B9">
        <w:rPr>
          <w:lang w:val="en-US"/>
        </w:rPr>
        <w:t xml:space="preserve"> </w:t>
      </w:r>
      <w:r w:rsidR="00D46C47" w:rsidRPr="00E3663A">
        <w:rPr>
          <w:lang w:val="en-US"/>
        </w:rPr>
        <w:t>Digital Elevation Models (DEM) and high-resolution L</w:t>
      </w:r>
      <w:r w:rsidR="00D46C47" w:rsidRPr="00E3663A">
        <w:rPr>
          <w:lang w:val="en-US"/>
        </w:rPr>
        <w:t>I</w:t>
      </w:r>
      <w:r w:rsidR="00D46C47" w:rsidRPr="00E3663A">
        <w:rPr>
          <w:lang w:val="en-US"/>
        </w:rPr>
        <w:t xml:space="preserve">DAR elevation data </w:t>
      </w:r>
      <w:r w:rsidR="004041B9">
        <w:rPr>
          <w:lang w:val="en-US"/>
        </w:rPr>
        <w:t xml:space="preserve">with </w:t>
      </w:r>
      <w:r w:rsidR="00EF0E68">
        <w:rPr>
          <w:lang w:val="en-US"/>
        </w:rPr>
        <w:t xml:space="preserve">adequate </w:t>
      </w:r>
      <w:r w:rsidR="004041B9">
        <w:rPr>
          <w:lang w:val="en-US"/>
        </w:rPr>
        <w:t>resolution to the scale (</w:t>
      </w:r>
      <w:r>
        <w:rPr>
          <w:lang w:val="en-US"/>
        </w:rPr>
        <w:t>RE, NR, SV)</w:t>
      </w:r>
      <w:r w:rsidR="000E529B">
        <w:rPr>
          <w:lang w:val="en-US"/>
        </w:rPr>
        <w:t>,</w:t>
      </w:r>
    </w:p>
    <w:p w:rsidR="00E3663A" w:rsidRDefault="00CA35F2" w:rsidP="00D46C47">
      <w:pPr>
        <w:ind w:left="1069"/>
        <w:rPr>
          <w:lang w:val="en-US"/>
        </w:rPr>
      </w:pPr>
      <w:r>
        <w:rPr>
          <w:b/>
          <w:i/>
          <w:lang w:val="en-US"/>
        </w:rPr>
        <w:t>Purpose</w:t>
      </w:r>
      <w:r w:rsidR="00D46C47" w:rsidRPr="00600940">
        <w:rPr>
          <w:b/>
          <w:i/>
          <w:lang w:val="en-US"/>
        </w:rPr>
        <w:t>:</w:t>
      </w:r>
      <w:r w:rsidR="000E529B">
        <w:rPr>
          <w:lang w:val="en-US"/>
        </w:rPr>
        <w:t xml:space="preserve"> s</w:t>
      </w:r>
      <w:r w:rsidR="00E3663A">
        <w:rPr>
          <w:lang w:val="en-US"/>
        </w:rPr>
        <w:t>upport tectonic geomorphology and mappi</w:t>
      </w:r>
      <w:r>
        <w:rPr>
          <w:lang w:val="en-US"/>
        </w:rPr>
        <w:t>ng of potentially active faults</w:t>
      </w:r>
      <w:r w:rsidR="000E529B">
        <w:rPr>
          <w:lang w:val="en-US"/>
        </w:rPr>
        <w:t>,</w:t>
      </w:r>
    </w:p>
    <w:p w:rsidR="006612E0" w:rsidRDefault="00CA35F2" w:rsidP="00860D1D">
      <w:pPr>
        <w:numPr>
          <w:ilvl w:val="0"/>
          <w:numId w:val="22"/>
        </w:numPr>
        <w:rPr>
          <w:lang w:val="en-US"/>
        </w:rPr>
      </w:pPr>
      <w:r>
        <w:rPr>
          <w:b/>
          <w:i/>
          <w:lang w:val="en-US"/>
        </w:rPr>
        <w:t>Data</w:t>
      </w:r>
      <w:r w:rsidR="00D46C47" w:rsidRPr="00600940">
        <w:rPr>
          <w:b/>
          <w:i/>
          <w:lang w:val="en-US"/>
        </w:rPr>
        <w:t>:</w:t>
      </w:r>
      <w:r w:rsidR="00D46C47" w:rsidRPr="00286E90">
        <w:rPr>
          <w:lang w:val="en-US"/>
        </w:rPr>
        <w:t xml:space="preserve"> </w:t>
      </w:r>
      <w:r w:rsidR="00E3663A" w:rsidRPr="00E3663A">
        <w:rPr>
          <w:lang w:val="en-US"/>
        </w:rPr>
        <w:t>GPS data and conventional geodetic data (repeated precise levelling) (RE, NR)</w:t>
      </w:r>
      <w:r w:rsidR="000E529B">
        <w:rPr>
          <w:lang w:val="en-US"/>
        </w:rPr>
        <w:t>,</w:t>
      </w:r>
    </w:p>
    <w:p w:rsidR="00D46C47" w:rsidRPr="00E3663A" w:rsidRDefault="00CA35F2" w:rsidP="00D46C47">
      <w:pPr>
        <w:ind w:left="1069"/>
        <w:rPr>
          <w:lang w:val="en-US"/>
        </w:rPr>
      </w:pPr>
      <w:r>
        <w:rPr>
          <w:b/>
          <w:i/>
          <w:lang w:val="en-US"/>
        </w:rPr>
        <w:t>Purpose</w:t>
      </w:r>
      <w:r w:rsidR="00D46C47" w:rsidRPr="00600940">
        <w:rPr>
          <w:b/>
          <w:i/>
          <w:lang w:val="en-US"/>
        </w:rPr>
        <w:t>:</w:t>
      </w:r>
      <w:r w:rsidR="000E529B">
        <w:rPr>
          <w:lang w:val="en-US"/>
        </w:rPr>
        <w:t xml:space="preserve"> a</w:t>
      </w:r>
      <w:r w:rsidR="00D46C47" w:rsidRPr="00E3663A">
        <w:rPr>
          <w:lang w:val="en-US"/>
        </w:rPr>
        <w:t>sses horizontal / vertical</w:t>
      </w:r>
      <w:r w:rsidR="00B62616">
        <w:rPr>
          <w:lang w:val="en-US"/>
        </w:rPr>
        <w:t xml:space="preserve"> crustal mov</w:t>
      </w:r>
      <w:r w:rsidR="00D46C47" w:rsidRPr="00E3663A">
        <w:rPr>
          <w:lang w:val="en-US"/>
        </w:rPr>
        <w:t>ements</w:t>
      </w:r>
      <w:r w:rsidR="00D46C47">
        <w:rPr>
          <w:lang w:val="en-US"/>
        </w:rPr>
        <w:t xml:space="preserve"> to support the identification of active faults</w:t>
      </w:r>
      <w:r w:rsidR="000E529B">
        <w:rPr>
          <w:lang w:val="en-US"/>
        </w:rPr>
        <w:t>.</w:t>
      </w:r>
    </w:p>
    <w:p w:rsidR="0075608E" w:rsidRDefault="0075608E" w:rsidP="0075608E">
      <w:pPr>
        <w:rPr>
          <w:lang w:val="en-US"/>
        </w:rPr>
      </w:pPr>
    </w:p>
    <w:p w:rsidR="003E74B9" w:rsidRPr="002D109D" w:rsidRDefault="003E74B9" w:rsidP="0075608E">
      <w:pPr>
        <w:rPr>
          <w:b/>
          <w:i/>
          <w:lang w:val="en-US"/>
        </w:rPr>
      </w:pPr>
      <w:r w:rsidRPr="002D109D">
        <w:rPr>
          <w:b/>
          <w:i/>
          <w:lang w:val="en-US"/>
        </w:rPr>
        <w:t xml:space="preserve">Site-specific </w:t>
      </w:r>
      <w:r w:rsidR="00CA35F2">
        <w:rPr>
          <w:b/>
          <w:i/>
          <w:lang w:val="en-US"/>
        </w:rPr>
        <w:t>data:</w:t>
      </w:r>
    </w:p>
    <w:p w:rsidR="002D109D" w:rsidRDefault="00CA35F2" w:rsidP="00860D1D">
      <w:pPr>
        <w:numPr>
          <w:ilvl w:val="0"/>
          <w:numId w:val="22"/>
        </w:numPr>
        <w:rPr>
          <w:lang w:val="en-US"/>
        </w:rPr>
      </w:pPr>
      <w:r>
        <w:rPr>
          <w:b/>
          <w:i/>
          <w:lang w:val="en-US"/>
        </w:rPr>
        <w:t>Data</w:t>
      </w:r>
      <w:r w:rsidR="002D109D" w:rsidRPr="00600940">
        <w:rPr>
          <w:b/>
          <w:i/>
          <w:lang w:val="en-US"/>
        </w:rPr>
        <w:t>:</w:t>
      </w:r>
      <w:r w:rsidR="002D109D" w:rsidRPr="00286E90">
        <w:rPr>
          <w:lang w:val="en-US"/>
        </w:rPr>
        <w:t xml:space="preserve"> </w:t>
      </w:r>
      <w:r w:rsidR="000E529B">
        <w:rPr>
          <w:lang w:val="en-US"/>
        </w:rPr>
        <w:t>r</w:t>
      </w:r>
      <w:r w:rsidR="002D109D">
        <w:rPr>
          <w:lang w:val="en-US"/>
        </w:rPr>
        <w:t>ock and soil profiles below facility, geotechnical bedrock and soil properties, seismic veloc</w:t>
      </w:r>
      <w:r w:rsidR="002D109D">
        <w:rPr>
          <w:lang w:val="en-US"/>
        </w:rPr>
        <w:t>i</w:t>
      </w:r>
      <w:r w:rsidR="002D109D">
        <w:rPr>
          <w:lang w:val="en-US"/>
        </w:rPr>
        <w:t>ties of bedrock and soil (Vs 30), topographic data obtained from boreholes and geophysical investig</w:t>
      </w:r>
      <w:r w:rsidR="002D109D">
        <w:rPr>
          <w:lang w:val="en-US"/>
        </w:rPr>
        <w:t>a</w:t>
      </w:r>
      <w:r w:rsidR="002D109D">
        <w:rPr>
          <w:lang w:val="en-US"/>
        </w:rPr>
        <w:t>tions (SI)</w:t>
      </w:r>
      <w:r w:rsidR="008A6E4E">
        <w:rPr>
          <w:lang w:val="en-US"/>
        </w:rPr>
        <w:t>, cross-hole seismic tests</w:t>
      </w:r>
      <w:r w:rsidR="000E529B">
        <w:rPr>
          <w:lang w:val="en-US"/>
        </w:rPr>
        <w:t>,</w:t>
      </w:r>
    </w:p>
    <w:p w:rsidR="002D109D" w:rsidRDefault="00CA35F2" w:rsidP="002D109D">
      <w:pPr>
        <w:ind w:left="1069"/>
        <w:rPr>
          <w:lang w:val="en-US"/>
        </w:rPr>
      </w:pPr>
      <w:r>
        <w:rPr>
          <w:b/>
          <w:i/>
          <w:lang w:val="en-US"/>
        </w:rPr>
        <w:t>Purpose</w:t>
      </w:r>
      <w:r w:rsidR="002D109D" w:rsidRPr="00600940">
        <w:rPr>
          <w:b/>
          <w:i/>
          <w:lang w:val="en-US"/>
        </w:rPr>
        <w:t>:</w:t>
      </w:r>
      <w:r w:rsidR="000E529B">
        <w:rPr>
          <w:lang w:val="en-US"/>
        </w:rPr>
        <w:t xml:space="preserve"> a</w:t>
      </w:r>
      <w:r w:rsidR="002D109D">
        <w:rPr>
          <w:lang w:val="en-US"/>
        </w:rPr>
        <w:t xml:space="preserve">ssess site conditions </w:t>
      </w:r>
      <w:r w:rsidR="008A6E4E">
        <w:rPr>
          <w:lang w:val="en-US"/>
        </w:rPr>
        <w:t>in terms of dynamic elastic properties to characterize soil-structure interaction</w:t>
      </w:r>
      <w:r w:rsidR="000E529B">
        <w:rPr>
          <w:lang w:val="en-US"/>
        </w:rPr>
        <w:t>.</w:t>
      </w:r>
    </w:p>
    <w:p w:rsidR="002D109D" w:rsidRDefault="002D109D" w:rsidP="002D109D">
      <w:pPr>
        <w:ind w:left="1069"/>
        <w:rPr>
          <w:lang w:val="en-US"/>
        </w:rPr>
      </w:pPr>
    </w:p>
    <w:p w:rsidR="003E74B9" w:rsidRPr="002D109D" w:rsidRDefault="00D623CE" w:rsidP="0075608E">
      <w:pPr>
        <w:rPr>
          <w:b/>
          <w:i/>
          <w:lang w:val="en-US"/>
        </w:rPr>
      </w:pPr>
      <w:r>
        <w:rPr>
          <w:b/>
          <w:i/>
          <w:lang w:val="en-US"/>
        </w:rPr>
        <w:t>Human</w:t>
      </w:r>
      <w:r w:rsidR="00E01D15" w:rsidRPr="002D109D">
        <w:rPr>
          <w:b/>
          <w:i/>
          <w:lang w:val="en-US"/>
        </w:rPr>
        <w:t xml:space="preserve"> activities</w:t>
      </w:r>
    </w:p>
    <w:p w:rsidR="002D109D" w:rsidRDefault="00CA35F2" w:rsidP="00860D1D">
      <w:pPr>
        <w:numPr>
          <w:ilvl w:val="0"/>
          <w:numId w:val="22"/>
        </w:numPr>
        <w:rPr>
          <w:lang w:val="en-US"/>
        </w:rPr>
      </w:pPr>
      <w:r>
        <w:rPr>
          <w:b/>
          <w:i/>
          <w:lang w:val="en-US"/>
        </w:rPr>
        <w:t>Data</w:t>
      </w:r>
      <w:r w:rsidR="002D109D" w:rsidRPr="00600940">
        <w:rPr>
          <w:b/>
          <w:i/>
          <w:lang w:val="en-US"/>
        </w:rPr>
        <w:t>:</w:t>
      </w:r>
      <w:r w:rsidR="002D109D" w:rsidRPr="00286E90">
        <w:rPr>
          <w:lang w:val="en-US"/>
        </w:rPr>
        <w:t xml:space="preserve"> </w:t>
      </w:r>
      <w:r w:rsidR="0041512C">
        <w:rPr>
          <w:lang w:val="en-US"/>
        </w:rPr>
        <w:t>l</w:t>
      </w:r>
      <w:r w:rsidR="002D109D">
        <w:rPr>
          <w:lang w:val="en-US"/>
        </w:rPr>
        <w:t xml:space="preserve">ocation and type of </w:t>
      </w:r>
      <w:r w:rsidR="002D109D" w:rsidRPr="002D109D">
        <w:rPr>
          <w:lang w:val="en-US"/>
        </w:rPr>
        <w:t>acilities that may induce / trigger seismicity</w:t>
      </w:r>
      <w:r w:rsidR="002D109D">
        <w:rPr>
          <w:lang w:val="en-US"/>
        </w:rPr>
        <w:t xml:space="preserve"> (deep oil, gas or water e</w:t>
      </w:r>
      <w:r w:rsidR="002D109D">
        <w:rPr>
          <w:lang w:val="en-US"/>
        </w:rPr>
        <w:t>x</w:t>
      </w:r>
      <w:r w:rsidR="002D109D">
        <w:rPr>
          <w:lang w:val="en-US"/>
        </w:rPr>
        <w:t>traction wells; deep injection wells; mines; quarries etc.) (NR)</w:t>
      </w:r>
      <w:r w:rsidR="0041512C">
        <w:rPr>
          <w:lang w:val="en-US"/>
        </w:rPr>
        <w:t>,</w:t>
      </w:r>
    </w:p>
    <w:p w:rsidR="002D109D" w:rsidRDefault="00CA35F2" w:rsidP="002D109D">
      <w:pPr>
        <w:ind w:left="1069"/>
        <w:rPr>
          <w:lang w:val="en-US"/>
        </w:rPr>
      </w:pPr>
      <w:r>
        <w:rPr>
          <w:b/>
          <w:i/>
          <w:lang w:val="en-US"/>
        </w:rPr>
        <w:t>Purpose</w:t>
      </w:r>
      <w:r w:rsidR="002D109D" w:rsidRPr="00600940">
        <w:rPr>
          <w:b/>
          <w:i/>
          <w:lang w:val="en-US"/>
        </w:rPr>
        <w:t>:</w:t>
      </w:r>
      <w:r w:rsidR="0041512C">
        <w:rPr>
          <w:lang w:val="en-US"/>
        </w:rPr>
        <w:t xml:space="preserve"> a</w:t>
      </w:r>
      <w:r w:rsidR="002D109D">
        <w:rPr>
          <w:lang w:val="en-US"/>
        </w:rPr>
        <w:t>ssess i</w:t>
      </w:r>
      <w:r>
        <w:rPr>
          <w:lang w:val="en-US"/>
        </w:rPr>
        <w:t>nduced and triggered seismicity</w:t>
      </w:r>
    </w:p>
    <w:p w:rsidR="002D109D" w:rsidRDefault="002D109D" w:rsidP="0075608E">
      <w:pPr>
        <w:ind w:left="120" w:firstLine="589"/>
        <w:rPr>
          <w:lang w:val="en-US"/>
        </w:rPr>
      </w:pPr>
    </w:p>
    <w:p w:rsidR="00CA35F2" w:rsidRDefault="00CA35F2" w:rsidP="0075608E">
      <w:pPr>
        <w:ind w:left="120" w:firstLine="589"/>
        <w:rPr>
          <w:lang w:val="en-US"/>
        </w:rPr>
      </w:pPr>
    </w:p>
    <w:p w:rsidR="0075608E" w:rsidRPr="002D109D" w:rsidRDefault="0075608E" w:rsidP="0075608E">
      <w:pPr>
        <w:rPr>
          <w:b/>
          <w:i/>
          <w:lang w:val="en-US"/>
        </w:rPr>
      </w:pPr>
      <w:r w:rsidRPr="002D109D">
        <w:rPr>
          <w:b/>
          <w:i/>
          <w:lang w:val="en-US"/>
        </w:rPr>
        <w:lastRenderedPageBreak/>
        <w:t>Numerical simulati</w:t>
      </w:r>
      <w:r w:rsidR="00CA35F2">
        <w:rPr>
          <w:b/>
          <w:i/>
          <w:lang w:val="en-US"/>
        </w:rPr>
        <w:t>on data</w:t>
      </w:r>
    </w:p>
    <w:p w:rsidR="005E4CC9" w:rsidRDefault="00CA35F2" w:rsidP="0075608E">
      <w:pPr>
        <w:numPr>
          <w:ilvl w:val="0"/>
          <w:numId w:val="22"/>
        </w:numPr>
        <w:rPr>
          <w:lang w:val="en-US"/>
        </w:rPr>
      </w:pPr>
      <w:r>
        <w:rPr>
          <w:b/>
          <w:i/>
          <w:lang w:val="en-US"/>
        </w:rPr>
        <w:t>Data</w:t>
      </w:r>
      <w:r w:rsidR="002D109D" w:rsidRPr="00A94714">
        <w:rPr>
          <w:b/>
          <w:i/>
          <w:lang w:val="en-US"/>
        </w:rPr>
        <w:t>:</w:t>
      </w:r>
      <w:r w:rsidR="002D109D" w:rsidRPr="00A94714">
        <w:rPr>
          <w:lang w:val="en-US"/>
        </w:rPr>
        <w:t xml:space="preserve"> </w:t>
      </w:r>
      <w:r w:rsidR="00293198">
        <w:rPr>
          <w:lang w:val="en-US"/>
        </w:rPr>
        <w:t>e</w:t>
      </w:r>
      <w:r w:rsidR="00A94714" w:rsidRPr="00A94714">
        <w:rPr>
          <w:lang w:val="en-US"/>
        </w:rPr>
        <w:t>arthquake ground motion models, (e.g., modeling of ground motion from fault param</w:t>
      </w:r>
      <w:r w:rsidR="00A94714" w:rsidRPr="00A94714">
        <w:rPr>
          <w:lang w:val="en-US"/>
        </w:rPr>
        <w:t>e</w:t>
      </w:r>
      <w:r w:rsidR="00A94714" w:rsidRPr="00A94714">
        <w:rPr>
          <w:lang w:val="en-US"/>
        </w:rPr>
        <w:t>ters)</w:t>
      </w:r>
      <w:r w:rsidR="00293198">
        <w:rPr>
          <w:lang w:val="en-US"/>
        </w:rPr>
        <w:t>,</w:t>
      </w:r>
    </w:p>
    <w:p w:rsidR="00FA5234" w:rsidRPr="00CA35F2" w:rsidRDefault="00CA35F2" w:rsidP="0075608E">
      <w:pPr>
        <w:numPr>
          <w:ilvl w:val="0"/>
          <w:numId w:val="22"/>
        </w:numPr>
        <w:rPr>
          <w:lang w:val="en-US"/>
        </w:rPr>
      </w:pPr>
      <w:r>
        <w:rPr>
          <w:b/>
          <w:i/>
          <w:lang w:val="en-US"/>
        </w:rPr>
        <w:t>Purpose</w:t>
      </w:r>
      <w:r w:rsidR="002D109D" w:rsidRPr="00A94714">
        <w:rPr>
          <w:b/>
          <w:i/>
          <w:lang w:val="en-US"/>
        </w:rPr>
        <w:t>:</w:t>
      </w:r>
      <w:r w:rsidR="002D109D" w:rsidRPr="00A94714">
        <w:rPr>
          <w:lang w:val="en-US"/>
        </w:rPr>
        <w:t xml:space="preserve"> </w:t>
      </w:r>
      <w:r w:rsidR="00293198">
        <w:rPr>
          <w:lang w:val="en-US"/>
        </w:rPr>
        <w:t>c</w:t>
      </w:r>
      <w:r w:rsidR="00A94714">
        <w:rPr>
          <w:lang w:val="en-US"/>
        </w:rPr>
        <w:t>onstrain ground motion characteristics</w:t>
      </w:r>
      <w:r w:rsidR="00293198">
        <w:rPr>
          <w:lang w:val="en-US"/>
        </w:rPr>
        <w:t>.</w:t>
      </w:r>
    </w:p>
    <w:p w:rsidR="00A25DF9" w:rsidRDefault="00A25DF9" w:rsidP="00A25DF9">
      <w:pPr>
        <w:pStyle w:val="Titre3"/>
        <w:rPr>
          <w:lang w:val="en-US"/>
        </w:rPr>
      </w:pPr>
      <w:bookmarkStart w:id="67" w:name="_Toc456011887"/>
      <w:r>
        <w:rPr>
          <w:lang w:val="en-US"/>
        </w:rPr>
        <w:t xml:space="preserve">Data for assessing surface faulting </w:t>
      </w:r>
      <w:r w:rsidR="00025BE5">
        <w:rPr>
          <w:lang w:val="en-US"/>
        </w:rPr>
        <w:t xml:space="preserve">at the site </w:t>
      </w:r>
      <w:r>
        <w:rPr>
          <w:lang w:val="en-US"/>
        </w:rPr>
        <w:t>(fault capabi</w:t>
      </w:r>
      <w:r>
        <w:rPr>
          <w:lang w:val="en-US"/>
        </w:rPr>
        <w:t>l</w:t>
      </w:r>
      <w:r>
        <w:rPr>
          <w:lang w:val="en-US"/>
        </w:rPr>
        <w:t>ity)</w:t>
      </w:r>
      <w:bookmarkEnd w:id="67"/>
    </w:p>
    <w:p w:rsidR="003A22D2" w:rsidRDefault="00025BE5" w:rsidP="0075608E">
      <w:pPr>
        <w:rPr>
          <w:lang w:val="en-US"/>
        </w:rPr>
      </w:pPr>
      <w:r>
        <w:rPr>
          <w:lang w:val="en-US"/>
        </w:rPr>
        <w:t>Guidance on the assessment of fault capability is provided by IAEA (20</w:t>
      </w:r>
      <w:r w:rsidR="00A33966">
        <w:rPr>
          <w:lang w:val="en-US"/>
        </w:rPr>
        <w:t>10</w:t>
      </w:r>
      <w:r>
        <w:rPr>
          <w:lang w:val="en-US"/>
        </w:rPr>
        <w:t xml:space="preserve"> </w:t>
      </w:r>
      <w:r w:rsidRPr="007701F9">
        <w:rPr>
          <w:color w:val="0070C0"/>
          <w:lang w:val="en-US"/>
        </w:rPr>
        <w:t>SSG-9</w:t>
      </w:r>
      <w:r>
        <w:rPr>
          <w:color w:val="0070C0"/>
          <w:lang w:val="en-US"/>
        </w:rPr>
        <w:t xml:space="preserve">, </w:t>
      </w:r>
      <w:r w:rsidRPr="00025BE5">
        <w:rPr>
          <w:lang w:val="en-US"/>
        </w:rPr>
        <w:t>paragraphs 8.1 to 8.13</w:t>
      </w:r>
      <w:r>
        <w:rPr>
          <w:lang w:val="en-US"/>
        </w:rPr>
        <w:t xml:space="preserve">). The cited document provides a definition of the term </w:t>
      </w:r>
      <w:r w:rsidRPr="008227BF">
        <w:rPr>
          <w:lang w:val="en-US"/>
        </w:rPr>
        <w:t>“capable fault”</w:t>
      </w:r>
      <w:r w:rsidR="008227BF">
        <w:rPr>
          <w:lang w:val="en-US"/>
        </w:rPr>
        <w:t xml:space="preserve">. Accordingly, </w:t>
      </w:r>
      <w:r w:rsidR="003A22D2" w:rsidRPr="003A22D2">
        <w:rPr>
          <w:i/>
          <w:lang w:val="en-US"/>
        </w:rPr>
        <w:t>“a fault should be considered capable if it shows evidence of past movement or movements … of a recurring nature within such a period that it is reaso</w:t>
      </w:r>
      <w:r w:rsidR="003A22D2" w:rsidRPr="003A22D2">
        <w:rPr>
          <w:i/>
          <w:lang w:val="en-US"/>
        </w:rPr>
        <w:t>n</w:t>
      </w:r>
      <w:r w:rsidR="003A22D2" w:rsidRPr="003A22D2">
        <w:rPr>
          <w:i/>
          <w:lang w:val="en-US"/>
        </w:rPr>
        <w:t>able to conclude that further movements at or near the surface may occur. In highly active areas … periods of the order of tens of thousands of years (e.g. Upper Pleistocene-Holocene, i.e.,</w:t>
      </w:r>
      <w:r w:rsidR="00CA35F2">
        <w:rPr>
          <w:i/>
          <w:lang w:val="en-US"/>
        </w:rPr>
        <w:t xml:space="preserve"> </w:t>
      </w:r>
      <w:r w:rsidR="003A22D2" w:rsidRPr="003A22D2">
        <w:rPr>
          <w:i/>
          <w:lang w:val="en-US"/>
        </w:rPr>
        <w:t>present) may be appropriate for the assessment of capable faults. In less active areas, it is likely that much lo</w:t>
      </w:r>
      <w:r w:rsidR="00711532">
        <w:rPr>
          <w:i/>
          <w:lang w:val="en-US"/>
        </w:rPr>
        <w:t>n</w:t>
      </w:r>
      <w:r w:rsidR="003A22D2" w:rsidRPr="003A22D2">
        <w:rPr>
          <w:i/>
          <w:lang w:val="en-US"/>
        </w:rPr>
        <w:t>ger periods (e.g. P</w:t>
      </w:r>
      <w:r w:rsidR="003A22D2">
        <w:rPr>
          <w:i/>
          <w:lang w:val="en-US"/>
        </w:rPr>
        <w:t>l</w:t>
      </w:r>
      <w:r w:rsidR="003A22D2" w:rsidRPr="003A22D2">
        <w:rPr>
          <w:i/>
          <w:lang w:val="en-US"/>
        </w:rPr>
        <w:t>iocene-Quaternarey, i.e. present) are appropriate.”</w:t>
      </w:r>
      <w:r w:rsidR="003A22D2">
        <w:rPr>
          <w:lang w:val="en-US"/>
        </w:rPr>
        <w:t xml:space="preserve"> (IAEA, 20</w:t>
      </w:r>
      <w:r w:rsidR="00A33966">
        <w:rPr>
          <w:lang w:val="en-US"/>
        </w:rPr>
        <w:t>10</w:t>
      </w:r>
      <w:r w:rsidR="00CA35F2">
        <w:rPr>
          <w:lang w:val="en-US"/>
        </w:rPr>
        <w:t>).</w:t>
      </w:r>
    </w:p>
    <w:p w:rsidR="003A22D2" w:rsidRDefault="003A22D2" w:rsidP="0075608E">
      <w:pPr>
        <w:rPr>
          <w:lang w:val="en-US"/>
        </w:rPr>
      </w:pPr>
    </w:p>
    <w:p w:rsidR="008227BF" w:rsidRDefault="003A22D2" w:rsidP="0075608E">
      <w:pPr>
        <w:rPr>
          <w:lang w:val="en-US"/>
        </w:rPr>
      </w:pPr>
      <w:r>
        <w:rPr>
          <w:lang w:val="en-US"/>
        </w:rPr>
        <w:t>M</w:t>
      </w:r>
      <w:r w:rsidRPr="007701F9">
        <w:rPr>
          <w:lang w:val="en-US"/>
        </w:rPr>
        <w:t xml:space="preserve">ost parts of Europe are intra-plate areas </w:t>
      </w:r>
      <w:r>
        <w:rPr>
          <w:lang w:val="en-US"/>
        </w:rPr>
        <w:t xml:space="preserve">with low to moderate seismicity </w:t>
      </w:r>
      <w:r w:rsidR="008227BF">
        <w:rPr>
          <w:lang w:val="en-US"/>
        </w:rPr>
        <w:t>produced by</w:t>
      </w:r>
      <w:r>
        <w:rPr>
          <w:lang w:val="en-US"/>
        </w:rPr>
        <w:t xml:space="preserve"> slow to very slow faults</w:t>
      </w:r>
      <w:r w:rsidR="008227BF">
        <w:rPr>
          <w:lang w:val="en-US"/>
        </w:rPr>
        <w:t>. Such regions cannot</w:t>
      </w:r>
      <w:r w:rsidR="00086B52">
        <w:rPr>
          <w:lang w:val="en-US"/>
        </w:rPr>
        <w:t xml:space="preserve"> be regarded as “highly active”</w:t>
      </w:r>
      <w:r>
        <w:rPr>
          <w:lang w:val="en-US"/>
        </w:rPr>
        <w:t>. According to IAEA’s definition the assessment of fault capabi</w:t>
      </w:r>
      <w:r>
        <w:rPr>
          <w:lang w:val="en-US"/>
        </w:rPr>
        <w:t>l</w:t>
      </w:r>
      <w:r>
        <w:rPr>
          <w:lang w:val="en-US"/>
        </w:rPr>
        <w:t xml:space="preserve">ity </w:t>
      </w:r>
      <w:r w:rsidR="008227BF">
        <w:rPr>
          <w:lang w:val="en-US"/>
        </w:rPr>
        <w:t>therefore shall</w:t>
      </w:r>
      <w:r w:rsidR="00F2285C">
        <w:rPr>
          <w:lang w:val="en-US"/>
        </w:rPr>
        <w:t xml:space="preserve"> </w:t>
      </w:r>
      <w:r>
        <w:rPr>
          <w:lang w:val="en-US"/>
        </w:rPr>
        <w:t xml:space="preserve">address a geological time </w:t>
      </w:r>
      <w:r w:rsidR="00F2285C">
        <w:rPr>
          <w:lang w:val="en-US"/>
        </w:rPr>
        <w:t>period that at least includes the entire Quaternary (&lt; 2.6 mio. years before present) or extends back into the Pliocene (5.3 to 2.6 mio. years b.p.)</w:t>
      </w:r>
      <w:r w:rsidR="00025BE5">
        <w:rPr>
          <w:lang w:val="en-US"/>
        </w:rPr>
        <w:t>.</w:t>
      </w:r>
      <w:r w:rsidR="00F2285C">
        <w:rPr>
          <w:lang w:val="en-US"/>
        </w:rPr>
        <w:t xml:space="preserve"> </w:t>
      </w:r>
      <w:r w:rsidR="00F2285C" w:rsidRPr="00BD6598">
        <w:rPr>
          <w:lang w:val="en-US"/>
        </w:rPr>
        <w:t>The assessment of whether a fault moved repeatedly through that period of time</w:t>
      </w:r>
      <w:r w:rsidR="003F44F7" w:rsidRPr="00B21047">
        <w:rPr>
          <w:lang w:val="en-US"/>
        </w:rPr>
        <w:t>,</w:t>
      </w:r>
      <w:r w:rsidR="00F2285C" w:rsidRPr="00BD6598">
        <w:rPr>
          <w:lang w:val="en-US"/>
        </w:rPr>
        <w:t xml:space="preserve"> or not</w:t>
      </w:r>
      <w:r w:rsidR="003F44F7" w:rsidRPr="00B21047">
        <w:rPr>
          <w:lang w:val="en-US"/>
        </w:rPr>
        <w:t>,</w:t>
      </w:r>
      <w:r w:rsidR="00F2285C" w:rsidRPr="00BD6598">
        <w:rPr>
          <w:lang w:val="en-US"/>
        </w:rPr>
        <w:t xml:space="preserve"> requires a broad </w:t>
      </w:r>
      <w:r w:rsidR="008227BF" w:rsidRPr="00BD6598">
        <w:rPr>
          <w:lang w:val="en-US"/>
        </w:rPr>
        <w:t xml:space="preserve">geological and </w:t>
      </w:r>
      <w:r w:rsidR="00F2285C" w:rsidRPr="00BD6598">
        <w:rPr>
          <w:lang w:val="en-US"/>
        </w:rPr>
        <w:t>paleoseismological a</w:t>
      </w:r>
      <w:r w:rsidR="00F2285C" w:rsidRPr="001B1C50">
        <w:rPr>
          <w:lang w:val="en-US"/>
        </w:rPr>
        <w:t>p</w:t>
      </w:r>
      <w:r w:rsidR="00F2285C" w:rsidRPr="00BD6598">
        <w:rPr>
          <w:lang w:val="en-US"/>
        </w:rPr>
        <w:t xml:space="preserve">proach </w:t>
      </w:r>
      <w:r w:rsidR="008227BF" w:rsidRPr="00BD6598">
        <w:rPr>
          <w:lang w:val="en-US"/>
        </w:rPr>
        <w:t>as partly</w:t>
      </w:r>
      <w:r w:rsidR="00F2285C" w:rsidRPr="00BD6598">
        <w:rPr>
          <w:lang w:val="en-US"/>
        </w:rPr>
        <w:t xml:space="preserve"> outlined </w:t>
      </w:r>
      <w:r w:rsidR="008227BF" w:rsidRPr="00BD6598">
        <w:rPr>
          <w:lang w:val="en-US"/>
        </w:rPr>
        <w:t>by</w:t>
      </w:r>
      <w:r w:rsidR="00F2285C" w:rsidRPr="004F0B70">
        <w:rPr>
          <w:lang w:val="en-US"/>
        </w:rPr>
        <w:t xml:space="preserve"> IAEA (2015</w:t>
      </w:r>
      <w:r w:rsidR="00C534DD" w:rsidRPr="004B6DE6">
        <w:rPr>
          <w:lang w:val="en-US"/>
        </w:rPr>
        <w:t>c</w:t>
      </w:r>
      <w:r w:rsidR="00F2285C" w:rsidRPr="004B6DE6">
        <w:rPr>
          <w:lang w:val="en-US"/>
        </w:rPr>
        <w:t>)</w:t>
      </w:r>
      <w:r w:rsidR="008227BF" w:rsidRPr="004B6DE6">
        <w:rPr>
          <w:lang w:val="en-US"/>
        </w:rPr>
        <w:t>.</w:t>
      </w:r>
    </w:p>
    <w:p w:rsidR="008227BF" w:rsidRDefault="008227BF" w:rsidP="0075608E">
      <w:pPr>
        <w:rPr>
          <w:lang w:val="en-US"/>
        </w:rPr>
      </w:pPr>
    </w:p>
    <w:p w:rsidR="00A425FD" w:rsidRDefault="008227BF" w:rsidP="0075608E">
      <w:pPr>
        <w:rPr>
          <w:lang w:val="en-US"/>
        </w:rPr>
      </w:pPr>
      <w:r>
        <w:rPr>
          <w:lang w:val="en-US"/>
        </w:rPr>
        <w:t xml:space="preserve">Althought the assessment of fault capability focuses </w:t>
      </w:r>
      <w:r w:rsidR="00086B52">
        <w:rPr>
          <w:lang w:val="en-US"/>
        </w:rPr>
        <w:t>on</w:t>
      </w:r>
      <w:r>
        <w:rPr>
          <w:lang w:val="en-US"/>
        </w:rPr>
        <w:t xml:space="preserve"> the site it may be necessary to acquire data reaching out beyond this geographical area. This is due to the fact that </w:t>
      </w:r>
      <w:r w:rsidR="00A425FD">
        <w:rPr>
          <w:lang w:val="en-US"/>
        </w:rPr>
        <w:t xml:space="preserve">faults </w:t>
      </w:r>
      <w:r w:rsidR="00E56AC7">
        <w:rPr>
          <w:lang w:val="en-US"/>
        </w:rPr>
        <w:t>in</w:t>
      </w:r>
      <w:r w:rsidR="00A425FD">
        <w:rPr>
          <w:lang w:val="en-US"/>
        </w:rPr>
        <w:t xml:space="preserve"> </w:t>
      </w:r>
      <w:r w:rsidR="00E56AC7">
        <w:rPr>
          <w:lang w:val="en-US"/>
        </w:rPr>
        <w:t xml:space="preserve">the near region (25 km) or site vicinity (5 km from the site) may extend into </w:t>
      </w:r>
      <w:r w:rsidR="00A425FD">
        <w:rPr>
          <w:lang w:val="en-US"/>
        </w:rPr>
        <w:t xml:space="preserve">the site </w:t>
      </w:r>
      <w:r w:rsidR="00E56AC7">
        <w:rPr>
          <w:lang w:val="en-US"/>
        </w:rPr>
        <w:t xml:space="preserve">and that fault assessment at the site is hindered or impossible </w:t>
      </w:r>
      <w:r w:rsidR="00A425FD">
        <w:rPr>
          <w:lang w:val="en-US"/>
        </w:rPr>
        <w:t>due to ge</w:t>
      </w:r>
      <w:r w:rsidR="00A425FD">
        <w:rPr>
          <w:lang w:val="en-US"/>
        </w:rPr>
        <w:t>o</w:t>
      </w:r>
      <w:r w:rsidR="00A425FD">
        <w:rPr>
          <w:lang w:val="en-US"/>
        </w:rPr>
        <w:t>logical, te</w:t>
      </w:r>
      <w:r w:rsidR="00CA35F2">
        <w:rPr>
          <w:lang w:val="en-US"/>
        </w:rPr>
        <w:t>chnical, or logistical reasons.</w:t>
      </w:r>
    </w:p>
    <w:p w:rsidR="00A425FD" w:rsidRDefault="00A425FD" w:rsidP="0075608E">
      <w:pPr>
        <w:rPr>
          <w:lang w:val="en-US"/>
        </w:rPr>
      </w:pPr>
    </w:p>
    <w:p w:rsidR="00F2285C" w:rsidRDefault="00F2285C" w:rsidP="0075608E">
      <w:pPr>
        <w:rPr>
          <w:lang w:val="en-US"/>
        </w:rPr>
      </w:pPr>
      <w:r>
        <w:rPr>
          <w:lang w:val="en-US"/>
        </w:rPr>
        <w:t xml:space="preserve">The following data </w:t>
      </w:r>
      <w:r w:rsidR="00B62616">
        <w:rPr>
          <w:lang w:val="en-US"/>
        </w:rPr>
        <w:t>are required for the assessment:</w:t>
      </w:r>
    </w:p>
    <w:p w:rsidR="00A94714" w:rsidRDefault="00A94714" w:rsidP="0075608E">
      <w:pPr>
        <w:rPr>
          <w:lang w:val="en-US"/>
        </w:rPr>
      </w:pPr>
    </w:p>
    <w:p w:rsidR="00B62616" w:rsidRDefault="00CA35F2" w:rsidP="00B62616">
      <w:pPr>
        <w:ind w:left="120"/>
        <w:rPr>
          <w:b/>
          <w:i/>
          <w:lang w:val="en-US"/>
        </w:rPr>
      </w:pPr>
      <w:r>
        <w:rPr>
          <w:b/>
          <w:i/>
          <w:lang w:val="en-US"/>
        </w:rPr>
        <w:t>Seismological data</w:t>
      </w:r>
      <w:r w:rsidR="00B62616" w:rsidRPr="00B07367">
        <w:rPr>
          <w:b/>
          <w:i/>
          <w:lang w:val="en-US"/>
        </w:rPr>
        <w:t>:</w:t>
      </w:r>
    </w:p>
    <w:p w:rsidR="00B62616" w:rsidRDefault="00CA35F2" w:rsidP="00860D1D">
      <w:pPr>
        <w:numPr>
          <w:ilvl w:val="0"/>
          <w:numId w:val="21"/>
        </w:numPr>
        <w:rPr>
          <w:lang w:val="en-US"/>
        </w:rPr>
      </w:pPr>
      <w:r>
        <w:rPr>
          <w:b/>
          <w:i/>
          <w:lang w:val="en-US"/>
        </w:rPr>
        <w:t>Data</w:t>
      </w:r>
      <w:r w:rsidR="00B62616" w:rsidRPr="00286E90">
        <w:rPr>
          <w:b/>
          <w:i/>
          <w:lang w:val="en-US"/>
        </w:rPr>
        <w:t>:</w:t>
      </w:r>
      <w:r w:rsidR="00B62616">
        <w:rPr>
          <w:lang w:val="en-US"/>
        </w:rPr>
        <w:t xml:space="preserve"> </w:t>
      </w:r>
      <w:r w:rsidR="005319DA">
        <w:rPr>
          <w:lang w:val="en-US"/>
        </w:rPr>
        <w:t>e</w:t>
      </w:r>
      <w:r w:rsidR="00B62616" w:rsidRPr="00B57226">
        <w:rPr>
          <w:lang w:val="en-US"/>
        </w:rPr>
        <w:t xml:space="preserve">arthquake data from local observation networks </w:t>
      </w:r>
      <w:r w:rsidR="00B62616">
        <w:rPr>
          <w:lang w:val="en-US"/>
        </w:rPr>
        <w:t xml:space="preserve">with precise </w:t>
      </w:r>
      <w:r w:rsidR="00A425FD">
        <w:rPr>
          <w:lang w:val="en-US"/>
        </w:rPr>
        <w:t xml:space="preserve">hypocenter </w:t>
      </w:r>
      <w:r w:rsidR="00B62616">
        <w:rPr>
          <w:lang w:val="en-US"/>
        </w:rPr>
        <w:t xml:space="preserve">locations; </w:t>
      </w:r>
      <w:r w:rsidR="00B62616" w:rsidRPr="00B57226">
        <w:rPr>
          <w:lang w:val="en-US"/>
        </w:rPr>
        <w:t>focal mechanism (fault plane solution) data</w:t>
      </w:r>
      <w:r w:rsidR="00B62616">
        <w:rPr>
          <w:lang w:val="en-US"/>
        </w:rPr>
        <w:t xml:space="preserve"> from events that occurred in the site vicinity</w:t>
      </w:r>
      <w:r w:rsidR="005319DA">
        <w:rPr>
          <w:lang w:val="en-US"/>
        </w:rPr>
        <w:t>,</w:t>
      </w:r>
    </w:p>
    <w:p w:rsidR="00B62616" w:rsidRPr="00B07367" w:rsidRDefault="00CA35F2" w:rsidP="00A425FD">
      <w:pPr>
        <w:ind w:left="1069"/>
        <w:rPr>
          <w:b/>
          <w:i/>
          <w:lang w:val="en-US"/>
        </w:rPr>
      </w:pPr>
      <w:r>
        <w:rPr>
          <w:b/>
          <w:i/>
          <w:lang w:val="en-US"/>
        </w:rPr>
        <w:t>Purpose</w:t>
      </w:r>
      <w:r w:rsidR="00B62616" w:rsidRPr="00286E90">
        <w:rPr>
          <w:b/>
          <w:i/>
          <w:lang w:val="en-US"/>
        </w:rPr>
        <w:t>:</w:t>
      </w:r>
      <w:r w:rsidR="00B62616">
        <w:rPr>
          <w:lang w:val="en-US"/>
        </w:rPr>
        <w:t xml:space="preserve"> </w:t>
      </w:r>
      <w:r w:rsidR="005319DA">
        <w:rPr>
          <w:lang w:val="en-US"/>
        </w:rPr>
        <w:t>c</w:t>
      </w:r>
      <w:r w:rsidR="00A425FD">
        <w:rPr>
          <w:lang w:val="en-US"/>
        </w:rPr>
        <w:t>heck the coincidence of earthquake hypo</w:t>
      </w:r>
      <w:r w:rsidR="00E56AC7">
        <w:rPr>
          <w:lang w:val="en-US"/>
        </w:rPr>
        <w:t>centers with known tectonic faul</w:t>
      </w:r>
      <w:r w:rsidR="00A425FD">
        <w:rPr>
          <w:lang w:val="en-US"/>
        </w:rPr>
        <w:t>ts; a</w:t>
      </w:r>
      <w:r w:rsidR="00B62616">
        <w:rPr>
          <w:lang w:val="en-US"/>
        </w:rPr>
        <w:t>ssess the l</w:t>
      </w:r>
      <w:r w:rsidR="00B62616">
        <w:rPr>
          <w:lang w:val="en-US"/>
        </w:rPr>
        <w:t>o</w:t>
      </w:r>
      <w:r w:rsidR="00B62616">
        <w:rPr>
          <w:lang w:val="en-US"/>
        </w:rPr>
        <w:t xml:space="preserve">cation, orientation, and kinematics of </w:t>
      </w:r>
      <w:r w:rsidR="00A425FD">
        <w:rPr>
          <w:lang w:val="en-US"/>
        </w:rPr>
        <w:t>the</w:t>
      </w:r>
      <w:r w:rsidR="00B62616">
        <w:rPr>
          <w:lang w:val="en-US"/>
        </w:rPr>
        <w:t xml:space="preserve"> faults</w:t>
      </w:r>
      <w:r w:rsidR="00A425FD">
        <w:rPr>
          <w:lang w:val="en-US"/>
        </w:rPr>
        <w:t xml:space="preserve"> which produce earthquakes close to or at the site</w:t>
      </w:r>
      <w:r w:rsidR="005319DA">
        <w:rPr>
          <w:lang w:val="en-US"/>
        </w:rPr>
        <w:t>.</w:t>
      </w:r>
    </w:p>
    <w:p w:rsidR="00B62616" w:rsidRDefault="00B62616" w:rsidP="00B62616">
      <w:pPr>
        <w:ind w:left="120"/>
        <w:rPr>
          <w:lang w:val="en-US"/>
        </w:rPr>
      </w:pPr>
    </w:p>
    <w:p w:rsidR="00B62616" w:rsidRPr="00DF2C13" w:rsidRDefault="00CA35F2" w:rsidP="00B62616">
      <w:pPr>
        <w:ind w:left="120"/>
        <w:rPr>
          <w:b/>
          <w:i/>
          <w:lang w:val="en-US"/>
        </w:rPr>
      </w:pPr>
      <w:r>
        <w:rPr>
          <w:b/>
          <w:i/>
          <w:lang w:val="en-US"/>
        </w:rPr>
        <w:t>Geological data:</w:t>
      </w:r>
    </w:p>
    <w:p w:rsidR="00B62616" w:rsidRDefault="00CA35F2" w:rsidP="00860D1D">
      <w:pPr>
        <w:numPr>
          <w:ilvl w:val="0"/>
          <w:numId w:val="21"/>
        </w:numPr>
        <w:rPr>
          <w:lang w:val="en-US"/>
        </w:rPr>
      </w:pPr>
      <w:r>
        <w:rPr>
          <w:b/>
          <w:i/>
          <w:lang w:val="en-US"/>
        </w:rPr>
        <w:t>Data</w:t>
      </w:r>
      <w:r w:rsidR="00B62616" w:rsidRPr="00600940">
        <w:rPr>
          <w:b/>
          <w:i/>
          <w:lang w:val="en-US"/>
        </w:rPr>
        <w:t>:</w:t>
      </w:r>
      <w:r w:rsidR="00B62616" w:rsidRPr="00286E90">
        <w:rPr>
          <w:lang w:val="en-US"/>
        </w:rPr>
        <w:t xml:space="preserve"> </w:t>
      </w:r>
      <w:r w:rsidR="005319DA">
        <w:rPr>
          <w:lang w:val="en-US"/>
        </w:rPr>
        <w:t>g</w:t>
      </w:r>
      <w:r w:rsidR="00B62616">
        <w:rPr>
          <w:lang w:val="en-US"/>
        </w:rPr>
        <w:t>eological and t</w:t>
      </w:r>
      <w:r w:rsidR="005319DA">
        <w:rPr>
          <w:lang w:val="en-US"/>
        </w:rPr>
        <w:t>e</w:t>
      </w:r>
      <w:r w:rsidR="00B62616" w:rsidRPr="00286E90">
        <w:rPr>
          <w:lang w:val="en-US"/>
        </w:rPr>
        <w:t xml:space="preserve">ctonic maps showing all </w:t>
      </w:r>
      <w:r w:rsidR="00B62616">
        <w:rPr>
          <w:lang w:val="en-US"/>
        </w:rPr>
        <w:t>types</w:t>
      </w:r>
      <w:r w:rsidR="00B62616" w:rsidRPr="00286E90">
        <w:rPr>
          <w:lang w:val="en-US"/>
        </w:rPr>
        <w:t xml:space="preserve"> </w:t>
      </w:r>
      <w:r w:rsidR="00B62616">
        <w:rPr>
          <w:lang w:val="en-US"/>
        </w:rPr>
        <w:t xml:space="preserve">of </w:t>
      </w:r>
      <w:r w:rsidR="00B62616" w:rsidRPr="00286E90">
        <w:rPr>
          <w:lang w:val="en-US"/>
        </w:rPr>
        <w:t xml:space="preserve">faults (both inactive and active) </w:t>
      </w:r>
      <w:r w:rsidR="00B62616">
        <w:rPr>
          <w:lang w:val="en-US"/>
        </w:rPr>
        <w:t xml:space="preserve">at </w:t>
      </w:r>
      <w:r w:rsidR="00B62616" w:rsidRPr="00286E90">
        <w:rPr>
          <w:lang w:val="en-US"/>
        </w:rPr>
        <w:t xml:space="preserve">adequate </w:t>
      </w:r>
      <w:r w:rsidR="00B62616">
        <w:rPr>
          <w:lang w:val="en-US"/>
        </w:rPr>
        <w:t>resolution (1:5.000 or higher)</w:t>
      </w:r>
      <w:r w:rsidR="00A425FD">
        <w:rPr>
          <w:lang w:val="en-US"/>
        </w:rPr>
        <w:t xml:space="preserve">; </w:t>
      </w:r>
      <w:r w:rsidR="00F908CA">
        <w:rPr>
          <w:lang w:val="en-US"/>
        </w:rPr>
        <w:t xml:space="preserve">borehole data; </w:t>
      </w:r>
      <w:r w:rsidR="00A425FD">
        <w:rPr>
          <w:lang w:val="en-US"/>
        </w:rPr>
        <w:t xml:space="preserve">lithology, stratigraphy, </w:t>
      </w:r>
      <w:r w:rsidR="00F908CA">
        <w:rPr>
          <w:lang w:val="en-US"/>
        </w:rPr>
        <w:t xml:space="preserve">and </w:t>
      </w:r>
      <w:r w:rsidR="00A425FD">
        <w:rPr>
          <w:lang w:val="en-US"/>
        </w:rPr>
        <w:t>age data of sediments which are offset by faults or seal faults; data on the fault rock</w:t>
      </w:r>
      <w:r w:rsidR="00170362">
        <w:rPr>
          <w:lang w:val="en-US"/>
        </w:rPr>
        <w:t xml:space="preserve"> (mylonite, cataclasite etc.)</w:t>
      </w:r>
      <w:r w:rsidR="005319DA">
        <w:rPr>
          <w:lang w:val="en-US"/>
        </w:rPr>
        <w:t>,</w:t>
      </w:r>
    </w:p>
    <w:p w:rsidR="00B62616" w:rsidRDefault="00CA35F2" w:rsidP="00B62616">
      <w:pPr>
        <w:ind w:left="1069"/>
        <w:rPr>
          <w:lang w:val="en-US"/>
        </w:rPr>
      </w:pPr>
      <w:r>
        <w:rPr>
          <w:b/>
          <w:i/>
          <w:lang w:val="en-US"/>
        </w:rPr>
        <w:lastRenderedPageBreak/>
        <w:t>Purpose</w:t>
      </w:r>
      <w:r w:rsidR="00B62616" w:rsidRPr="00600940">
        <w:rPr>
          <w:b/>
          <w:i/>
          <w:lang w:val="en-US"/>
        </w:rPr>
        <w:t>:</w:t>
      </w:r>
      <w:r w:rsidR="00B62616">
        <w:rPr>
          <w:lang w:val="en-US"/>
        </w:rPr>
        <w:t xml:space="preserve"> </w:t>
      </w:r>
      <w:r w:rsidR="005319DA">
        <w:rPr>
          <w:lang w:val="en-US"/>
        </w:rPr>
        <w:t>l</w:t>
      </w:r>
      <w:r w:rsidR="00B62616">
        <w:rPr>
          <w:lang w:val="en-US"/>
        </w:rPr>
        <w:t>ocate and characterize faults (orientation, dip)</w:t>
      </w:r>
      <w:r w:rsidR="00A425FD">
        <w:rPr>
          <w:lang w:val="en-US"/>
        </w:rPr>
        <w:t>; date the youngest fault movements</w:t>
      </w:r>
      <w:r w:rsidR="00170362">
        <w:rPr>
          <w:lang w:val="en-US"/>
        </w:rPr>
        <w:t xml:space="preserve"> by of</w:t>
      </w:r>
      <w:r w:rsidR="00170362">
        <w:rPr>
          <w:lang w:val="en-US"/>
        </w:rPr>
        <w:t>f</w:t>
      </w:r>
      <w:r w:rsidR="00170362">
        <w:rPr>
          <w:lang w:val="en-US"/>
        </w:rPr>
        <w:t>set/non-offset sediments; check consistency of fault rock with near-surface faulting</w:t>
      </w:r>
      <w:r w:rsidR="005319DA">
        <w:rPr>
          <w:lang w:val="en-US"/>
        </w:rPr>
        <w:t>.</w:t>
      </w:r>
    </w:p>
    <w:p w:rsidR="00B62616" w:rsidRDefault="00B62616" w:rsidP="00B62616">
      <w:pPr>
        <w:ind w:left="1069"/>
        <w:rPr>
          <w:lang w:val="en-US"/>
        </w:rPr>
      </w:pPr>
    </w:p>
    <w:p w:rsidR="00B62616" w:rsidRPr="00B07367" w:rsidRDefault="00CA35F2" w:rsidP="00B62616">
      <w:pPr>
        <w:ind w:left="120"/>
        <w:rPr>
          <w:b/>
          <w:i/>
          <w:lang w:val="en-US"/>
        </w:rPr>
      </w:pPr>
      <w:r>
        <w:rPr>
          <w:b/>
          <w:i/>
          <w:lang w:val="en-US"/>
        </w:rPr>
        <w:t>Geophysical data</w:t>
      </w:r>
      <w:r w:rsidR="00B62616" w:rsidRPr="00B07367">
        <w:rPr>
          <w:b/>
          <w:i/>
          <w:lang w:val="en-US"/>
        </w:rPr>
        <w:t>:</w:t>
      </w:r>
    </w:p>
    <w:p w:rsidR="00B62616" w:rsidRDefault="00CA35F2" w:rsidP="00860D1D">
      <w:pPr>
        <w:numPr>
          <w:ilvl w:val="0"/>
          <w:numId w:val="21"/>
        </w:numPr>
        <w:rPr>
          <w:lang w:val="en-US"/>
        </w:rPr>
      </w:pPr>
      <w:r>
        <w:rPr>
          <w:b/>
          <w:i/>
          <w:lang w:val="en-US"/>
        </w:rPr>
        <w:t>Data</w:t>
      </w:r>
      <w:r w:rsidR="00B62616" w:rsidRPr="00600940">
        <w:rPr>
          <w:b/>
          <w:i/>
          <w:lang w:val="en-US"/>
        </w:rPr>
        <w:t>:</w:t>
      </w:r>
      <w:r w:rsidR="00B62616" w:rsidRPr="00286E90">
        <w:rPr>
          <w:lang w:val="en-US"/>
        </w:rPr>
        <w:t xml:space="preserve"> </w:t>
      </w:r>
      <w:r w:rsidR="005319DA">
        <w:rPr>
          <w:lang w:val="en-US"/>
        </w:rPr>
        <w:t>h</w:t>
      </w:r>
      <w:r w:rsidR="00B62616">
        <w:rPr>
          <w:lang w:val="en-US"/>
        </w:rPr>
        <w:t>igh-resolution reflection seismic, resistivity, gravity, ground penetrating radar data</w:t>
      </w:r>
      <w:r w:rsidR="00F908CA">
        <w:rPr>
          <w:lang w:val="en-US"/>
        </w:rPr>
        <w:t xml:space="preserve"> (GPR)</w:t>
      </w:r>
      <w:r w:rsidR="00B62616">
        <w:rPr>
          <w:lang w:val="en-US"/>
        </w:rPr>
        <w:t xml:space="preserve"> to locate near-surface faults</w:t>
      </w:r>
      <w:r w:rsidR="00F908CA">
        <w:rPr>
          <w:lang w:val="en-US"/>
        </w:rPr>
        <w:t>; methods providing images of the layering and structures of the unde</w:t>
      </w:r>
      <w:r w:rsidR="00F908CA">
        <w:rPr>
          <w:lang w:val="en-US"/>
        </w:rPr>
        <w:t>r</w:t>
      </w:r>
      <w:r w:rsidR="00F908CA">
        <w:rPr>
          <w:lang w:val="en-US"/>
        </w:rPr>
        <w:t>ground such as reflection seismic and GPR should be preferred</w:t>
      </w:r>
      <w:r w:rsidR="005319DA">
        <w:rPr>
          <w:lang w:val="en-US"/>
        </w:rPr>
        <w:t>,</w:t>
      </w:r>
    </w:p>
    <w:p w:rsidR="00B62616" w:rsidRDefault="00CA35F2" w:rsidP="00B62616">
      <w:pPr>
        <w:ind w:left="1069"/>
        <w:rPr>
          <w:lang w:val="en-US"/>
        </w:rPr>
      </w:pPr>
      <w:r>
        <w:rPr>
          <w:b/>
          <w:i/>
          <w:lang w:val="en-US"/>
        </w:rPr>
        <w:t>Purpose</w:t>
      </w:r>
      <w:r w:rsidR="00B62616" w:rsidRPr="00600940">
        <w:rPr>
          <w:b/>
          <w:i/>
          <w:lang w:val="en-US"/>
        </w:rPr>
        <w:t>:</w:t>
      </w:r>
      <w:r w:rsidR="00B62616">
        <w:rPr>
          <w:lang w:val="en-US"/>
        </w:rPr>
        <w:t xml:space="preserve"> </w:t>
      </w:r>
      <w:r w:rsidR="005319DA">
        <w:rPr>
          <w:lang w:val="en-US"/>
        </w:rPr>
        <w:t>m</w:t>
      </w:r>
      <w:r w:rsidR="00B62616">
        <w:rPr>
          <w:lang w:val="en-US"/>
        </w:rPr>
        <w:t>ap and locate potentially active faults precisely for paleoseismological investitations</w:t>
      </w:r>
      <w:r w:rsidR="005319DA">
        <w:rPr>
          <w:lang w:val="en-US"/>
        </w:rPr>
        <w:t>.</w:t>
      </w:r>
    </w:p>
    <w:p w:rsidR="00B62616" w:rsidRDefault="00B62616" w:rsidP="00B62616">
      <w:pPr>
        <w:ind w:left="120"/>
        <w:rPr>
          <w:lang w:val="en-US"/>
        </w:rPr>
      </w:pPr>
    </w:p>
    <w:p w:rsidR="00B62616" w:rsidRPr="00B07367" w:rsidRDefault="00B62616" w:rsidP="00B62616">
      <w:pPr>
        <w:ind w:left="120"/>
        <w:rPr>
          <w:b/>
          <w:i/>
          <w:lang w:val="en-US"/>
        </w:rPr>
      </w:pPr>
      <w:r w:rsidRPr="00B07367">
        <w:rPr>
          <w:b/>
          <w:i/>
          <w:lang w:val="en-US"/>
        </w:rPr>
        <w:t>Topographic and remote sensing data</w:t>
      </w:r>
    </w:p>
    <w:p w:rsidR="00373E7E" w:rsidRDefault="00CA35F2" w:rsidP="00860D1D">
      <w:pPr>
        <w:numPr>
          <w:ilvl w:val="0"/>
          <w:numId w:val="22"/>
        </w:numPr>
        <w:rPr>
          <w:lang w:val="en-US"/>
        </w:rPr>
      </w:pPr>
      <w:r>
        <w:rPr>
          <w:b/>
          <w:i/>
          <w:lang w:val="en-US"/>
        </w:rPr>
        <w:t>Data</w:t>
      </w:r>
      <w:r w:rsidR="00B62616" w:rsidRPr="00373E7E">
        <w:rPr>
          <w:b/>
          <w:i/>
          <w:lang w:val="en-US"/>
        </w:rPr>
        <w:t>:</w:t>
      </w:r>
      <w:r w:rsidR="00B62616" w:rsidRPr="00373E7E">
        <w:rPr>
          <w:lang w:val="en-US"/>
        </w:rPr>
        <w:t xml:space="preserve"> </w:t>
      </w:r>
      <w:r w:rsidR="005319DA">
        <w:rPr>
          <w:lang w:val="en-US"/>
        </w:rPr>
        <w:t>h</w:t>
      </w:r>
      <w:r w:rsidR="00373E7E" w:rsidRPr="00373E7E">
        <w:rPr>
          <w:lang w:val="en-US"/>
        </w:rPr>
        <w:t xml:space="preserve">igh-resolution </w:t>
      </w:r>
      <w:r w:rsidR="00B62616" w:rsidRPr="00373E7E">
        <w:rPr>
          <w:lang w:val="en-US"/>
        </w:rPr>
        <w:t>aerial photographs</w:t>
      </w:r>
      <w:r w:rsidR="00373E7E" w:rsidRPr="00373E7E">
        <w:rPr>
          <w:lang w:val="en-US"/>
        </w:rPr>
        <w:t xml:space="preserve">, </w:t>
      </w:r>
      <w:r w:rsidR="00B62616" w:rsidRPr="00373E7E">
        <w:rPr>
          <w:lang w:val="en-US"/>
        </w:rPr>
        <w:t>high-</w:t>
      </w:r>
      <w:r>
        <w:rPr>
          <w:lang w:val="en-US"/>
        </w:rPr>
        <w:t>resolution LIDAR elevation data</w:t>
      </w:r>
      <w:r w:rsidR="005319DA">
        <w:rPr>
          <w:lang w:val="en-US"/>
        </w:rPr>
        <w:t>,</w:t>
      </w:r>
    </w:p>
    <w:p w:rsidR="00B62616" w:rsidRDefault="00CA35F2" w:rsidP="00373E7E">
      <w:pPr>
        <w:ind w:left="1069"/>
        <w:rPr>
          <w:lang w:val="en-US"/>
        </w:rPr>
      </w:pPr>
      <w:r>
        <w:rPr>
          <w:b/>
          <w:i/>
          <w:lang w:val="en-US"/>
        </w:rPr>
        <w:t>Purpose</w:t>
      </w:r>
      <w:r w:rsidR="00B62616" w:rsidRPr="00373E7E">
        <w:rPr>
          <w:b/>
          <w:i/>
          <w:lang w:val="en-US"/>
        </w:rPr>
        <w:t>:</w:t>
      </w:r>
      <w:r w:rsidR="00B62616" w:rsidRPr="00373E7E">
        <w:rPr>
          <w:lang w:val="en-US"/>
        </w:rPr>
        <w:t xml:space="preserve"> </w:t>
      </w:r>
      <w:r w:rsidR="005319DA">
        <w:rPr>
          <w:lang w:val="en-US"/>
        </w:rPr>
        <w:t>s</w:t>
      </w:r>
      <w:r w:rsidR="00B62616" w:rsidRPr="00373E7E">
        <w:rPr>
          <w:lang w:val="en-US"/>
        </w:rPr>
        <w:t>upport tectonic geomorphology and map</w:t>
      </w:r>
      <w:r w:rsidR="00373E7E">
        <w:rPr>
          <w:lang w:val="en-US"/>
        </w:rPr>
        <w:t xml:space="preserve"> surface expressions of capable faults</w:t>
      </w:r>
      <w:r w:rsidR="005319DA">
        <w:rPr>
          <w:lang w:val="en-US"/>
        </w:rPr>
        <w:t>.</w:t>
      </w:r>
    </w:p>
    <w:p w:rsidR="00373E7E" w:rsidRDefault="00373E7E" w:rsidP="00373E7E">
      <w:pPr>
        <w:rPr>
          <w:lang w:val="en-US"/>
        </w:rPr>
      </w:pPr>
    </w:p>
    <w:p w:rsidR="00373E7E" w:rsidRPr="00B07367" w:rsidRDefault="00373E7E" w:rsidP="00373E7E">
      <w:pPr>
        <w:ind w:left="120"/>
        <w:rPr>
          <w:b/>
          <w:i/>
          <w:lang w:val="en-US"/>
        </w:rPr>
      </w:pPr>
      <w:r>
        <w:rPr>
          <w:b/>
          <w:i/>
          <w:lang w:val="en-US"/>
        </w:rPr>
        <w:t xml:space="preserve">Geodetic </w:t>
      </w:r>
      <w:r w:rsidRPr="00B07367">
        <w:rPr>
          <w:b/>
          <w:i/>
          <w:lang w:val="en-US"/>
        </w:rPr>
        <w:t>data</w:t>
      </w:r>
      <w:r>
        <w:rPr>
          <w:b/>
          <w:i/>
          <w:lang w:val="en-US"/>
        </w:rPr>
        <w:t>:</w:t>
      </w:r>
    </w:p>
    <w:p w:rsidR="00B62616" w:rsidRDefault="00CA35F2" w:rsidP="00860D1D">
      <w:pPr>
        <w:numPr>
          <w:ilvl w:val="0"/>
          <w:numId w:val="22"/>
        </w:numPr>
        <w:rPr>
          <w:lang w:val="en-US"/>
        </w:rPr>
      </w:pPr>
      <w:r>
        <w:rPr>
          <w:b/>
          <w:i/>
          <w:lang w:val="en-US"/>
        </w:rPr>
        <w:t>Data</w:t>
      </w:r>
      <w:r w:rsidR="00B62616" w:rsidRPr="00600940">
        <w:rPr>
          <w:b/>
          <w:i/>
          <w:lang w:val="en-US"/>
        </w:rPr>
        <w:t>:</w:t>
      </w:r>
      <w:r w:rsidR="00B62616" w:rsidRPr="00286E90">
        <w:rPr>
          <w:lang w:val="en-US"/>
        </w:rPr>
        <w:t xml:space="preserve"> </w:t>
      </w:r>
      <w:r w:rsidR="005319DA">
        <w:rPr>
          <w:lang w:val="en-US"/>
        </w:rPr>
        <w:t>c</w:t>
      </w:r>
      <w:r w:rsidR="00B62616" w:rsidRPr="00E3663A">
        <w:rPr>
          <w:lang w:val="en-US"/>
        </w:rPr>
        <w:t>onventional geodetic dat</w:t>
      </w:r>
      <w:r>
        <w:rPr>
          <w:lang w:val="en-US"/>
        </w:rPr>
        <w:t>a (repeated precise levelling)</w:t>
      </w:r>
      <w:r w:rsidR="005319DA">
        <w:rPr>
          <w:lang w:val="en-US"/>
        </w:rPr>
        <w:t>,</w:t>
      </w:r>
    </w:p>
    <w:p w:rsidR="00B62616" w:rsidRPr="00E3663A" w:rsidRDefault="00B62616" w:rsidP="00B62616">
      <w:pPr>
        <w:ind w:left="1069"/>
        <w:rPr>
          <w:lang w:val="en-US"/>
        </w:rPr>
      </w:pPr>
      <w:r w:rsidRPr="00600940">
        <w:rPr>
          <w:b/>
          <w:i/>
          <w:lang w:val="en-US"/>
        </w:rPr>
        <w:t>Purpos</w:t>
      </w:r>
      <w:r w:rsidR="00CA35F2">
        <w:rPr>
          <w:b/>
          <w:i/>
          <w:lang w:val="en-US"/>
        </w:rPr>
        <w:t>e</w:t>
      </w:r>
      <w:r w:rsidRPr="00600940">
        <w:rPr>
          <w:b/>
          <w:i/>
          <w:lang w:val="en-US"/>
        </w:rPr>
        <w:t>:</w:t>
      </w:r>
      <w:r>
        <w:rPr>
          <w:lang w:val="en-US"/>
        </w:rPr>
        <w:t xml:space="preserve"> </w:t>
      </w:r>
      <w:r w:rsidR="005319DA">
        <w:rPr>
          <w:lang w:val="en-US"/>
        </w:rPr>
        <w:t>a</w:t>
      </w:r>
      <w:r w:rsidRPr="00E3663A">
        <w:rPr>
          <w:lang w:val="en-US"/>
        </w:rPr>
        <w:t>sses vertical</w:t>
      </w:r>
      <w:r>
        <w:rPr>
          <w:lang w:val="en-US"/>
        </w:rPr>
        <w:t xml:space="preserve"> mov</w:t>
      </w:r>
      <w:r w:rsidRPr="00E3663A">
        <w:rPr>
          <w:lang w:val="en-US"/>
        </w:rPr>
        <w:t>ements</w:t>
      </w:r>
      <w:r>
        <w:rPr>
          <w:lang w:val="en-US"/>
        </w:rPr>
        <w:t xml:space="preserve"> to support the identification of active faults</w:t>
      </w:r>
      <w:r w:rsidR="005319DA">
        <w:rPr>
          <w:lang w:val="en-US"/>
        </w:rPr>
        <w:t>.</w:t>
      </w:r>
    </w:p>
    <w:p w:rsidR="00B62616" w:rsidRDefault="00B62616" w:rsidP="0075608E">
      <w:pPr>
        <w:rPr>
          <w:lang w:val="en-US"/>
        </w:rPr>
      </w:pPr>
    </w:p>
    <w:p w:rsidR="00A25DF9" w:rsidRPr="00373E7E" w:rsidRDefault="00CA35F2" w:rsidP="00A25DF9">
      <w:pPr>
        <w:ind w:left="120"/>
        <w:rPr>
          <w:b/>
          <w:i/>
          <w:lang w:val="en-US"/>
        </w:rPr>
      </w:pPr>
      <w:r>
        <w:rPr>
          <w:b/>
          <w:i/>
          <w:lang w:val="en-US"/>
        </w:rPr>
        <w:t>Paleoseismological data</w:t>
      </w:r>
      <w:r w:rsidR="00373E7E" w:rsidRPr="00373E7E">
        <w:rPr>
          <w:b/>
          <w:i/>
          <w:lang w:val="en-US"/>
        </w:rPr>
        <w:t>:</w:t>
      </w:r>
    </w:p>
    <w:p w:rsidR="00373E7E" w:rsidRDefault="00CA35F2" w:rsidP="00860D1D">
      <w:pPr>
        <w:numPr>
          <w:ilvl w:val="0"/>
          <w:numId w:val="22"/>
        </w:numPr>
        <w:rPr>
          <w:lang w:val="en-US"/>
        </w:rPr>
      </w:pPr>
      <w:r>
        <w:rPr>
          <w:b/>
          <w:i/>
          <w:lang w:val="en-US"/>
        </w:rPr>
        <w:t>Data</w:t>
      </w:r>
      <w:r w:rsidR="00373E7E" w:rsidRPr="00600940">
        <w:rPr>
          <w:b/>
          <w:i/>
          <w:lang w:val="en-US"/>
        </w:rPr>
        <w:t>:</w:t>
      </w:r>
      <w:r w:rsidR="00373E7E" w:rsidRPr="00286E90">
        <w:rPr>
          <w:lang w:val="en-US"/>
        </w:rPr>
        <w:t xml:space="preserve"> </w:t>
      </w:r>
      <w:r w:rsidR="005319DA">
        <w:rPr>
          <w:lang w:val="en-US"/>
        </w:rPr>
        <w:t>e</w:t>
      </w:r>
      <w:r w:rsidR="00373E7E">
        <w:rPr>
          <w:lang w:val="en-US"/>
        </w:rPr>
        <w:t>vidence for past fault movements derived from paleoseismological trenching (age of the youngest fault displacement; magnitude and timing of repeated slip events; evidence for paleoeart</w:t>
      </w:r>
      <w:r w:rsidR="00373E7E">
        <w:rPr>
          <w:lang w:val="en-US"/>
        </w:rPr>
        <w:t>h</w:t>
      </w:r>
      <w:r w:rsidR="00373E7E">
        <w:rPr>
          <w:lang w:val="en-US"/>
        </w:rPr>
        <w:t>quakes; recurrence interv</w:t>
      </w:r>
      <w:r>
        <w:rPr>
          <w:lang w:val="en-US"/>
        </w:rPr>
        <w:t>als of slip events) and offset</w:t>
      </w:r>
      <w:r w:rsidR="005319DA">
        <w:rPr>
          <w:lang w:val="en-US"/>
        </w:rPr>
        <w:t>,</w:t>
      </w:r>
    </w:p>
    <w:p w:rsidR="00373E7E" w:rsidRDefault="00CA35F2" w:rsidP="00373E7E">
      <w:pPr>
        <w:ind w:left="1069"/>
        <w:rPr>
          <w:lang w:val="en-US"/>
        </w:rPr>
      </w:pPr>
      <w:r>
        <w:rPr>
          <w:b/>
          <w:i/>
          <w:lang w:val="en-US"/>
        </w:rPr>
        <w:t>Data</w:t>
      </w:r>
      <w:r w:rsidR="00373E7E" w:rsidRPr="00600940">
        <w:rPr>
          <w:b/>
          <w:i/>
          <w:lang w:val="en-US"/>
        </w:rPr>
        <w:t>:</w:t>
      </w:r>
      <w:r w:rsidR="00373E7E" w:rsidRPr="00286E90">
        <w:rPr>
          <w:lang w:val="en-US"/>
        </w:rPr>
        <w:t xml:space="preserve"> </w:t>
      </w:r>
      <w:r w:rsidR="005319DA">
        <w:rPr>
          <w:lang w:val="en-US"/>
        </w:rPr>
        <w:t>e</w:t>
      </w:r>
      <w:r w:rsidR="00373E7E">
        <w:rPr>
          <w:lang w:val="en-US"/>
        </w:rPr>
        <w:t>vidence for the sealing of the fault by undisplaced sediments (age of the youngest fault di</w:t>
      </w:r>
      <w:r w:rsidR="00373E7E">
        <w:rPr>
          <w:lang w:val="en-US"/>
        </w:rPr>
        <w:t>s</w:t>
      </w:r>
      <w:r>
        <w:rPr>
          <w:lang w:val="en-US"/>
        </w:rPr>
        <w:t>placement)</w:t>
      </w:r>
      <w:r w:rsidR="005319DA">
        <w:rPr>
          <w:lang w:val="en-US"/>
        </w:rPr>
        <w:t>,</w:t>
      </w:r>
    </w:p>
    <w:p w:rsidR="00373E7E" w:rsidRPr="00E3663A" w:rsidRDefault="00CA35F2" w:rsidP="00373E7E">
      <w:pPr>
        <w:ind w:left="1069"/>
        <w:rPr>
          <w:lang w:val="en-US"/>
        </w:rPr>
      </w:pPr>
      <w:r>
        <w:rPr>
          <w:b/>
          <w:i/>
          <w:lang w:val="en-US"/>
        </w:rPr>
        <w:t>Purpose</w:t>
      </w:r>
      <w:r w:rsidR="00373E7E" w:rsidRPr="00600940">
        <w:rPr>
          <w:b/>
          <w:i/>
          <w:lang w:val="en-US"/>
        </w:rPr>
        <w:t>:</w:t>
      </w:r>
      <w:r w:rsidR="00373E7E">
        <w:rPr>
          <w:lang w:val="en-US"/>
        </w:rPr>
        <w:t xml:space="preserve"> </w:t>
      </w:r>
      <w:r w:rsidR="005319DA">
        <w:rPr>
          <w:lang w:val="en-US"/>
        </w:rPr>
        <w:t>a</w:t>
      </w:r>
      <w:r w:rsidR="00373E7E" w:rsidRPr="00E3663A">
        <w:rPr>
          <w:lang w:val="en-US"/>
        </w:rPr>
        <w:t xml:space="preserve">sses </w:t>
      </w:r>
      <w:r w:rsidR="00373E7E">
        <w:rPr>
          <w:lang w:val="en-US"/>
        </w:rPr>
        <w:t xml:space="preserve">the possibility, </w:t>
      </w:r>
      <w:r w:rsidR="00E05399">
        <w:rPr>
          <w:lang w:val="en-US"/>
        </w:rPr>
        <w:t xml:space="preserve">magnitude, </w:t>
      </w:r>
      <w:r w:rsidR="00373E7E">
        <w:rPr>
          <w:lang w:val="en-US"/>
        </w:rPr>
        <w:t xml:space="preserve">timing, </w:t>
      </w:r>
      <w:r w:rsidR="00E05399">
        <w:rPr>
          <w:lang w:val="en-US"/>
        </w:rPr>
        <w:t>and recurrence rate of surface faulting</w:t>
      </w:r>
      <w:r w:rsidR="005319DA">
        <w:rPr>
          <w:lang w:val="en-US"/>
        </w:rPr>
        <w:t>.</w:t>
      </w:r>
    </w:p>
    <w:p w:rsidR="00A25DF9" w:rsidRDefault="00A25DF9" w:rsidP="00A25DF9">
      <w:pPr>
        <w:pStyle w:val="Titre3"/>
        <w:rPr>
          <w:lang w:val="en-US"/>
        </w:rPr>
      </w:pPr>
      <w:bookmarkStart w:id="68" w:name="_Ref450897611"/>
      <w:bookmarkStart w:id="69" w:name="_Ref451102043"/>
      <w:bookmarkStart w:id="70" w:name="_Ref451165642"/>
      <w:bookmarkStart w:id="71" w:name="_Toc456011888"/>
      <w:r>
        <w:rPr>
          <w:lang w:val="en-US"/>
        </w:rPr>
        <w:t>Data for assessing liquefaction and dynamic compaction</w:t>
      </w:r>
      <w:bookmarkEnd w:id="68"/>
      <w:bookmarkEnd w:id="69"/>
      <w:bookmarkEnd w:id="70"/>
      <w:bookmarkEnd w:id="71"/>
      <w:r>
        <w:rPr>
          <w:lang w:val="en-US"/>
        </w:rPr>
        <w:t xml:space="preserve"> </w:t>
      </w:r>
    </w:p>
    <w:p w:rsidR="00AA19FC" w:rsidRDefault="00335044" w:rsidP="0075608E">
      <w:pPr>
        <w:rPr>
          <w:lang w:val="en-US"/>
        </w:rPr>
      </w:pPr>
      <w:r>
        <w:rPr>
          <w:lang w:val="en-US"/>
        </w:rPr>
        <w:t xml:space="preserve">The </w:t>
      </w:r>
      <w:r w:rsidR="008A6E4E">
        <w:rPr>
          <w:lang w:val="en-US"/>
        </w:rPr>
        <w:t xml:space="preserve">data requirements for assesments of the liquefaction and dynamic compaction potential are summarized by IAEA </w:t>
      </w:r>
      <w:r w:rsidR="00361828">
        <w:rPr>
          <w:lang w:val="en-US"/>
        </w:rPr>
        <w:t xml:space="preserve">(2004; </w:t>
      </w:r>
      <w:r w:rsidR="00361828" w:rsidRPr="00361828">
        <w:rPr>
          <w:color w:val="0070C0"/>
          <w:lang w:val="en-US"/>
        </w:rPr>
        <w:t>NS-G-3.6</w:t>
      </w:r>
      <w:r w:rsidR="00361828">
        <w:rPr>
          <w:lang w:val="en-US"/>
        </w:rPr>
        <w:t xml:space="preserve">). </w:t>
      </w:r>
      <w:r>
        <w:rPr>
          <w:lang w:val="en-US"/>
        </w:rPr>
        <w:t xml:space="preserve"> </w:t>
      </w:r>
      <w:r w:rsidR="00361828">
        <w:rPr>
          <w:lang w:val="en-US"/>
        </w:rPr>
        <w:t xml:space="preserve">Data collection </w:t>
      </w:r>
      <w:r w:rsidR="00E56AC7">
        <w:rPr>
          <w:lang w:val="en-US"/>
        </w:rPr>
        <w:t>should include the following</w:t>
      </w:r>
      <w:r w:rsidR="00CA35F2">
        <w:rPr>
          <w:lang w:val="en-US"/>
        </w:rPr>
        <w:t>:</w:t>
      </w:r>
    </w:p>
    <w:p w:rsidR="00AA19FC" w:rsidRDefault="00AA19FC" w:rsidP="0075608E">
      <w:pPr>
        <w:rPr>
          <w:lang w:val="en-US"/>
        </w:rPr>
      </w:pPr>
    </w:p>
    <w:p w:rsidR="009A1023" w:rsidRPr="00C55E22" w:rsidRDefault="009A1023" w:rsidP="0075608E">
      <w:pPr>
        <w:rPr>
          <w:b/>
          <w:i/>
          <w:lang w:val="en-US"/>
        </w:rPr>
      </w:pPr>
      <w:r w:rsidRPr="00C55E22">
        <w:rPr>
          <w:b/>
          <w:i/>
          <w:lang w:val="en-US"/>
        </w:rPr>
        <w:t xml:space="preserve">Site-specific </w:t>
      </w:r>
      <w:r w:rsidR="00335044" w:rsidRPr="00C55E22">
        <w:rPr>
          <w:b/>
          <w:i/>
          <w:lang w:val="en-US"/>
        </w:rPr>
        <w:t xml:space="preserve">geological </w:t>
      </w:r>
      <w:r w:rsidR="00C55E22" w:rsidRPr="00C55E22">
        <w:rPr>
          <w:b/>
          <w:i/>
          <w:lang w:val="en-US"/>
        </w:rPr>
        <w:t xml:space="preserve">and geomechanical </w:t>
      </w:r>
      <w:r w:rsidR="00CA35F2">
        <w:rPr>
          <w:b/>
          <w:i/>
          <w:lang w:val="en-US"/>
        </w:rPr>
        <w:t>data:</w:t>
      </w:r>
    </w:p>
    <w:p w:rsidR="00361828" w:rsidRDefault="00CA35F2" w:rsidP="009A1023">
      <w:pPr>
        <w:ind w:left="709"/>
        <w:rPr>
          <w:lang w:val="en-US"/>
        </w:rPr>
      </w:pPr>
      <w:r>
        <w:rPr>
          <w:b/>
          <w:i/>
          <w:lang w:val="en-US"/>
        </w:rPr>
        <w:t>Data</w:t>
      </w:r>
      <w:r w:rsidR="00C55E22" w:rsidRPr="00C55E22">
        <w:rPr>
          <w:b/>
          <w:i/>
          <w:lang w:val="en-US"/>
        </w:rPr>
        <w:t>:</w:t>
      </w:r>
      <w:r w:rsidR="00C55E22">
        <w:rPr>
          <w:lang w:val="en-US"/>
        </w:rPr>
        <w:t xml:space="preserve"> </w:t>
      </w:r>
      <w:r w:rsidR="005319DA">
        <w:rPr>
          <w:lang w:val="en-US"/>
        </w:rPr>
        <w:t>h</w:t>
      </w:r>
      <w:r w:rsidR="00335044">
        <w:rPr>
          <w:lang w:val="en-US"/>
        </w:rPr>
        <w:t>igh-resolution geological maps; d</w:t>
      </w:r>
      <w:r w:rsidR="009A1023">
        <w:rPr>
          <w:lang w:val="en-US"/>
        </w:rPr>
        <w:t>rilling profiles</w:t>
      </w:r>
      <w:r w:rsidR="00335044">
        <w:rPr>
          <w:lang w:val="en-US"/>
        </w:rPr>
        <w:t>; boring logs and test pit logs; lithology, stratigr</w:t>
      </w:r>
      <w:r w:rsidR="00335044">
        <w:rPr>
          <w:lang w:val="en-US"/>
        </w:rPr>
        <w:t>a</w:t>
      </w:r>
      <w:r w:rsidR="00335044">
        <w:rPr>
          <w:lang w:val="en-US"/>
        </w:rPr>
        <w:t xml:space="preserve">phy, and age data of sediments; </w:t>
      </w:r>
      <w:r w:rsidR="008A6E4E">
        <w:rPr>
          <w:lang w:val="en-US"/>
        </w:rPr>
        <w:t xml:space="preserve">grain size; </w:t>
      </w:r>
      <w:r w:rsidR="00335044">
        <w:rPr>
          <w:lang w:val="en-US"/>
        </w:rPr>
        <w:t>s</w:t>
      </w:r>
      <w:r w:rsidR="009A1023">
        <w:rPr>
          <w:lang w:val="en-US"/>
        </w:rPr>
        <w:t xml:space="preserve">oil properties from </w:t>
      </w:r>
      <w:r w:rsidR="00335044">
        <w:rPr>
          <w:lang w:val="en-US"/>
        </w:rPr>
        <w:t>in-situ (e.g., standar</w:t>
      </w:r>
      <w:r w:rsidR="00C55E22">
        <w:rPr>
          <w:lang w:val="en-US"/>
        </w:rPr>
        <w:t>d</w:t>
      </w:r>
      <w:r w:rsidR="00335044">
        <w:rPr>
          <w:lang w:val="en-US"/>
        </w:rPr>
        <w:t xml:space="preserve"> </w:t>
      </w:r>
      <w:r w:rsidR="00C55E22">
        <w:rPr>
          <w:lang w:val="en-US"/>
        </w:rPr>
        <w:t xml:space="preserve">or cone </w:t>
      </w:r>
      <w:r w:rsidR="00335044">
        <w:rPr>
          <w:lang w:val="en-US"/>
        </w:rPr>
        <w:t>penetration tests) and laboratory soil mechanic testing (geomechanical soil parameters);</w:t>
      </w:r>
      <w:r w:rsidR="009A1023">
        <w:rPr>
          <w:lang w:val="en-US"/>
        </w:rPr>
        <w:t xml:space="preserve"> </w:t>
      </w:r>
      <w:r w:rsidR="00335044">
        <w:rPr>
          <w:lang w:val="en-US"/>
        </w:rPr>
        <w:t>s</w:t>
      </w:r>
      <w:r w:rsidR="009A1023">
        <w:rPr>
          <w:lang w:val="en-US"/>
        </w:rPr>
        <w:t>eismic wave velocities (Vs30)</w:t>
      </w:r>
      <w:r w:rsidR="005319DA">
        <w:rPr>
          <w:lang w:val="en-US"/>
        </w:rPr>
        <w:t>,</w:t>
      </w:r>
    </w:p>
    <w:p w:rsidR="00C55E22" w:rsidRPr="00C55E22" w:rsidRDefault="00CA35F2" w:rsidP="009A1023">
      <w:pPr>
        <w:ind w:left="709"/>
        <w:rPr>
          <w:lang w:val="en-US"/>
        </w:rPr>
      </w:pPr>
      <w:r>
        <w:rPr>
          <w:b/>
          <w:i/>
          <w:lang w:val="en-US"/>
        </w:rPr>
        <w:t>Purpose</w:t>
      </w:r>
      <w:r w:rsidR="00C55E22" w:rsidRPr="00600940">
        <w:rPr>
          <w:b/>
          <w:i/>
          <w:lang w:val="en-US"/>
        </w:rPr>
        <w:t>:</w:t>
      </w:r>
      <w:r w:rsidR="00C55E22">
        <w:rPr>
          <w:b/>
          <w:i/>
          <w:lang w:val="en-US"/>
        </w:rPr>
        <w:t xml:space="preserve"> </w:t>
      </w:r>
      <w:r w:rsidR="005319DA">
        <w:rPr>
          <w:lang w:val="en-US"/>
        </w:rPr>
        <w:t>c</w:t>
      </w:r>
      <w:r w:rsidR="00C55E22" w:rsidRPr="00C55E22">
        <w:rPr>
          <w:lang w:val="en-US"/>
        </w:rPr>
        <w:t>onstrain</w:t>
      </w:r>
      <w:r w:rsidR="005057D1">
        <w:rPr>
          <w:lang w:val="en-US"/>
        </w:rPr>
        <w:t xml:space="preserve"> </w:t>
      </w:r>
      <w:r w:rsidR="00C55E22" w:rsidRPr="00C55E22">
        <w:rPr>
          <w:lang w:val="en-US"/>
        </w:rPr>
        <w:t>the thickness and 3D geometry of sediment layers</w:t>
      </w:r>
      <w:r w:rsidR="00C55E22">
        <w:rPr>
          <w:lang w:val="en-US"/>
        </w:rPr>
        <w:t xml:space="preserve"> and soil</w:t>
      </w:r>
      <w:r w:rsidR="00C55E22" w:rsidRPr="00C55E22">
        <w:rPr>
          <w:lang w:val="en-US"/>
        </w:rPr>
        <w:t>; characterize lithological</w:t>
      </w:r>
      <w:r w:rsidR="00C55E22">
        <w:rPr>
          <w:lang w:val="en-US"/>
        </w:rPr>
        <w:t xml:space="preserve"> and </w:t>
      </w:r>
      <w:r w:rsidR="00C55E22" w:rsidRPr="00C55E22">
        <w:rPr>
          <w:lang w:val="en-US"/>
        </w:rPr>
        <w:t xml:space="preserve">geotechnical </w:t>
      </w:r>
      <w:r w:rsidR="00C55E22">
        <w:rPr>
          <w:lang w:val="en-US"/>
        </w:rPr>
        <w:t xml:space="preserve">properties of </w:t>
      </w:r>
      <w:r w:rsidR="00361828">
        <w:rPr>
          <w:lang w:val="en-US"/>
        </w:rPr>
        <w:t xml:space="preserve">the </w:t>
      </w:r>
      <w:r w:rsidR="00C55E22">
        <w:rPr>
          <w:lang w:val="en-US"/>
        </w:rPr>
        <w:t>layers</w:t>
      </w:r>
      <w:r w:rsidR="005319DA">
        <w:rPr>
          <w:lang w:val="en-US"/>
        </w:rPr>
        <w:t>.</w:t>
      </w:r>
    </w:p>
    <w:p w:rsidR="00C55E22" w:rsidRDefault="00C55E22" w:rsidP="00C55E22">
      <w:pPr>
        <w:ind w:left="120"/>
        <w:rPr>
          <w:b/>
          <w:i/>
          <w:lang w:val="en-US"/>
        </w:rPr>
      </w:pPr>
    </w:p>
    <w:p w:rsidR="00C55E22" w:rsidRPr="00B07367" w:rsidRDefault="00CA35F2" w:rsidP="00C55E22">
      <w:pPr>
        <w:ind w:left="120"/>
        <w:rPr>
          <w:b/>
          <w:i/>
          <w:lang w:val="en-US"/>
        </w:rPr>
      </w:pPr>
      <w:r>
        <w:rPr>
          <w:b/>
          <w:i/>
          <w:lang w:val="en-US"/>
        </w:rPr>
        <w:t>Geophysical data</w:t>
      </w:r>
      <w:r w:rsidR="00C55E22" w:rsidRPr="00B07367">
        <w:rPr>
          <w:b/>
          <w:i/>
          <w:lang w:val="en-US"/>
        </w:rPr>
        <w:t>:</w:t>
      </w:r>
    </w:p>
    <w:p w:rsidR="00C55E22" w:rsidRDefault="00CA35F2" w:rsidP="00361828">
      <w:pPr>
        <w:ind w:left="709"/>
        <w:rPr>
          <w:lang w:val="en-US"/>
        </w:rPr>
      </w:pPr>
      <w:r>
        <w:rPr>
          <w:b/>
          <w:i/>
          <w:lang w:val="en-US"/>
        </w:rPr>
        <w:lastRenderedPageBreak/>
        <w:t>Data</w:t>
      </w:r>
      <w:r w:rsidR="00C55E22" w:rsidRPr="00600940">
        <w:rPr>
          <w:b/>
          <w:i/>
          <w:lang w:val="en-US"/>
        </w:rPr>
        <w:t>:</w:t>
      </w:r>
      <w:r w:rsidR="00C55E22" w:rsidRPr="00286E90">
        <w:rPr>
          <w:lang w:val="en-US"/>
        </w:rPr>
        <w:t xml:space="preserve"> </w:t>
      </w:r>
      <w:r w:rsidR="005319DA">
        <w:rPr>
          <w:lang w:val="en-US"/>
        </w:rPr>
        <w:t>h</w:t>
      </w:r>
      <w:r w:rsidR="00C55E22">
        <w:rPr>
          <w:lang w:val="en-US"/>
        </w:rPr>
        <w:t>igh-resolution reflection seismic, resistivity, ground penetrating radar data (GPR)</w:t>
      </w:r>
      <w:r w:rsidR="00361828">
        <w:rPr>
          <w:lang w:val="en-US"/>
        </w:rPr>
        <w:t>;</w:t>
      </w:r>
      <w:r w:rsidR="00C55E22">
        <w:rPr>
          <w:lang w:val="en-US"/>
        </w:rPr>
        <w:t xml:space="preserve"> methods providing images of the layering and structures of the underground such as reflection seis</w:t>
      </w:r>
      <w:r w:rsidR="00361828">
        <w:rPr>
          <w:lang w:val="en-US"/>
        </w:rPr>
        <w:t>mic and GPR should be preferred</w:t>
      </w:r>
      <w:r w:rsidR="005319DA">
        <w:rPr>
          <w:lang w:val="en-US"/>
        </w:rPr>
        <w:t>,</w:t>
      </w:r>
    </w:p>
    <w:p w:rsidR="00C55E22" w:rsidRDefault="00CA35F2" w:rsidP="00361828">
      <w:pPr>
        <w:ind w:firstLine="709"/>
        <w:rPr>
          <w:lang w:val="en-US"/>
        </w:rPr>
      </w:pPr>
      <w:r>
        <w:rPr>
          <w:b/>
          <w:i/>
          <w:lang w:val="en-US"/>
        </w:rPr>
        <w:t>Purpose</w:t>
      </w:r>
      <w:r w:rsidR="00C55E22" w:rsidRPr="00600940">
        <w:rPr>
          <w:b/>
          <w:i/>
          <w:lang w:val="en-US"/>
        </w:rPr>
        <w:t>:</w:t>
      </w:r>
      <w:r w:rsidR="00C55E22">
        <w:rPr>
          <w:lang w:val="en-US"/>
        </w:rPr>
        <w:t xml:space="preserve"> </w:t>
      </w:r>
      <w:r w:rsidR="005319DA">
        <w:rPr>
          <w:lang w:val="en-US"/>
        </w:rPr>
        <w:t>c</w:t>
      </w:r>
      <w:r w:rsidR="00C55E22">
        <w:rPr>
          <w:lang w:val="en-US"/>
        </w:rPr>
        <w:t>onstrain the 3D geome</w:t>
      </w:r>
      <w:r>
        <w:rPr>
          <w:lang w:val="en-US"/>
        </w:rPr>
        <w:t>try of sediment layers and soil</w:t>
      </w:r>
      <w:r w:rsidR="005319DA">
        <w:rPr>
          <w:lang w:val="en-US"/>
        </w:rPr>
        <w:t>.</w:t>
      </w:r>
    </w:p>
    <w:p w:rsidR="008A6E4E" w:rsidRDefault="008A6E4E" w:rsidP="00335044">
      <w:pPr>
        <w:rPr>
          <w:lang w:val="en-US"/>
        </w:rPr>
      </w:pPr>
    </w:p>
    <w:p w:rsidR="00335044" w:rsidRPr="00361828" w:rsidRDefault="00335044" w:rsidP="00335044">
      <w:pPr>
        <w:rPr>
          <w:b/>
          <w:i/>
          <w:lang w:val="en-US"/>
        </w:rPr>
      </w:pPr>
      <w:r w:rsidRPr="00361828">
        <w:rPr>
          <w:b/>
          <w:i/>
          <w:lang w:val="en-US"/>
        </w:rPr>
        <w:t>Site-specific hydrol</w:t>
      </w:r>
      <w:r w:rsidR="00CA35F2">
        <w:rPr>
          <w:b/>
          <w:i/>
          <w:lang w:val="en-US"/>
        </w:rPr>
        <w:t>ogical and hydrogeological data:</w:t>
      </w:r>
    </w:p>
    <w:p w:rsidR="00335044" w:rsidRDefault="00CA35F2" w:rsidP="00C55E22">
      <w:pPr>
        <w:ind w:left="709"/>
        <w:rPr>
          <w:lang w:val="en-US"/>
        </w:rPr>
      </w:pPr>
      <w:r>
        <w:rPr>
          <w:b/>
          <w:i/>
          <w:lang w:val="en-US"/>
        </w:rPr>
        <w:t>Data</w:t>
      </w:r>
      <w:r w:rsidR="00C55E22" w:rsidRPr="00C55E22">
        <w:rPr>
          <w:b/>
          <w:i/>
          <w:lang w:val="en-US"/>
        </w:rPr>
        <w:t>:</w:t>
      </w:r>
      <w:r w:rsidR="00C55E22">
        <w:rPr>
          <w:lang w:val="en-US"/>
        </w:rPr>
        <w:t xml:space="preserve"> </w:t>
      </w:r>
      <w:r w:rsidR="005319DA">
        <w:rPr>
          <w:lang w:val="en-US"/>
        </w:rPr>
        <w:t>g</w:t>
      </w:r>
      <w:r w:rsidR="00335044">
        <w:rPr>
          <w:lang w:val="en-US"/>
        </w:rPr>
        <w:t xml:space="preserve">roundwater level and ground water level fluctuations; hydrological data of fore-flood river, lake or sea; climate and rainfall records; porosity, permeability, and wate saturation </w:t>
      </w:r>
      <w:r w:rsidR="00C55E22">
        <w:rPr>
          <w:lang w:val="en-US"/>
        </w:rPr>
        <w:t>of sediments and soil</w:t>
      </w:r>
      <w:r w:rsidR="005319DA">
        <w:rPr>
          <w:lang w:val="en-US"/>
        </w:rPr>
        <w:t>,</w:t>
      </w:r>
    </w:p>
    <w:p w:rsidR="00C55E22" w:rsidRPr="00C55E22" w:rsidRDefault="00CA35F2" w:rsidP="00C55E22">
      <w:pPr>
        <w:ind w:left="709"/>
        <w:rPr>
          <w:lang w:val="en-US"/>
        </w:rPr>
      </w:pPr>
      <w:r>
        <w:rPr>
          <w:b/>
          <w:i/>
          <w:lang w:val="en-US"/>
        </w:rPr>
        <w:t>Purpose</w:t>
      </w:r>
      <w:r w:rsidR="00C55E22" w:rsidRPr="00600940">
        <w:rPr>
          <w:b/>
          <w:i/>
          <w:lang w:val="en-US"/>
        </w:rPr>
        <w:t>:</w:t>
      </w:r>
      <w:r w:rsidR="00C55E22">
        <w:rPr>
          <w:b/>
          <w:i/>
          <w:lang w:val="en-US"/>
        </w:rPr>
        <w:t xml:space="preserve"> </w:t>
      </w:r>
      <w:r w:rsidR="005319DA">
        <w:rPr>
          <w:lang w:val="en-US"/>
        </w:rPr>
        <w:t>c</w:t>
      </w:r>
      <w:r w:rsidR="00C55E22" w:rsidRPr="00C55E22">
        <w:rPr>
          <w:lang w:val="en-US"/>
        </w:rPr>
        <w:t>onstrain the thickness and 3D geometry of sediment layers; characterize variation</w:t>
      </w:r>
      <w:r w:rsidR="00361828">
        <w:rPr>
          <w:lang w:val="en-US"/>
        </w:rPr>
        <w:t>s of the h</w:t>
      </w:r>
      <w:r w:rsidR="00361828">
        <w:rPr>
          <w:lang w:val="en-US"/>
        </w:rPr>
        <w:t>y</w:t>
      </w:r>
      <w:r w:rsidR="00361828">
        <w:rPr>
          <w:lang w:val="en-US"/>
        </w:rPr>
        <w:t xml:space="preserve">drogeological </w:t>
      </w:r>
      <w:r w:rsidR="00C55E22">
        <w:rPr>
          <w:lang w:val="en-US"/>
        </w:rPr>
        <w:t>properties of layers</w:t>
      </w:r>
      <w:r w:rsidR="005319DA">
        <w:rPr>
          <w:lang w:val="en-US"/>
        </w:rPr>
        <w:t>.</w:t>
      </w:r>
    </w:p>
    <w:p w:rsidR="00C55E22" w:rsidRDefault="00C55E22" w:rsidP="00C55E22">
      <w:pPr>
        <w:ind w:left="120"/>
        <w:rPr>
          <w:b/>
          <w:i/>
          <w:lang w:val="en-US"/>
        </w:rPr>
      </w:pPr>
    </w:p>
    <w:p w:rsidR="00C55E22" w:rsidRPr="00B07367" w:rsidRDefault="00C55E22" w:rsidP="00C55E22">
      <w:pPr>
        <w:ind w:left="120"/>
        <w:rPr>
          <w:b/>
          <w:i/>
          <w:lang w:val="en-US"/>
        </w:rPr>
      </w:pPr>
      <w:r>
        <w:rPr>
          <w:b/>
          <w:i/>
          <w:lang w:val="en-US"/>
        </w:rPr>
        <w:t>Paleoseismological</w:t>
      </w:r>
      <w:r w:rsidR="00CA35F2">
        <w:rPr>
          <w:b/>
          <w:i/>
          <w:lang w:val="en-US"/>
        </w:rPr>
        <w:t xml:space="preserve"> data</w:t>
      </w:r>
      <w:r w:rsidRPr="00B07367">
        <w:rPr>
          <w:b/>
          <w:i/>
          <w:lang w:val="en-US"/>
        </w:rPr>
        <w:t>:</w:t>
      </w:r>
    </w:p>
    <w:p w:rsidR="00C55E22" w:rsidRDefault="00CA35F2" w:rsidP="00C55E22">
      <w:pPr>
        <w:ind w:left="709"/>
        <w:rPr>
          <w:lang w:val="en-US"/>
        </w:rPr>
      </w:pPr>
      <w:r>
        <w:rPr>
          <w:b/>
          <w:i/>
          <w:lang w:val="en-US"/>
        </w:rPr>
        <w:t>Data</w:t>
      </w:r>
      <w:r w:rsidR="00C55E22" w:rsidRPr="00600940">
        <w:rPr>
          <w:b/>
          <w:i/>
          <w:lang w:val="en-US"/>
        </w:rPr>
        <w:t>:</w:t>
      </w:r>
      <w:r w:rsidR="00C55E22" w:rsidRPr="00286E90">
        <w:rPr>
          <w:lang w:val="en-US"/>
        </w:rPr>
        <w:t xml:space="preserve"> </w:t>
      </w:r>
      <w:r w:rsidR="005319DA">
        <w:rPr>
          <w:lang w:val="en-US"/>
        </w:rPr>
        <w:t>e</w:t>
      </w:r>
      <w:r w:rsidR="00C55E22">
        <w:rPr>
          <w:lang w:val="en-US"/>
        </w:rPr>
        <w:t xml:space="preserve">vidence for past liquefaction of sedimetents at the site or at locations which are similar to the site (e.g., evidence of clastic dykes or intrusions, paleo-sand volcanoes, </w:t>
      </w:r>
      <w:r w:rsidR="001D3241">
        <w:rPr>
          <w:lang w:val="en-US"/>
        </w:rPr>
        <w:t>lateral spreading etc</w:t>
      </w:r>
      <w:r w:rsidR="005319DA">
        <w:rPr>
          <w:lang w:val="en-US"/>
        </w:rPr>
        <w:t>,</w:t>
      </w:r>
    </w:p>
    <w:p w:rsidR="00C55E22" w:rsidRDefault="00CA35F2" w:rsidP="00C55E22">
      <w:pPr>
        <w:ind w:firstLine="709"/>
        <w:rPr>
          <w:lang w:val="en-US"/>
        </w:rPr>
      </w:pPr>
      <w:r>
        <w:rPr>
          <w:b/>
          <w:i/>
          <w:lang w:val="en-US"/>
        </w:rPr>
        <w:t>Purpose</w:t>
      </w:r>
      <w:r w:rsidR="00C55E22" w:rsidRPr="00600940">
        <w:rPr>
          <w:b/>
          <w:i/>
          <w:lang w:val="en-US"/>
        </w:rPr>
        <w:t>:</w:t>
      </w:r>
      <w:r w:rsidR="00C55E22">
        <w:rPr>
          <w:lang w:val="en-US"/>
        </w:rPr>
        <w:t xml:space="preserve"> </w:t>
      </w:r>
      <w:r w:rsidR="005319DA">
        <w:rPr>
          <w:lang w:val="en-US"/>
        </w:rPr>
        <w:t>c</w:t>
      </w:r>
      <w:r w:rsidR="001D3241">
        <w:rPr>
          <w:lang w:val="en-US"/>
        </w:rPr>
        <w:t>onfirm or reject the occurrence of past liquefaction at the site</w:t>
      </w:r>
      <w:r w:rsidR="005319DA">
        <w:rPr>
          <w:lang w:val="en-US"/>
        </w:rPr>
        <w:t>.</w:t>
      </w:r>
    </w:p>
    <w:p w:rsidR="00C55E22" w:rsidRDefault="00C55E22" w:rsidP="00C55E22">
      <w:pPr>
        <w:rPr>
          <w:lang w:val="en-US"/>
        </w:rPr>
      </w:pPr>
    </w:p>
    <w:p w:rsidR="00A25DF9" w:rsidRDefault="005A1CA8" w:rsidP="00A25DF9">
      <w:pPr>
        <w:pStyle w:val="Titre3"/>
        <w:rPr>
          <w:lang w:val="en-US"/>
        </w:rPr>
      </w:pPr>
      <w:bookmarkStart w:id="72" w:name="_Ref451102164"/>
      <w:r>
        <w:rPr>
          <w:lang w:val="en-US"/>
        </w:rPr>
        <w:br w:type="page"/>
      </w:r>
      <w:bookmarkStart w:id="73" w:name="_Toc456011889"/>
      <w:r w:rsidR="00A25DF9">
        <w:rPr>
          <w:lang w:val="en-US"/>
        </w:rPr>
        <w:lastRenderedPageBreak/>
        <w:t>Data for assessing permanent ground displacement</w:t>
      </w:r>
      <w:bookmarkEnd w:id="72"/>
      <w:bookmarkEnd w:id="73"/>
    </w:p>
    <w:p w:rsidR="00D623CE" w:rsidRDefault="00361828" w:rsidP="009A1023">
      <w:pPr>
        <w:rPr>
          <w:lang w:val="en-US"/>
        </w:rPr>
      </w:pPr>
      <w:r>
        <w:rPr>
          <w:lang w:val="en-US"/>
        </w:rPr>
        <w:t xml:space="preserve">The assessment of the potential of permanent ground displacement by earthquakes requires the </w:t>
      </w:r>
      <w:r w:rsidR="00D623CE">
        <w:rPr>
          <w:lang w:val="en-US"/>
        </w:rPr>
        <w:t>assessment</w:t>
      </w:r>
      <w:r w:rsidR="009A1023">
        <w:rPr>
          <w:lang w:val="en-US"/>
        </w:rPr>
        <w:t xml:space="preserve"> of</w:t>
      </w:r>
      <w:r w:rsidR="0075608E">
        <w:rPr>
          <w:lang w:val="en-US"/>
        </w:rPr>
        <w:t xml:space="preserve"> major </w:t>
      </w:r>
      <w:r>
        <w:rPr>
          <w:lang w:val="en-US"/>
        </w:rPr>
        <w:t xml:space="preserve">active </w:t>
      </w:r>
      <w:r w:rsidR="009A1023">
        <w:rPr>
          <w:lang w:val="en-US"/>
        </w:rPr>
        <w:t xml:space="preserve">faults </w:t>
      </w:r>
      <w:r w:rsidR="0075608E">
        <w:rPr>
          <w:lang w:val="en-US"/>
        </w:rPr>
        <w:t xml:space="preserve">which have </w:t>
      </w:r>
      <w:r w:rsidR="009A1023">
        <w:rPr>
          <w:lang w:val="en-US"/>
        </w:rPr>
        <w:t xml:space="preserve">the potential to </w:t>
      </w:r>
      <w:r>
        <w:rPr>
          <w:lang w:val="en-US"/>
        </w:rPr>
        <w:t xml:space="preserve">cause </w:t>
      </w:r>
      <w:r w:rsidR="0075608E">
        <w:rPr>
          <w:lang w:val="en-US"/>
        </w:rPr>
        <w:t>significant vertical ground displacement of the site</w:t>
      </w:r>
      <w:r>
        <w:rPr>
          <w:lang w:val="en-US"/>
        </w:rPr>
        <w:t xml:space="preserve">. </w:t>
      </w:r>
      <w:r w:rsidR="0070285E">
        <w:rPr>
          <w:lang w:val="en-US"/>
        </w:rPr>
        <w:t>Large</w:t>
      </w:r>
      <w:r>
        <w:rPr>
          <w:lang w:val="en-US"/>
        </w:rPr>
        <w:t xml:space="preserve"> </w:t>
      </w:r>
      <w:r w:rsidR="0070285E">
        <w:rPr>
          <w:lang w:val="en-US"/>
        </w:rPr>
        <w:t xml:space="preserve">co-seismic and post-seismic </w:t>
      </w:r>
      <w:r>
        <w:rPr>
          <w:lang w:val="en-US"/>
        </w:rPr>
        <w:t>vertical displacements</w:t>
      </w:r>
      <w:r w:rsidR="0070285E">
        <w:rPr>
          <w:lang w:val="en-US"/>
        </w:rPr>
        <w:t xml:space="preserve"> in the order of several metres have been recorded from nume</w:t>
      </w:r>
      <w:r w:rsidR="0070285E">
        <w:rPr>
          <w:lang w:val="en-US"/>
        </w:rPr>
        <w:t>r</w:t>
      </w:r>
      <w:r w:rsidR="0070285E">
        <w:rPr>
          <w:lang w:val="en-US"/>
        </w:rPr>
        <w:t>ous earthquakes at oceanic subduction zones which are not present in Europe. In intra-plate Europe vertical di</w:t>
      </w:r>
      <w:r w:rsidR="0070285E">
        <w:rPr>
          <w:lang w:val="en-US"/>
        </w:rPr>
        <w:t>s</w:t>
      </w:r>
      <w:r w:rsidR="0070285E">
        <w:rPr>
          <w:lang w:val="en-US"/>
        </w:rPr>
        <w:t xml:space="preserve">placement may occur in the vicinity of normal faults </w:t>
      </w:r>
      <w:r w:rsidR="00BF410D">
        <w:rPr>
          <w:lang w:val="en-US"/>
        </w:rPr>
        <w:t xml:space="preserve">(e.g., the Rhine Graben) </w:t>
      </w:r>
      <w:r w:rsidR="0070285E">
        <w:rPr>
          <w:lang w:val="en-US"/>
        </w:rPr>
        <w:t>and thrust faults (e.g., in Europe’s a</w:t>
      </w:r>
      <w:r w:rsidR="0070285E">
        <w:rPr>
          <w:lang w:val="en-US"/>
        </w:rPr>
        <w:t>c</w:t>
      </w:r>
      <w:r w:rsidR="00CA35F2">
        <w:rPr>
          <w:lang w:val="en-US"/>
        </w:rPr>
        <w:t>tive orogenic mountain belts).</w:t>
      </w:r>
    </w:p>
    <w:p w:rsidR="00D623CE" w:rsidRDefault="00D623CE" w:rsidP="0075608E">
      <w:pPr>
        <w:rPr>
          <w:lang w:val="en-US"/>
        </w:rPr>
      </w:pPr>
    </w:p>
    <w:p w:rsidR="00D623CE" w:rsidRDefault="00D623CE" w:rsidP="00D623CE">
      <w:pPr>
        <w:ind w:left="709"/>
        <w:rPr>
          <w:lang w:val="en-US"/>
        </w:rPr>
      </w:pPr>
      <w:r w:rsidRPr="00D623CE">
        <w:rPr>
          <w:b/>
          <w:i/>
          <w:lang w:val="en-US"/>
        </w:rPr>
        <w:t>Data</w:t>
      </w:r>
      <w:r w:rsidR="009A1023" w:rsidRPr="00D623CE">
        <w:rPr>
          <w:b/>
          <w:i/>
          <w:lang w:val="en-US"/>
        </w:rPr>
        <w:t>:</w:t>
      </w:r>
      <w:r>
        <w:rPr>
          <w:lang w:val="en-US"/>
        </w:rPr>
        <w:t xml:space="preserve"> </w:t>
      </w:r>
      <w:r w:rsidR="005319DA">
        <w:rPr>
          <w:lang w:val="en-US"/>
        </w:rPr>
        <w:t>a</w:t>
      </w:r>
      <w:r>
        <w:rPr>
          <w:lang w:val="en-US"/>
        </w:rPr>
        <w:t>ll kinds of data required for the identification and characterization of active faults in the near-region of the sit</w:t>
      </w:r>
      <w:r w:rsidR="00CA35F2">
        <w:rPr>
          <w:lang w:val="en-US"/>
        </w:rPr>
        <w:t>e (see above); fault dimensions</w:t>
      </w:r>
      <w:r w:rsidR="005319DA">
        <w:rPr>
          <w:lang w:val="en-US"/>
        </w:rPr>
        <w:t>,</w:t>
      </w:r>
    </w:p>
    <w:p w:rsidR="00A25DF9" w:rsidRDefault="00CA35F2" w:rsidP="00D623CE">
      <w:pPr>
        <w:ind w:left="709"/>
        <w:rPr>
          <w:lang w:val="en-US"/>
        </w:rPr>
      </w:pPr>
      <w:r>
        <w:rPr>
          <w:b/>
          <w:i/>
          <w:lang w:val="en-US"/>
        </w:rPr>
        <w:t>Purpose</w:t>
      </w:r>
      <w:r w:rsidR="00D623CE" w:rsidRPr="00D623CE">
        <w:rPr>
          <w:b/>
          <w:i/>
          <w:lang w:val="en-US"/>
        </w:rPr>
        <w:t>:</w:t>
      </w:r>
      <w:r w:rsidR="00D623CE">
        <w:rPr>
          <w:lang w:val="en-US"/>
        </w:rPr>
        <w:t xml:space="preserve"> </w:t>
      </w:r>
      <w:r w:rsidR="005319DA">
        <w:rPr>
          <w:lang w:val="en-US"/>
        </w:rPr>
        <w:t>a</w:t>
      </w:r>
      <w:r w:rsidR="00D623CE">
        <w:rPr>
          <w:lang w:val="en-US"/>
        </w:rPr>
        <w:t>ssess the maximum credible vertical displacement</w:t>
      </w:r>
      <w:r w:rsidR="005319DA">
        <w:rPr>
          <w:lang w:val="en-US"/>
        </w:rPr>
        <w:t>.</w:t>
      </w:r>
    </w:p>
    <w:p w:rsidR="00A25DF9" w:rsidRDefault="00A25DF9" w:rsidP="00752D77">
      <w:pPr>
        <w:ind w:left="120"/>
        <w:rPr>
          <w:b/>
          <w:bCs/>
          <w:lang w:val="en-US"/>
        </w:rPr>
      </w:pPr>
    </w:p>
    <w:p w:rsidR="001A21F1" w:rsidRDefault="001D61E2" w:rsidP="00103F85">
      <w:pPr>
        <w:pStyle w:val="Titre2"/>
        <w:rPr>
          <w:lang w:val="en-US"/>
        </w:rPr>
      </w:pPr>
      <w:r>
        <w:rPr>
          <w:lang w:val="en-US"/>
        </w:rPr>
        <w:br w:type="page"/>
      </w:r>
      <w:bookmarkStart w:id="74" w:name="_Toc456011890"/>
      <w:r w:rsidR="00E01D15" w:rsidRPr="00152AB4">
        <w:rPr>
          <w:lang w:val="en-US"/>
        </w:rPr>
        <w:lastRenderedPageBreak/>
        <w:t>Data sources</w:t>
      </w:r>
      <w:bookmarkEnd w:id="74"/>
      <w:r w:rsidR="00E01D15">
        <w:rPr>
          <w:lang w:val="en-US"/>
        </w:rPr>
        <w:t xml:space="preserve"> </w:t>
      </w:r>
    </w:p>
    <w:p w:rsidR="00E01D15" w:rsidRPr="00103F85" w:rsidRDefault="00E77712" w:rsidP="00103F85">
      <w:pPr>
        <w:pStyle w:val="Titre3"/>
        <w:rPr>
          <w:lang w:val="en-US"/>
        </w:rPr>
      </w:pPr>
      <w:bookmarkStart w:id="75" w:name="_Toc456011891"/>
      <w:r>
        <w:rPr>
          <w:lang w:val="en-US"/>
        </w:rPr>
        <w:t>Earthquake catalogues</w:t>
      </w:r>
      <w:bookmarkEnd w:id="75"/>
    </w:p>
    <w:p w:rsidR="008D6E2F" w:rsidRDefault="007A30A9" w:rsidP="007A30A9">
      <w:pPr>
        <w:ind w:left="120"/>
        <w:rPr>
          <w:lang w:val="en-US"/>
        </w:rPr>
      </w:pPr>
      <w:r w:rsidRPr="00030A4E">
        <w:rPr>
          <w:b/>
          <w:i/>
          <w:lang w:val="en-US"/>
        </w:rPr>
        <w:t>Earthquake catalogues</w:t>
      </w:r>
      <w:r>
        <w:rPr>
          <w:lang w:val="en-US"/>
        </w:rPr>
        <w:t xml:space="preserve"> with continent-wide coverage have been compiled by several European projects includ</w:t>
      </w:r>
      <w:r>
        <w:rPr>
          <w:lang w:val="en-US"/>
        </w:rPr>
        <w:t>e</w:t>
      </w:r>
      <w:r>
        <w:rPr>
          <w:lang w:val="en-US"/>
        </w:rPr>
        <w:t xml:space="preserve">ing </w:t>
      </w:r>
      <w:r w:rsidR="0099287B">
        <w:rPr>
          <w:lang w:val="en-US"/>
        </w:rPr>
        <w:t xml:space="preserve">the projects </w:t>
      </w:r>
      <w:r>
        <w:rPr>
          <w:lang w:val="en-US"/>
        </w:rPr>
        <w:t xml:space="preserve">SHARE (Seismic Hazard </w:t>
      </w:r>
      <w:r w:rsidR="003161A1">
        <w:rPr>
          <w:lang w:val="en-US"/>
        </w:rPr>
        <w:t>Harmonization in Europe</w:t>
      </w:r>
      <w:r>
        <w:rPr>
          <w:lang w:val="en-US"/>
        </w:rPr>
        <w:t xml:space="preserve">) and AHEAD (European Archive of Historical Earthquake Data). </w:t>
      </w:r>
      <w:r w:rsidR="003161A1">
        <w:rPr>
          <w:lang w:val="en-US"/>
        </w:rPr>
        <w:t>The compiled catalogues</w:t>
      </w:r>
      <w:r w:rsidR="0099287B">
        <w:rPr>
          <w:lang w:val="en-US"/>
        </w:rPr>
        <w:t xml:space="preserve"> (</w:t>
      </w:r>
      <w:r w:rsidR="0099287B">
        <w:rPr>
          <w:lang w:val="en-US"/>
        </w:rPr>
        <w:fldChar w:fldCharType="begin"/>
      </w:r>
      <w:r w:rsidR="0099287B">
        <w:rPr>
          <w:lang w:val="en-US"/>
        </w:rPr>
        <w:instrText xml:space="preserve"> REF _Ref432427872 \h </w:instrText>
      </w:r>
      <w:r w:rsidR="0099287B">
        <w:rPr>
          <w:lang w:val="en-US"/>
        </w:rPr>
      </w:r>
      <w:r w:rsidR="0099287B">
        <w:rPr>
          <w:lang w:val="en-US"/>
        </w:rPr>
        <w:fldChar w:fldCharType="separate"/>
      </w:r>
      <w:r w:rsidR="00173034">
        <w:t xml:space="preserve">Table </w:t>
      </w:r>
      <w:r w:rsidR="00173034">
        <w:rPr>
          <w:noProof/>
        </w:rPr>
        <w:t>2</w:t>
      </w:r>
      <w:r w:rsidR="0099287B">
        <w:rPr>
          <w:lang w:val="en-US"/>
        </w:rPr>
        <w:fldChar w:fldCharType="end"/>
      </w:r>
      <w:r w:rsidR="0099287B">
        <w:rPr>
          <w:lang w:val="en-US"/>
        </w:rPr>
        <w:t>)</w:t>
      </w:r>
      <w:r w:rsidR="003161A1">
        <w:rPr>
          <w:lang w:val="en-US"/>
        </w:rPr>
        <w:t xml:space="preserve"> are homogeneous with respect to </w:t>
      </w:r>
      <w:r w:rsidR="0044763A">
        <w:rPr>
          <w:lang w:val="en-US"/>
        </w:rPr>
        <w:t>the magnitude (</w:t>
      </w:r>
      <w:r w:rsidR="003161A1">
        <w:rPr>
          <w:lang w:val="en-US"/>
        </w:rPr>
        <w:t>Mw</w:t>
      </w:r>
      <w:r w:rsidR="0044763A">
        <w:rPr>
          <w:lang w:val="en-US"/>
        </w:rPr>
        <w:t>, m</w:t>
      </w:r>
      <w:r w:rsidR="0044763A">
        <w:rPr>
          <w:lang w:val="en-US"/>
        </w:rPr>
        <w:t>o</w:t>
      </w:r>
      <w:r w:rsidR="0044763A">
        <w:rPr>
          <w:lang w:val="en-US"/>
        </w:rPr>
        <w:t xml:space="preserve">ment magnitude; see discussion </w:t>
      </w:r>
      <w:r w:rsidR="003161A1">
        <w:rPr>
          <w:lang w:val="en-US"/>
        </w:rPr>
        <w:t xml:space="preserve">by Grünthal et al. </w:t>
      </w:r>
      <w:r w:rsidR="0044763A">
        <w:rPr>
          <w:lang w:val="en-US"/>
        </w:rPr>
        <w:t xml:space="preserve">[2009] and Grünthal &amp; Walström [2013]). The catalogues do not consider earthquakes with magnitudes / intensities below a certain threshold (see references in </w:t>
      </w:r>
      <w:r w:rsidR="0044763A">
        <w:rPr>
          <w:lang w:val="en-US"/>
        </w:rPr>
        <w:fldChar w:fldCharType="begin"/>
      </w:r>
      <w:r w:rsidR="0044763A">
        <w:rPr>
          <w:lang w:val="en-US"/>
        </w:rPr>
        <w:instrText xml:space="preserve"> REF _Ref432427872 \h </w:instrText>
      </w:r>
      <w:r w:rsidR="0044763A">
        <w:rPr>
          <w:lang w:val="en-US"/>
        </w:rPr>
      </w:r>
      <w:r w:rsidR="0044763A">
        <w:rPr>
          <w:lang w:val="en-US"/>
        </w:rPr>
        <w:fldChar w:fldCharType="separate"/>
      </w:r>
      <w:r w:rsidR="00173034">
        <w:t xml:space="preserve">Table </w:t>
      </w:r>
      <w:r w:rsidR="00173034">
        <w:rPr>
          <w:noProof/>
        </w:rPr>
        <w:t>2</w:t>
      </w:r>
      <w:r w:rsidR="0044763A">
        <w:rPr>
          <w:lang w:val="en-US"/>
        </w:rPr>
        <w:fldChar w:fldCharType="end"/>
      </w:r>
      <w:r w:rsidR="0044763A">
        <w:rPr>
          <w:lang w:val="en-US"/>
        </w:rPr>
        <w:t xml:space="preserve"> for details).</w:t>
      </w:r>
    </w:p>
    <w:p w:rsidR="0044763A" w:rsidRDefault="0044763A" w:rsidP="007A30A9">
      <w:pPr>
        <w:ind w:left="120"/>
        <w:rPr>
          <w:lang w:val="en-US"/>
        </w:rPr>
      </w:pPr>
    </w:p>
    <w:tbl>
      <w:tblPr>
        <w:tblW w:w="9214" w:type="dxa"/>
        <w:tblInd w:w="212" w:type="dxa"/>
        <w:tblLayout w:type="fixed"/>
        <w:tblCellMar>
          <w:left w:w="70" w:type="dxa"/>
          <w:right w:w="70" w:type="dxa"/>
        </w:tblCellMar>
        <w:tblLook w:val="04A0" w:firstRow="1" w:lastRow="0" w:firstColumn="1" w:lastColumn="0" w:noHBand="0" w:noVBand="1"/>
      </w:tblPr>
      <w:tblGrid>
        <w:gridCol w:w="992"/>
        <w:gridCol w:w="3544"/>
        <w:gridCol w:w="2977"/>
        <w:gridCol w:w="1701"/>
      </w:tblGrid>
      <w:tr w:rsidR="00B06516" w:rsidRPr="00CA35F2" w:rsidTr="001D61E2">
        <w:trPr>
          <w:trHeight w:val="264"/>
        </w:trPr>
        <w:tc>
          <w:tcPr>
            <w:tcW w:w="9214"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b/>
                <w:szCs w:val="18"/>
                <w:lang w:val="de-AT" w:eastAsia="de-AT"/>
              </w:rPr>
            </w:pPr>
            <w:r w:rsidRPr="00CA35F2">
              <w:rPr>
                <w:rFonts w:cs="Arial"/>
                <w:b/>
                <w:szCs w:val="18"/>
                <w:lang w:val="de-AT" w:eastAsia="de-AT"/>
              </w:rPr>
              <w:t>European earthquake catalogues</w:t>
            </w:r>
          </w:p>
          <w:p w:rsidR="00B06516" w:rsidRPr="00CA35F2" w:rsidRDefault="00B06516" w:rsidP="0099287B">
            <w:pPr>
              <w:spacing w:line="240" w:lineRule="auto"/>
              <w:jc w:val="left"/>
              <w:rPr>
                <w:rFonts w:cs="Arial"/>
                <w:b/>
                <w:szCs w:val="18"/>
                <w:lang w:val="de-AT" w:eastAsia="de-AT"/>
              </w:rPr>
            </w:pPr>
            <w:r w:rsidRPr="00CA35F2">
              <w:rPr>
                <w:rFonts w:cs="Arial"/>
                <w:b/>
                <w:szCs w:val="18"/>
                <w:lang w:val="de-AT" w:eastAsia="de-AT"/>
              </w:rPr>
              <w:t> </w:t>
            </w:r>
          </w:p>
        </w:tc>
      </w:tr>
      <w:tr w:rsidR="00B06516" w:rsidRPr="00CA35F2" w:rsidTr="001D61E2">
        <w:trPr>
          <w:trHeight w:val="264"/>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b/>
                <w:szCs w:val="18"/>
                <w:lang w:val="de-AT" w:eastAsia="de-AT"/>
              </w:rPr>
            </w:pPr>
            <w:r w:rsidRPr="00CA35F2">
              <w:rPr>
                <w:rFonts w:cs="Arial"/>
                <w:b/>
                <w:szCs w:val="18"/>
                <w:lang w:val="de-AT" w:eastAsia="de-AT"/>
              </w:rPr>
              <w:t>Region</w:t>
            </w:r>
          </w:p>
        </w:tc>
        <w:tc>
          <w:tcPr>
            <w:tcW w:w="3544"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b/>
                <w:szCs w:val="18"/>
                <w:lang w:val="de-AT" w:eastAsia="de-AT"/>
              </w:rPr>
            </w:pPr>
            <w:r w:rsidRPr="00CA35F2">
              <w:rPr>
                <w:rFonts w:cs="Arial"/>
                <w:b/>
                <w:szCs w:val="18"/>
                <w:lang w:val="de-AT" w:eastAsia="de-AT"/>
              </w:rPr>
              <w:t>Link</w:t>
            </w:r>
          </w:p>
        </w:tc>
        <w:tc>
          <w:tcPr>
            <w:tcW w:w="2977"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b/>
                <w:szCs w:val="18"/>
                <w:lang w:val="de-AT" w:eastAsia="de-AT"/>
              </w:rPr>
            </w:pPr>
            <w:r w:rsidRPr="00CA35F2">
              <w:rPr>
                <w:rFonts w:cs="Arial"/>
                <w:b/>
                <w:szCs w:val="18"/>
                <w:lang w:val="de-AT" w:eastAsia="de-AT"/>
              </w:rPr>
              <w:t>Reference</w:t>
            </w:r>
          </w:p>
        </w:tc>
        <w:tc>
          <w:tcPr>
            <w:tcW w:w="1701"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b/>
                <w:szCs w:val="18"/>
                <w:lang w:val="de-AT" w:eastAsia="de-AT"/>
              </w:rPr>
            </w:pPr>
            <w:r w:rsidRPr="00CA35F2">
              <w:rPr>
                <w:rFonts w:cs="Arial"/>
                <w:b/>
                <w:szCs w:val="18"/>
                <w:lang w:val="de-AT" w:eastAsia="de-AT"/>
              </w:rPr>
              <w:t>Time coverage</w:t>
            </w:r>
          </w:p>
        </w:tc>
      </w:tr>
      <w:tr w:rsidR="00B06516" w:rsidRPr="00CA35F2" w:rsidTr="001D61E2">
        <w:trPr>
          <w:trHeight w:val="435"/>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Europe</w:t>
            </w:r>
          </w:p>
        </w:tc>
        <w:tc>
          <w:tcPr>
            <w:tcW w:w="3544"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color w:val="0066CC"/>
                <w:szCs w:val="18"/>
                <w:u w:val="single"/>
                <w:lang w:val="de-AT" w:eastAsia="de-AT"/>
              </w:rPr>
            </w:pPr>
            <w:hyperlink r:id="rId16" w:history="1">
              <w:r w:rsidRPr="00CA35F2">
                <w:rPr>
                  <w:rFonts w:cs="Arial"/>
                  <w:color w:val="0066CC"/>
                  <w:szCs w:val="18"/>
                  <w:u w:val="single"/>
                  <w:lang w:val="de-AT" w:eastAsia="de-AT"/>
                </w:rPr>
                <w:t>http://www.emidius.eu/SHEEC/</w:t>
              </w:r>
            </w:hyperlink>
          </w:p>
        </w:tc>
        <w:tc>
          <w:tcPr>
            <w:tcW w:w="2977"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Stucchi et al., 2013</w:t>
            </w:r>
          </w:p>
        </w:tc>
        <w:tc>
          <w:tcPr>
            <w:tcW w:w="1701"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1000-1999</w:t>
            </w:r>
          </w:p>
        </w:tc>
      </w:tr>
      <w:tr w:rsidR="00B06516" w:rsidRPr="00CA35F2" w:rsidTr="001D61E2">
        <w:trPr>
          <w:trHeight w:val="427"/>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Europe</w:t>
            </w:r>
          </w:p>
        </w:tc>
        <w:tc>
          <w:tcPr>
            <w:tcW w:w="3544"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color w:val="0066CC"/>
                <w:szCs w:val="18"/>
                <w:u w:val="single"/>
                <w:lang w:val="de-AT" w:eastAsia="de-AT"/>
              </w:rPr>
            </w:pPr>
            <w:r w:rsidRPr="00CA35F2">
              <w:rPr>
                <w:rFonts w:cs="Arial"/>
                <w:color w:val="0066CC"/>
                <w:szCs w:val="18"/>
                <w:u w:val="single"/>
                <w:lang w:val="de-AT" w:eastAsia="de-AT"/>
              </w:rPr>
              <w:t>http://www.gfz-potsdam.de/emec/</w:t>
            </w:r>
          </w:p>
        </w:tc>
        <w:tc>
          <w:tcPr>
            <w:tcW w:w="2977"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Grünthal &amp; Walström, 2013</w:t>
            </w:r>
          </w:p>
        </w:tc>
        <w:tc>
          <w:tcPr>
            <w:tcW w:w="1701"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1000-2006</w:t>
            </w:r>
          </w:p>
        </w:tc>
      </w:tr>
      <w:tr w:rsidR="00B06516" w:rsidRPr="00CA35F2" w:rsidTr="001D61E2">
        <w:trPr>
          <w:trHeight w:val="1028"/>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Europe</w:t>
            </w:r>
          </w:p>
        </w:tc>
        <w:tc>
          <w:tcPr>
            <w:tcW w:w="3544"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color w:val="0066CC"/>
                <w:szCs w:val="18"/>
                <w:u w:val="single"/>
                <w:lang w:val="de-AT" w:eastAsia="de-AT"/>
              </w:rPr>
            </w:pPr>
            <w:hyperlink r:id="rId17" w:history="1">
              <w:r w:rsidRPr="00CA35F2">
                <w:rPr>
                  <w:rFonts w:cs="Arial"/>
                  <w:color w:val="0066CC"/>
                  <w:szCs w:val="18"/>
                  <w:u w:val="single"/>
                  <w:lang w:val="de-AT" w:eastAsia="de-AT"/>
                </w:rPr>
                <w:t>http://www.gfz-potsdam.de/en/section/seismic-hazard-and-stress-field/products-and-services/cenec-earthquake-catalogue/</w:t>
              </w:r>
            </w:hyperlink>
          </w:p>
        </w:tc>
        <w:tc>
          <w:tcPr>
            <w:tcW w:w="2977"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Grünthal et al., 2009</w:t>
            </w:r>
          </w:p>
        </w:tc>
        <w:tc>
          <w:tcPr>
            <w:tcW w:w="1701"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1000-2009</w:t>
            </w:r>
          </w:p>
        </w:tc>
      </w:tr>
      <w:tr w:rsidR="00B06516" w:rsidRPr="00CA35F2" w:rsidTr="001D61E2">
        <w:trPr>
          <w:trHeight w:val="733"/>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Europe</w:t>
            </w:r>
          </w:p>
        </w:tc>
        <w:tc>
          <w:tcPr>
            <w:tcW w:w="3544"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color w:val="0066CC"/>
                <w:szCs w:val="18"/>
                <w:u w:val="single"/>
                <w:lang w:val="de-AT" w:eastAsia="de-AT"/>
              </w:rPr>
            </w:pPr>
            <w:r w:rsidRPr="00CA35F2">
              <w:rPr>
                <w:rFonts w:cs="Arial"/>
                <w:color w:val="0066CC"/>
                <w:szCs w:val="18"/>
                <w:u w:val="single"/>
                <w:lang w:val="de-AT" w:eastAsia="de-AT"/>
              </w:rPr>
              <w:t>http://www.bgr.bund.de/EN/Themen/Seismol</w:t>
            </w:r>
            <w:r w:rsidRPr="00CA35F2">
              <w:rPr>
                <w:rFonts w:cs="Arial"/>
                <w:color w:val="0066CC"/>
                <w:szCs w:val="18"/>
                <w:u w:val="single"/>
                <w:lang w:val="de-AT" w:eastAsia="de-AT"/>
              </w:rPr>
              <w:t>o</w:t>
            </w:r>
            <w:r w:rsidRPr="00CA35F2">
              <w:rPr>
                <w:rFonts w:cs="Arial"/>
                <w:color w:val="0066CC"/>
                <w:szCs w:val="18"/>
                <w:u w:val="single"/>
                <w:lang w:val="de-AT" w:eastAsia="de-AT"/>
              </w:rPr>
              <w:t>gie/Erdbebenauswertung_en/Kataloge_en/historisch/EU_Oe_Schw_en.html</w:t>
            </w:r>
          </w:p>
        </w:tc>
        <w:tc>
          <w:tcPr>
            <w:tcW w:w="2977"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Van Gils &amp; Leydecker, 1991</w:t>
            </w:r>
          </w:p>
        </w:tc>
        <w:tc>
          <w:tcPr>
            <w:tcW w:w="1701"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479 BC-1983</w:t>
            </w:r>
          </w:p>
        </w:tc>
      </w:tr>
      <w:tr w:rsidR="00B06516" w:rsidRPr="00CA35F2" w:rsidTr="001D61E2">
        <w:trPr>
          <w:trHeight w:val="577"/>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Europe</w:t>
            </w:r>
          </w:p>
        </w:tc>
        <w:tc>
          <w:tcPr>
            <w:tcW w:w="3544" w:type="dxa"/>
            <w:tcBorders>
              <w:top w:val="nil"/>
              <w:left w:val="nil"/>
              <w:bottom w:val="single" w:sz="4" w:space="0" w:color="auto"/>
              <w:right w:val="single" w:sz="4" w:space="0" w:color="auto"/>
            </w:tcBorders>
            <w:shd w:val="clear" w:color="auto" w:fill="auto"/>
            <w:hideMark/>
          </w:tcPr>
          <w:p w:rsidR="00B06516" w:rsidRPr="00CA35F2" w:rsidRDefault="005057D1" w:rsidP="0099287B">
            <w:pPr>
              <w:spacing w:line="240" w:lineRule="auto"/>
              <w:jc w:val="left"/>
              <w:rPr>
                <w:rFonts w:cs="Arial"/>
                <w:color w:val="0066CC"/>
                <w:szCs w:val="18"/>
                <w:u w:val="single"/>
                <w:lang w:val="de-AT" w:eastAsia="de-AT"/>
              </w:rPr>
            </w:pPr>
            <w:hyperlink r:id="rId18" w:history="1">
              <w:r w:rsidRPr="00627B3D">
                <w:rPr>
                  <w:rStyle w:val="Lienhypertexte"/>
                  <w:rFonts w:cs="Arial"/>
                  <w:szCs w:val="18"/>
                  <w:lang w:val="de-AT" w:eastAsia="de-AT"/>
                </w:rPr>
                <w:t>http://emidius.eu/GEH/info/popup_pdf_complete.php?id=5801</w:t>
              </w:r>
            </w:hyperlink>
          </w:p>
        </w:tc>
        <w:tc>
          <w:tcPr>
            <w:tcW w:w="2977"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Shebalin et al., 1998</w:t>
            </w:r>
          </w:p>
        </w:tc>
        <w:tc>
          <w:tcPr>
            <w:tcW w:w="1701"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342 BC-1990</w:t>
            </w:r>
          </w:p>
        </w:tc>
      </w:tr>
    </w:tbl>
    <w:p w:rsidR="003161A1" w:rsidRPr="00B06516" w:rsidRDefault="003161A1" w:rsidP="00103F85">
      <w:pPr>
        <w:ind w:left="120"/>
        <w:rPr>
          <w:lang w:val="de-AT"/>
        </w:rPr>
      </w:pPr>
    </w:p>
    <w:p w:rsidR="008A5BB1" w:rsidRPr="008A03C8" w:rsidRDefault="008A5BB1" w:rsidP="008A5BB1">
      <w:pPr>
        <w:pStyle w:val="ASAMPSAtable"/>
        <w:numPr>
          <w:ilvl w:val="0"/>
          <w:numId w:val="0"/>
        </w:numPr>
        <w:ind w:left="720" w:hanging="360"/>
        <w:jc w:val="left"/>
        <w:rPr>
          <w:iCs/>
        </w:rPr>
      </w:pPr>
      <w:bookmarkStart w:id="76" w:name="_Ref432427872"/>
      <w:bookmarkStart w:id="77" w:name="_Toc456012026"/>
      <w:r>
        <w:t xml:space="preserve">Table </w:t>
      </w:r>
      <w:r>
        <w:fldChar w:fldCharType="begin"/>
      </w:r>
      <w:r>
        <w:instrText xml:space="preserve"> SEQ Table \* ARABIC </w:instrText>
      </w:r>
      <w:r>
        <w:fldChar w:fldCharType="separate"/>
      </w:r>
      <w:r w:rsidR="00173034">
        <w:rPr>
          <w:noProof/>
        </w:rPr>
        <w:t>2</w:t>
      </w:r>
      <w:r>
        <w:fldChar w:fldCharType="end"/>
      </w:r>
      <w:bookmarkEnd w:id="76"/>
      <w:r>
        <w:t>.  List of European earthquake catalogues</w:t>
      </w:r>
      <w:r w:rsidR="003E5169">
        <w:t xml:space="preserve"> with </w:t>
      </w:r>
      <w:r w:rsidR="00B06516">
        <w:t>continent-wide coverage</w:t>
      </w:r>
      <w:r>
        <w:t>.</w:t>
      </w:r>
      <w:bookmarkEnd w:id="77"/>
    </w:p>
    <w:p w:rsidR="00C534DD" w:rsidRDefault="00C534DD" w:rsidP="00103F85">
      <w:pPr>
        <w:ind w:left="120"/>
        <w:rPr>
          <w:b/>
          <w:i/>
          <w:lang w:val="en-US"/>
        </w:rPr>
      </w:pPr>
    </w:p>
    <w:p w:rsidR="0044763A" w:rsidRDefault="00133A00" w:rsidP="00103F85">
      <w:pPr>
        <w:ind w:left="120"/>
        <w:rPr>
          <w:lang w:val="en-US"/>
        </w:rPr>
      </w:pPr>
      <w:r w:rsidRPr="00030A4E">
        <w:rPr>
          <w:b/>
          <w:i/>
          <w:lang w:val="en-US"/>
        </w:rPr>
        <w:t>National earthquake catalogues</w:t>
      </w:r>
      <w:r>
        <w:rPr>
          <w:lang w:val="en-US"/>
        </w:rPr>
        <w:t xml:space="preserve"> are commonly being maintained and updated by the national seismological, geophysical or geological surveys. </w:t>
      </w:r>
      <w:r>
        <w:rPr>
          <w:lang w:val="en-US"/>
        </w:rPr>
        <w:fldChar w:fldCharType="begin"/>
      </w:r>
      <w:r>
        <w:rPr>
          <w:lang w:val="en-US"/>
        </w:rPr>
        <w:instrText xml:space="preserve"> REF _Ref432431094 \h </w:instrText>
      </w:r>
      <w:r>
        <w:rPr>
          <w:lang w:val="en-US"/>
        </w:rPr>
      </w:r>
      <w:r>
        <w:rPr>
          <w:lang w:val="en-US"/>
        </w:rPr>
        <w:fldChar w:fldCharType="separate"/>
      </w:r>
      <w:r w:rsidR="00173034">
        <w:t xml:space="preserve">Table </w:t>
      </w:r>
      <w:r w:rsidR="00173034">
        <w:rPr>
          <w:noProof/>
        </w:rPr>
        <w:t>3</w:t>
      </w:r>
      <w:r>
        <w:rPr>
          <w:lang w:val="en-US"/>
        </w:rPr>
        <w:fldChar w:fldCharType="end"/>
      </w:r>
      <w:r>
        <w:rPr>
          <w:lang w:val="en-US"/>
        </w:rPr>
        <w:t xml:space="preserve"> provides a non-exhaustive list of online links and references to such catalogues.</w:t>
      </w:r>
    </w:p>
    <w:p w:rsidR="008C0367" w:rsidRDefault="008C0367" w:rsidP="00103F85">
      <w:pPr>
        <w:ind w:left="120"/>
        <w:rPr>
          <w:lang w:val="en-US"/>
        </w:rPr>
      </w:pPr>
    </w:p>
    <w:p w:rsidR="00133A00" w:rsidRDefault="00413E4E" w:rsidP="00103F85">
      <w:pPr>
        <w:ind w:left="120"/>
        <w:rPr>
          <w:lang w:val="en-US"/>
        </w:rPr>
      </w:pPr>
      <w:r>
        <w:rPr>
          <w:lang w:val="en-US"/>
        </w:rPr>
        <w:br w:type="page"/>
      </w:r>
    </w:p>
    <w:p w:rsidR="00413E4E" w:rsidRDefault="00413E4E" w:rsidP="00103F85">
      <w:pPr>
        <w:ind w:left="120"/>
        <w:rPr>
          <w:lang w:val="en-US"/>
        </w:rPr>
      </w:pPr>
    </w:p>
    <w:tbl>
      <w:tblPr>
        <w:tblW w:w="9214" w:type="dxa"/>
        <w:tblInd w:w="212" w:type="dxa"/>
        <w:tblLayout w:type="fixed"/>
        <w:tblCellMar>
          <w:left w:w="70" w:type="dxa"/>
          <w:right w:w="70" w:type="dxa"/>
        </w:tblCellMar>
        <w:tblLook w:val="04A0" w:firstRow="1" w:lastRow="0" w:firstColumn="1" w:lastColumn="0" w:noHBand="0" w:noVBand="1"/>
      </w:tblPr>
      <w:tblGrid>
        <w:gridCol w:w="992"/>
        <w:gridCol w:w="4253"/>
        <w:gridCol w:w="2268"/>
        <w:gridCol w:w="1701"/>
      </w:tblGrid>
      <w:tr w:rsidR="00B06516" w:rsidRPr="00950BF2" w:rsidTr="00413E4E">
        <w:trPr>
          <w:cantSplit/>
          <w:trHeight w:val="370"/>
          <w:tblHeader/>
        </w:trPr>
        <w:tc>
          <w:tcPr>
            <w:tcW w:w="92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06516" w:rsidRPr="00CA35F2" w:rsidRDefault="00B06516" w:rsidP="00413E4E">
            <w:pPr>
              <w:spacing w:line="240" w:lineRule="auto"/>
              <w:jc w:val="left"/>
              <w:rPr>
                <w:rFonts w:cs="Arial"/>
                <w:b/>
                <w:bCs/>
                <w:szCs w:val="18"/>
                <w:lang w:val="de-AT" w:eastAsia="de-AT"/>
              </w:rPr>
            </w:pPr>
            <w:r w:rsidRPr="00CA35F2">
              <w:rPr>
                <w:rFonts w:cs="Arial"/>
                <w:b/>
                <w:szCs w:val="18"/>
                <w:lang w:val="de-AT" w:eastAsia="de-AT"/>
              </w:rPr>
              <w:t>National earthquake catalogues</w:t>
            </w:r>
          </w:p>
        </w:tc>
      </w:tr>
      <w:tr w:rsidR="00B06516" w:rsidRPr="00950BF2" w:rsidTr="0042382F">
        <w:trPr>
          <w:cantSplit/>
          <w:trHeight w:val="264"/>
          <w:tblHeader/>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b/>
                <w:bCs/>
                <w:szCs w:val="18"/>
                <w:lang w:val="de-AT" w:eastAsia="de-AT"/>
              </w:rPr>
            </w:pPr>
            <w:r w:rsidRPr="00CA35F2">
              <w:rPr>
                <w:rFonts w:cs="Arial"/>
                <w:b/>
                <w:bCs/>
                <w:szCs w:val="18"/>
                <w:lang w:val="de-AT" w:eastAsia="de-AT"/>
              </w:rPr>
              <w:t>Country</w:t>
            </w:r>
          </w:p>
        </w:tc>
        <w:tc>
          <w:tcPr>
            <w:tcW w:w="4253" w:type="dxa"/>
            <w:tcBorders>
              <w:top w:val="single" w:sz="4" w:space="0" w:color="auto"/>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b/>
                <w:bCs/>
                <w:szCs w:val="18"/>
                <w:lang w:val="de-AT" w:eastAsia="de-AT"/>
              </w:rPr>
            </w:pPr>
            <w:r w:rsidRPr="00CA35F2">
              <w:rPr>
                <w:rFonts w:cs="Arial"/>
                <w:b/>
                <w:bCs/>
                <w:szCs w:val="18"/>
                <w:lang w:val="de-AT" w:eastAsia="de-AT"/>
              </w:rPr>
              <w:t>Link</w:t>
            </w:r>
          </w:p>
        </w:tc>
        <w:tc>
          <w:tcPr>
            <w:tcW w:w="2268" w:type="dxa"/>
            <w:tcBorders>
              <w:top w:val="single" w:sz="4" w:space="0" w:color="auto"/>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b/>
                <w:bCs/>
                <w:szCs w:val="18"/>
                <w:lang w:val="de-AT" w:eastAsia="de-AT"/>
              </w:rPr>
            </w:pPr>
            <w:r w:rsidRPr="00CA35F2">
              <w:rPr>
                <w:rFonts w:cs="Arial"/>
                <w:b/>
                <w:bCs/>
                <w:szCs w:val="18"/>
                <w:lang w:val="de-AT" w:eastAsia="de-AT"/>
              </w:rPr>
              <w:t>Reference</w:t>
            </w:r>
          </w:p>
        </w:tc>
        <w:tc>
          <w:tcPr>
            <w:tcW w:w="1701" w:type="dxa"/>
            <w:tcBorders>
              <w:top w:val="single" w:sz="4" w:space="0" w:color="auto"/>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b/>
                <w:bCs/>
                <w:szCs w:val="18"/>
                <w:lang w:val="de-AT" w:eastAsia="de-AT"/>
              </w:rPr>
            </w:pPr>
            <w:r w:rsidRPr="00CA35F2">
              <w:rPr>
                <w:rFonts w:cs="Arial"/>
                <w:b/>
                <w:bCs/>
                <w:szCs w:val="18"/>
                <w:lang w:val="de-AT" w:eastAsia="de-AT"/>
              </w:rPr>
              <w:t> </w:t>
            </w:r>
            <w:r w:rsidRPr="00CA35F2">
              <w:rPr>
                <w:rFonts w:cs="Arial"/>
                <w:b/>
                <w:szCs w:val="18"/>
                <w:lang w:val="de-AT" w:eastAsia="de-AT"/>
              </w:rPr>
              <w:t>Time coverage</w:t>
            </w:r>
          </w:p>
        </w:tc>
      </w:tr>
      <w:tr w:rsidR="00B06516" w:rsidRPr="00950BF2" w:rsidTr="0042382F">
        <w:trPr>
          <w:cantSplit/>
          <w:trHeight w:val="262"/>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Austria</w:t>
            </w:r>
          </w:p>
        </w:tc>
        <w:tc>
          <w:tcPr>
            <w:tcW w:w="4253"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AEC, 2015</w:t>
            </w:r>
          </w:p>
        </w:tc>
        <w:tc>
          <w:tcPr>
            <w:tcW w:w="1701"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1201-2015</w:t>
            </w:r>
          </w:p>
        </w:tc>
      </w:tr>
      <w:tr w:rsidR="00B06516" w:rsidRPr="00950BF2" w:rsidTr="0042382F">
        <w:trPr>
          <w:cantSplit/>
          <w:trHeight w:val="444"/>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Belgium</w:t>
            </w:r>
          </w:p>
        </w:tc>
        <w:tc>
          <w:tcPr>
            <w:tcW w:w="4253" w:type="dxa"/>
            <w:tcBorders>
              <w:top w:val="nil"/>
              <w:left w:val="nil"/>
              <w:bottom w:val="single" w:sz="4" w:space="0" w:color="auto"/>
              <w:right w:val="single" w:sz="4" w:space="0" w:color="auto"/>
            </w:tcBorders>
            <w:shd w:val="clear" w:color="auto" w:fill="auto"/>
            <w:hideMark/>
          </w:tcPr>
          <w:p w:rsidR="00B06516" w:rsidRPr="00CA35F2" w:rsidRDefault="00B06516" w:rsidP="0099287B">
            <w:pPr>
              <w:spacing w:line="240" w:lineRule="auto"/>
              <w:jc w:val="left"/>
              <w:rPr>
                <w:rFonts w:cs="Arial"/>
                <w:color w:val="0066CC"/>
                <w:szCs w:val="18"/>
                <w:u w:val="single"/>
                <w:lang w:val="de-AT" w:eastAsia="de-AT"/>
              </w:rPr>
            </w:pPr>
            <w:hyperlink r:id="rId19" w:history="1">
              <w:r w:rsidRPr="00CA35F2">
                <w:rPr>
                  <w:rFonts w:cs="Arial"/>
                  <w:color w:val="0066CC"/>
                  <w:szCs w:val="18"/>
                  <w:u w:val="single"/>
                  <w:lang w:val="de-AT" w:eastAsia="de-AT"/>
                </w:rPr>
                <w:t>http://seismologie.be/index.php?LANG=EN&amp;CNT=BE&amp;LEVEL=0</w:t>
              </w:r>
            </w:hyperlink>
          </w:p>
        </w:tc>
        <w:tc>
          <w:tcPr>
            <w:tcW w:w="2268"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 </w:t>
            </w:r>
          </w:p>
        </w:tc>
        <w:tc>
          <w:tcPr>
            <w:tcW w:w="1701" w:type="dxa"/>
            <w:tcBorders>
              <w:top w:val="nil"/>
              <w:left w:val="nil"/>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1900-2015</w:t>
            </w:r>
          </w:p>
        </w:tc>
      </w:tr>
      <w:tr w:rsidR="00D43DB3" w:rsidRPr="00950BF2" w:rsidTr="0042382F">
        <w:trPr>
          <w:cantSplit/>
          <w:trHeight w:val="319"/>
          <w:tblHeader/>
        </w:trPr>
        <w:tc>
          <w:tcPr>
            <w:tcW w:w="992" w:type="dxa"/>
            <w:tcBorders>
              <w:top w:val="single" w:sz="4" w:space="0" w:color="auto"/>
              <w:left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Bulgaria</w:t>
            </w:r>
          </w:p>
        </w:tc>
        <w:tc>
          <w:tcPr>
            <w:tcW w:w="4253" w:type="dxa"/>
            <w:tcBorders>
              <w:top w:val="single" w:sz="4" w:space="0" w:color="auto"/>
              <w:left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single" w:sz="4" w:space="0" w:color="auto"/>
              <w:left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Bayliss &amp; Burton, 2007</w:t>
            </w:r>
          </w:p>
        </w:tc>
        <w:tc>
          <w:tcPr>
            <w:tcW w:w="1701" w:type="dxa"/>
            <w:tcBorders>
              <w:top w:val="single" w:sz="4" w:space="0" w:color="auto"/>
              <w:left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225"/>
          <w:tblHeader/>
        </w:trPr>
        <w:tc>
          <w:tcPr>
            <w:tcW w:w="992" w:type="dxa"/>
            <w:tcBorders>
              <w:top w:val="nil"/>
              <w:left w:val="single" w:sz="4" w:space="0" w:color="auto"/>
              <w:bottom w:val="single" w:sz="4" w:space="0" w:color="auto"/>
              <w:right w:val="single" w:sz="4" w:space="0" w:color="auto"/>
            </w:tcBorders>
            <w:shd w:val="clear" w:color="auto" w:fill="auto"/>
            <w:noWrap/>
          </w:tcPr>
          <w:p w:rsidR="00B06516" w:rsidRPr="00CA35F2" w:rsidRDefault="00B06516" w:rsidP="0099287B">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noWrap/>
          </w:tcPr>
          <w:p w:rsidR="00B06516" w:rsidRPr="00CA35F2" w:rsidRDefault="00B06516" w:rsidP="0099287B">
            <w:pPr>
              <w:spacing w:line="240" w:lineRule="auto"/>
              <w:jc w:val="left"/>
              <w:rPr>
                <w:rFonts w:cs="Arial"/>
                <w:szCs w:val="18"/>
                <w:lang w:val="de-AT" w:eastAsia="de-AT"/>
              </w:rPr>
            </w:pPr>
          </w:p>
        </w:tc>
        <w:tc>
          <w:tcPr>
            <w:tcW w:w="2268"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Grigorova et al., 1978</w:t>
            </w:r>
          </w:p>
        </w:tc>
        <w:tc>
          <w:tcPr>
            <w:tcW w:w="1701" w:type="dxa"/>
            <w:tcBorders>
              <w:top w:val="nil"/>
              <w:left w:val="single" w:sz="4" w:space="0" w:color="auto"/>
              <w:bottom w:val="single" w:sz="4" w:space="0" w:color="auto"/>
              <w:right w:val="single" w:sz="4" w:space="0" w:color="auto"/>
            </w:tcBorders>
            <w:shd w:val="clear" w:color="auto" w:fill="auto"/>
            <w:noWrap/>
            <w:hideMark/>
          </w:tcPr>
          <w:p w:rsidR="00B06516" w:rsidRPr="00CA35F2" w:rsidRDefault="00B06516" w:rsidP="0099287B">
            <w:pPr>
              <w:spacing w:line="240" w:lineRule="auto"/>
              <w:jc w:val="left"/>
              <w:rPr>
                <w:rFonts w:cs="Arial"/>
                <w:szCs w:val="18"/>
                <w:lang w:val="de-AT" w:eastAsia="de-AT"/>
              </w:rPr>
            </w:pPr>
            <w:r w:rsidRPr="00CA35F2">
              <w:rPr>
                <w:rFonts w:cs="Arial"/>
                <w:szCs w:val="18"/>
                <w:lang w:val="de-AT" w:eastAsia="de-AT"/>
              </w:rPr>
              <w:t> </w:t>
            </w:r>
          </w:p>
        </w:tc>
      </w:tr>
      <w:tr w:rsidR="005B0C8F" w:rsidRPr="00950BF2" w:rsidTr="0042382F">
        <w:trPr>
          <w:cantSplit/>
          <w:trHeight w:val="289"/>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Croatia</w:t>
            </w:r>
          </w:p>
        </w:tc>
        <w:tc>
          <w:tcPr>
            <w:tcW w:w="4253"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Herak, 1995</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5B0C8F" w:rsidRPr="00950BF2" w:rsidTr="0042382F">
        <w:trPr>
          <w:cantSplit/>
          <w:trHeight w:val="457"/>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5057D1" w:rsidP="00D43DB3">
            <w:pPr>
              <w:spacing w:line="240" w:lineRule="auto"/>
              <w:jc w:val="left"/>
              <w:rPr>
                <w:rFonts w:cs="Arial"/>
                <w:color w:val="3366FF"/>
                <w:szCs w:val="18"/>
                <w:lang w:val="de-AT" w:eastAsia="de-AT"/>
              </w:rPr>
            </w:pPr>
            <w:hyperlink r:id="rId20" w:history="1">
              <w:r w:rsidRPr="00627B3D">
                <w:rPr>
                  <w:rStyle w:val="Lienhypertexte"/>
                  <w:rFonts w:cs="Arial"/>
                  <w:szCs w:val="18"/>
                  <w:lang w:val="de-AT" w:eastAsia="de-AT"/>
                </w:rPr>
                <w:t>ftp://hazards.cr.usgs.gov/LAHR/iaspei/data/croatia/zag_eq.txt</w:t>
              </w:r>
            </w:hyperlink>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Herak et al., 1996</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1908-1992</w:t>
            </w:r>
          </w:p>
        </w:tc>
      </w:tr>
      <w:tr w:rsidR="00D43DB3" w:rsidRPr="00950BF2" w:rsidTr="0042382F">
        <w:trPr>
          <w:cantSplit/>
          <w:trHeight w:val="528"/>
          <w:tblHeader/>
        </w:trPr>
        <w:tc>
          <w:tcPr>
            <w:tcW w:w="992"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Czech Republic</w:t>
            </w:r>
          </w:p>
        </w:tc>
        <w:tc>
          <w:tcPr>
            <w:tcW w:w="4253"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color w:val="0066CC"/>
                <w:szCs w:val="18"/>
                <w:u w:val="single"/>
                <w:lang w:val="de-AT" w:eastAsia="de-AT"/>
              </w:rPr>
            </w:pPr>
            <w:hyperlink r:id="rId21" w:history="1">
              <w:r w:rsidRPr="00CA35F2">
                <w:rPr>
                  <w:rFonts w:cs="Arial"/>
                  <w:color w:val="0066CC"/>
                  <w:szCs w:val="18"/>
                  <w:u w:val="single"/>
                  <w:lang w:val="de-AT" w:eastAsia="de-AT"/>
                </w:rPr>
                <w:t>http://www.czechgeo.cz/en/gfu-catalog/</w:t>
              </w:r>
            </w:hyperlink>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color w:val="0066CC"/>
                <w:szCs w:val="18"/>
                <w:u w:val="single"/>
                <w:lang w:val="de-AT" w:eastAsia="de-AT"/>
              </w:rPr>
            </w:pP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1976-2015</w:t>
            </w:r>
          </w:p>
        </w:tc>
      </w:tr>
      <w:tr w:rsidR="00D43DB3" w:rsidRPr="00950BF2" w:rsidTr="0042382F">
        <w:trPr>
          <w:cantSplit/>
          <w:trHeight w:val="233"/>
          <w:tblHeader/>
        </w:trPr>
        <w:tc>
          <w:tcPr>
            <w:tcW w:w="992" w:type="dxa"/>
            <w:tcBorders>
              <w:left w:val="single" w:sz="4" w:space="0" w:color="auto"/>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p>
        </w:tc>
        <w:tc>
          <w:tcPr>
            <w:tcW w:w="4253" w:type="dxa"/>
            <w:tcBorders>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ACORN, 2004</w:t>
            </w:r>
          </w:p>
        </w:tc>
        <w:tc>
          <w:tcPr>
            <w:tcW w:w="1701" w:type="dxa"/>
            <w:tcBorders>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1267-2004</w:t>
            </w:r>
          </w:p>
        </w:tc>
      </w:tr>
      <w:tr w:rsidR="0099287B" w:rsidRPr="00950BF2" w:rsidTr="0042382F">
        <w:trPr>
          <w:cantSplit/>
          <w:trHeight w:val="264"/>
          <w:tblHeader/>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Denmark</w:t>
            </w:r>
          </w:p>
        </w:tc>
        <w:tc>
          <w:tcPr>
            <w:tcW w:w="4253"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color w:val="3366FF"/>
                <w:szCs w:val="18"/>
                <w:lang w:val="de-AT" w:eastAsia="de-AT"/>
              </w:rPr>
            </w:pPr>
            <w:r w:rsidRPr="00CA35F2">
              <w:rPr>
                <w:rFonts w:cs="Arial"/>
                <w:color w:val="3366FF"/>
                <w:szCs w:val="18"/>
                <w:lang w:val="de-AT" w:eastAsia="de-AT"/>
              </w:rPr>
              <w:t> </w:t>
            </w:r>
          </w:p>
        </w:tc>
        <w:tc>
          <w:tcPr>
            <w:tcW w:w="2268"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c>
          <w:tcPr>
            <w:tcW w:w="1701"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528"/>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Finland</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5057D1" w:rsidP="00D43DB3">
            <w:pPr>
              <w:spacing w:line="240" w:lineRule="auto"/>
              <w:jc w:val="left"/>
              <w:rPr>
                <w:rFonts w:cs="Arial"/>
                <w:color w:val="3366FF"/>
                <w:szCs w:val="18"/>
                <w:lang w:val="de-AT" w:eastAsia="de-AT"/>
              </w:rPr>
            </w:pPr>
            <w:hyperlink r:id="rId22" w:history="1">
              <w:r w:rsidRPr="00627B3D">
                <w:rPr>
                  <w:rStyle w:val="Lienhypertexte"/>
                  <w:rFonts w:cs="Arial"/>
                  <w:szCs w:val="18"/>
                  <w:lang w:val="de-AT" w:eastAsia="de-AT"/>
                </w:rPr>
                <w:t>http://www.helsinki.fi/geo/seismo/maanjaristykset/suomi.html</w:t>
              </w:r>
            </w:hyperlink>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eastAsia="de-AT"/>
              </w:rPr>
            </w:pPr>
            <w:r w:rsidRPr="00CA35F2">
              <w:rPr>
                <w:rFonts w:cs="Arial"/>
                <w:szCs w:val="18"/>
                <w:lang w:eastAsia="de-AT"/>
              </w:rPr>
              <w:t>FENCAT Catalog of eart</w:t>
            </w:r>
            <w:r w:rsidRPr="00CA35F2">
              <w:rPr>
                <w:rFonts w:cs="Arial"/>
                <w:szCs w:val="18"/>
                <w:lang w:eastAsia="de-AT"/>
              </w:rPr>
              <w:t>h</w:t>
            </w:r>
            <w:r w:rsidRPr="00CA35F2">
              <w:rPr>
                <w:rFonts w:cs="Arial"/>
                <w:szCs w:val="18"/>
                <w:lang w:eastAsia="de-AT"/>
              </w:rPr>
              <w:t xml:space="preserve">quakes in Finland since 2000 </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2000-2015</w:t>
            </w:r>
          </w:p>
        </w:tc>
      </w:tr>
      <w:tr w:rsidR="00D43DB3" w:rsidRPr="00950BF2" w:rsidTr="0042382F">
        <w:trPr>
          <w:cantSplit/>
          <w:trHeight w:val="361"/>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23" w:history="1">
              <w:r w:rsidRPr="00CA35F2">
                <w:rPr>
                  <w:rFonts w:cs="Arial"/>
                  <w:color w:val="0066CC"/>
                  <w:szCs w:val="18"/>
                  <w:u w:val="single"/>
                  <w:lang w:val="de-AT" w:eastAsia="de-AT"/>
                </w:rPr>
                <w:t>http://www.seismo.helsinki.fi/english/bulletins/</w:t>
              </w:r>
            </w:hyperlink>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eastAsia="de-AT"/>
              </w:rPr>
            </w:pPr>
            <w:r w:rsidRPr="00CA35F2">
              <w:rPr>
                <w:rFonts w:cs="Arial"/>
                <w:szCs w:val="18"/>
                <w:lang w:eastAsia="de-AT"/>
              </w:rPr>
              <w:t>FENCAT Catalog of eart</w:t>
            </w:r>
            <w:r w:rsidRPr="00CA35F2">
              <w:rPr>
                <w:rFonts w:cs="Arial"/>
                <w:szCs w:val="18"/>
                <w:lang w:eastAsia="de-AT"/>
              </w:rPr>
              <w:t>h</w:t>
            </w:r>
            <w:r w:rsidRPr="00CA35F2">
              <w:rPr>
                <w:rFonts w:cs="Arial"/>
                <w:szCs w:val="18"/>
                <w:lang w:eastAsia="de-AT"/>
              </w:rPr>
              <w:t xml:space="preserve">quakes in Finland 1610 - 1999 </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1910-1999</w:t>
            </w:r>
          </w:p>
        </w:tc>
      </w:tr>
      <w:tr w:rsidR="00D43DB3" w:rsidRPr="00950BF2" w:rsidTr="0042382F">
        <w:trPr>
          <w:cantSplit/>
          <w:trHeight w:val="285"/>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France</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LDG, 2011</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1962-2011</w:t>
            </w:r>
          </w:p>
        </w:tc>
      </w:tr>
      <w:tr w:rsidR="00D43DB3" w:rsidRPr="00950BF2" w:rsidTr="0042382F">
        <w:trPr>
          <w:cantSplit/>
          <w:trHeight w:val="234"/>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Baumont &amp; Scotti, 2011</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1369"/>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Germany</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24" w:history="1">
              <w:r w:rsidRPr="00CA35F2">
                <w:rPr>
                  <w:rFonts w:cs="Arial"/>
                  <w:color w:val="0066CC"/>
                  <w:szCs w:val="18"/>
                  <w:u w:val="single"/>
                  <w:lang w:val="de-AT" w:eastAsia="de-AT"/>
                </w:rPr>
                <w:t>http://www.bgr.bund.de/DE/Themen/Erdbeben-Gefaehrdungsanal</w:t>
              </w:r>
              <w:r w:rsidRPr="00CA35F2">
                <w:rPr>
                  <w:rFonts w:cs="Arial"/>
                  <w:color w:val="0066CC"/>
                  <w:szCs w:val="18"/>
                  <w:u w:val="single"/>
                  <w:lang w:val="de-AT" w:eastAsia="de-AT"/>
                </w:rPr>
                <w:t>y</w:t>
              </w:r>
              <w:r w:rsidRPr="00CA35F2">
                <w:rPr>
                  <w:rFonts w:cs="Arial"/>
                  <w:color w:val="0066CC"/>
                  <w:szCs w:val="18"/>
                  <w:u w:val="single"/>
                  <w:lang w:val="de-AT" w:eastAsia="de-AT"/>
                </w:rPr>
                <w:t>sen/Seismologie/Seismologie/Erdbebenauswertung/Erdbebenkataloge/historische_Kataloge/germany.html;jsessionid=65EFBFA658A59A61C9D528A2B1D33014.1_cid284?nn=1544984</w:t>
              </w:r>
            </w:hyperlink>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Leydecker, 2011</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800-2008</w:t>
            </w:r>
          </w:p>
        </w:tc>
      </w:tr>
      <w:tr w:rsidR="00D43DB3" w:rsidRPr="00950BF2" w:rsidTr="0042382F">
        <w:trPr>
          <w:cantSplit/>
          <w:trHeight w:val="233"/>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5B0C8F">
            <w:pPr>
              <w:spacing w:line="240" w:lineRule="auto"/>
              <w:jc w:val="left"/>
              <w:rPr>
                <w:rFonts w:cs="Arial"/>
                <w:szCs w:val="18"/>
                <w:lang w:val="de-AT" w:eastAsia="de-AT"/>
              </w:rPr>
            </w:pPr>
            <w:r w:rsidRPr="00CA35F2">
              <w:rPr>
                <w:rFonts w:cs="Arial"/>
                <w:szCs w:val="18"/>
                <w:lang w:val="de-AT" w:eastAsia="de-AT"/>
              </w:rPr>
              <w:t> </w:t>
            </w:r>
          </w:p>
        </w:tc>
        <w:tc>
          <w:tcPr>
            <w:tcW w:w="4253"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Grünthal, 1988</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823-1984</w:t>
            </w:r>
          </w:p>
        </w:tc>
      </w:tr>
      <w:tr w:rsidR="00D43DB3" w:rsidRPr="00950BF2" w:rsidTr="0042382F">
        <w:trPr>
          <w:cantSplit/>
          <w:trHeight w:val="310"/>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Hungary</w:t>
            </w:r>
          </w:p>
        </w:tc>
        <w:tc>
          <w:tcPr>
            <w:tcW w:w="4253" w:type="dxa"/>
            <w:tcBorders>
              <w:top w:val="single" w:sz="4" w:space="0" w:color="auto"/>
              <w:left w:val="single" w:sz="4" w:space="0" w:color="auto"/>
              <w:right w:val="single" w:sz="4" w:space="0" w:color="auto"/>
            </w:tcBorders>
            <w:shd w:val="clear" w:color="auto" w:fill="auto"/>
            <w:noWrap/>
            <w:hideMark/>
          </w:tcPr>
          <w:p w:rsidR="00D43DB3" w:rsidRPr="00CA35F2" w:rsidRDefault="0042382F" w:rsidP="0042382F">
            <w:pPr>
              <w:spacing w:line="240" w:lineRule="auto"/>
              <w:jc w:val="left"/>
              <w:rPr>
                <w:rFonts w:cs="Arial"/>
                <w:color w:val="0066CC"/>
                <w:szCs w:val="18"/>
                <w:u w:val="single"/>
                <w:lang w:val="de-AT" w:eastAsia="de-AT"/>
              </w:rPr>
            </w:pPr>
            <w:r w:rsidRPr="00CA35F2">
              <w:rPr>
                <w:rFonts w:cs="Arial"/>
                <w:szCs w:val="18"/>
                <w:lang w:val="en-US" w:eastAsia="de-AT"/>
              </w:rPr>
              <w:t>Not online</w:t>
            </w:r>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42382F" w:rsidP="00D43DB3">
            <w:pPr>
              <w:spacing w:line="240" w:lineRule="auto"/>
              <w:jc w:val="left"/>
              <w:rPr>
                <w:rFonts w:cs="Arial"/>
                <w:szCs w:val="18"/>
                <w:lang w:val="de-AT" w:eastAsia="de-AT"/>
              </w:rPr>
            </w:pPr>
            <w:r w:rsidRPr="00CA35F2">
              <w:rPr>
                <w:rFonts w:cs="Arial"/>
                <w:szCs w:val="18"/>
                <w:lang w:val="de-AT" w:eastAsia="de-AT"/>
              </w:rPr>
              <w:t>Hungarian Nastional Seism</w:t>
            </w:r>
            <w:r w:rsidRPr="00CA35F2">
              <w:rPr>
                <w:rFonts w:cs="Arial"/>
                <w:szCs w:val="18"/>
                <w:lang w:val="de-AT" w:eastAsia="de-AT"/>
              </w:rPr>
              <w:t>o</w:t>
            </w:r>
            <w:r w:rsidRPr="00CA35F2">
              <w:rPr>
                <w:rFonts w:cs="Arial"/>
                <w:szCs w:val="18"/>
                <w:lang w:val="de-AT" w:eastAsia="de-AT"/>
              </w:rPr>
              <w:t>logical Bulletin</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42382F" w:rsidP="00D43DB3">
            <w:pPr>
              <w:spacing w:line="240" w:lineRule="auto"/>
              <w:jc w:val="left"/>
              <w:rPr>
                <w:rFonts w:cs="Arial"/>
                <w:szCs w:val="18"/>
                <w:lang w:val="de-AT" w:eastAsia="de-AT"/>
              </w:rPr>
            </w:pPr>
            <w:r w:rsidRPr="00CA35F2">
              <w:rPr>
                <w:rFonts w:cs="Arial"/>
                <w:szCs w:val="18"/>
                <w:lang w:val="de-AT" w:eastAsia="de-AT"/>
              </w:rPr>
              <w:t>2002-2013</w:t>
            </w:r>
          </w:p>
        </w:tc>
      </w:tr>
      <w:tr w:rsidR="00D43DB3" w:rsidRPr="00950BF2" w:rsidTr="0042382F">
        <w:trPr>
          <w:cantSplit/>
          <w:trHeight w:val="474"/>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hideMark/>
          </w:tcPr>
          <w:p w:rsidR="00C534DD" w:rsidRPr="00CA35F2" w:rsidRDefault="0042382F" w:rsidP="00D43DB3">
            <w:pPr>
              <w:spacing w:line="240" w:lineRule="auto"/>
              <w:jc w:val="left"/>
              <w:rPr>
                <w:rFonts w:cs="Arial"/>
                <w:szCs w:val="18"/>
                <w:u w:val="single"/>
                <w:lang w:val="de-AT" w:eastAsia="de-AT"/>
              </w:rPr>
            </w:pPr>
            <w:hyperlink r:id="rId25" w:history="1">
              <w:r w:rsidRPr="00CA35F2">
                <w:rPr>
                  <w:color w:val="0066CC"/>
                  <w:szCs w:val="18"/>
                  <w:u w:val="single"/>
                  <w:lang w:val="de-AT" w:eastAsia="de-AT"/>
                </w:rPr>
                <w:t>http://www.seismology.hu/index.php/en/seismicity/earthquake-bulletins</w:t>
              </w:r>
            </w:hyperlink>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42382F" w:rsidP="0042382F">
            <w:pPr>
              <w:spacing w:line="240" w:lineRule="auto"/>
              <w:jc w:val="left"/>
              <w:rPr>
                <w:rFonts w:cs="Arial"/>
                <w:szCs w:val="18"/>
                <w:lang w:val="de-AT" w:eastAsia="de-AT"/>
              </w:rPr>
            </w:pPr>
            <w:r w:rsidRPr="00CA35F2">
              <w:rPr>
                <w:rFonts w:cs="Arial"/>
                <w:szCs w:val="18"/>
                <w:lang w:val="de-AT" w:eastAsia="de-AT"/>
              </w:rPr>
              <w:t xml:space="preserve">456-1986 </w:t>
            </w:r>
          </w:p>
        </w:tc>
      </w:tr>
      <w:tr w:rsidR="00D43DB3" w:rsidRPr="00950BF2" w:rsidTr="0042382F">
        <w:trPr>
          <w:cantSplit/>
          <w:trHeight w:val="371"/>
          <w:tblHeader/>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Italy</w:t>
            </w:r>
          </w:p>
        </w:tc>
        <w:tc>
          <w:tcPr>
            <w:tcW w:w="4253" w:type="dxa"/>
            <w:tcBorders>
              <w:top w:val="single" w:sz="4" w:space="0" w:color="auto"/>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26" w:history="1">
              <w:r w:rsidRPr="00CA35F2">
                <w:rPr>
                  <w:rFonts w:cs="Arial"/>
                  <w:color w:val="0066CC"/>
                  <w:szCs w:val="18"/>
                  <w:u w:val="single"/>
                  <w:lang w:val="de-AT" w:eastAsia="de-AT"/>
                </w:rPr>
                <w:t xml:space="preserve">http://emidius.mi.ingv.it/CPTI/ </w:t>
              </w:r>
            </w:hyperlink>
          </w:p>
        </w:tc>
        <w:tc>
          <w:tcPr>
            <w:tcW w:w="2268" w:type="dxa"/>
            <w:tcBorders>
              <w:top w:val="single" w:sz="4" w:space="0" w:color="auto"/>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r w:rsidRPr="00CA35F2">
              <w:rPr>
                <w:rFonts w:cs="Arial"/>
                <w:szCs w:val="18"/>
                <w:lang w:eastAsia="de-AT"/>
              </w:rPr>
              <w:t xml:space="preserve">CPTI Working Group, 2004. </w:t>
            </w:r>
          </w:p>
        </w:tc>
        <w:tc>
          <w:tcPr>
            <w:tcW w:w="1701"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585"/>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Lithuania</w:t>
            </w:r>
          </w:p>
        </w:tc>
        <w:tc>
          <w:tcPr>
            <w:tcW w:w="4253" w:type="dxa"/>
            <w:tcBorders>
              <w:top w:val="nil"/>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27" w:history="1">
              <w:r w:rsidRPr="00CA35F2">
                <w:rPr>
                  <w:rFonts w:cs="Arial"/>
                  <w:color w:val="0066CC"/>
                  <w:szCs w:val="18"/>
                  <w:u w:val="single"/>
                  <w:lang w:val="de-AT" w:eastAsia="de-AT"/>
                </w:rPr>
                <w:t>http://www.lmaleidykla.lt/ojs/index.php/geologija/article/view/1894/800</w:t>
              </w:r>
            </w:hyperlink>
          </w:p>
        </w:tc>
        <w:tc>
          <w:tcPr>
            <w:tcW w:w="2268" w:type="dxa"/>
            <w:tcBorders>
              <w:top w:val="nil"/>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Pačėsa &amp; Šliaupa, 2011</w:t>
            </w:r>
          </w:p>
        </w:tc>
        <w:tc>
          <w:tcPr>
            <w:tcW w:w="1701" w:type="dxa"/>
            <w:tcBorders>
              <w:top w:val="nil"/>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1375-2006</w:t>
            </w:r>
          </w:p>
        </w:tc>
      </w:tr>
      <w:tr w:rsidR="00D43DB3" w:rsidRPr="00950BF2" w:rsidTr="0042382F">
        <w:trPr>
          <w:cantSplit/>
          <w:trHeight w:val="528"/>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Nethe</w:t>
            </w:r>
            <w:r w:rsidRPr="00CA35F2">
              <w:rPr>
                <w:rFonts w:cs="Arial"/>
                <w:szCs w:val="18"/>
                <w:lang w:val="de-AT" w:eastAsia="de-AT"/>
              </w:rPr>
              <w:t>r</w:t>
            </w:r>
            <w:r w:rsidRPr="00CA35F2">
              <w:rPr>
                <w:rFonts w:cs="Arial"/>
                <w:szCs w:val="18"/>
                <w:lang w:val="de-AT" w:eastAsia="de-AT"/>
              </w:rPr>
              <w:t>lands</w:t>
            </w:r>
          </w:p>
        </w:tc>
        <w:tc>
          <w:tcPr>
            <w:tcW w:w="4253" w:type="dxa"/>
            <w:tcBorders>
              <w:top w:val="nil"/>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28" w:history="1">
              <w:r w:rsidRPr="00CA35F2">
                <w:rPr>
                  <w:rFonts w:cs="Arial"/>
                  <w:color w:val="0066CC"/>
                  <w:szCs w:val="18"/>
                  <w:u w:val="single"/>
                  <w:lang w:val="de-AT" w:eastAsia="de-AT"/>
                </w:rPr>
                <w:t>http://www.knmi.nl/nederland-nu/seismologie/aardbevingen</w:t>
              </w:r>
            </w:hyperlink>
          </w:p>
        </w:tc>
        <w:tc>
          <w:tcPr>
            <w:tcW w:w="2268" w:type="dxa"/>
            <w:tcBorders>
              <w:top w:val="nil"/>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c>
          <w:tcPr>
            <w:tcW w:w="1701" w:type="dxa"/>
            <w:tcBorders>
              <w:top w:val="nil"/>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Recent earthqu</w:t>
            </w:r>
            <w:r w:rsidRPr="00CA35F2">
              <w:rPr>
                <w:rFonts w:cs="Arial"/>
                <w:szCs w:val="18"/>
                <w:lang w:val="de-AT" w:eastAsia="de-AT"/>
              </w:rPr>
              <w:t>a</w:t>
            </w:r>
            <w:r w:rsidRPr="00CA35F2">
              <w:rPr>
                <w:rFonts w:cs="Arial"/>
                <w:szCs w:val="18"/>
                <w:lang w:val="de-AT" w:eastAsia="de-AT"/>
              </w:rPr>
              <w:t xml:space="preserve">kes </w:t>
            </w:r>
          </w:p>
        </w:tc>
      </w:tr>
      <w:tr w:rsidR="00D43DB3" w:rsidRPr="00950BF2" w:rsidTr="0042382F">
        <w:trPr>
          <w:cantSplit/>
          <w:trHeight w:val="528"/>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Norway</w:t>
            </w:r>
          </w:p>
        </w:tc>
        <w:tc>
          <w:tcPr>
            <w:tcW w:w="4253" w:type="dxa"/>
            <w:tcBorders>
              <w:top w:val="nil"/>
              <w:left w:val="nil"/>
              <w:bottom w:val="single" w:sz="4" w:space="0" w:color="auto"/>
              <w:right w:val="single" w:sz="4" w:space="0" w:color="auto"/>
            </w:tcBorders>
            <w:shd w:val="clear" w:color="auto" w:fill="auto"/>
            <w:hideMark/>
          </w:tcPr>
          <w:p w:rsidR="00D43DB3" w:rsidRPr="00CA35F2" w:rsidRDefault="005057D1" w:rsidP="00D43DB3">
            <w:pPr>
              <w:spacing w:line="240" w:lineRule="auto"/>
              <w:jc w:val="left"/>
              <w:rPr>
                <w:rFonts w:cs="Arial"/>
                <w:color w:val="0066CC"/>
                <w:szCs w:val="18"/>
                <w:u w:val="single"/>
                <w:lang w:val="de-AT" w:eastAsia="de-AT"/>
              </w:rPr>
            </w:pPr>
            <w:hyperlink r:id="rId29" w:history="1">
              <w:r w:rsidRPr="00627B3D">
                <w:rPr>
                  <w:rStyle w:val="Lienhypertexte"/>
                  <w:rFonts w:cs="Arial"/>
                  <w:szCs w:val="18"/>
                  <w:lang w:val="de-AT" w:eastAsia="de-AT"/>
                </w:rPr>
                <w:t>http://www.norsardata.no/NDC/recenteq/lastweek.html</w:t>
              </w:r>
            </w:hyperlink>
          </w:p>
        </w:tc>
        <w:tc>
          <w:tcPr>
            <w:tcW w:w="2268" w:type="dxa"/>
            <w:tcBorders>
              <w:top w:val="nil"/>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eastAsia="de-AT"/>
              </w:rPr>
            </w:pPr>
            <w:r w:rsidRPr="00CA35F2">
              <w:rPr>
                <w:rFonts w:cs="Arial"/>
                <w:szCs w:val="18"/>
                <w:lang w:eastAsia="de-AT"/>
              </w:rPr>
              <w:t>NORSAR - Research Cou</w:t>
            </w:r>
            <w:r w:rsidRPr="00CA35F2">
              <w:rPr>
                <w:rFonts w:cs="Arial"/>
                <w:szCs w:val="18"/>
                <w:lang w:eastAsia="de-AT"/>
              </w:rPr>
              <w:t>n</w:t>
            </w:r>
            <w:r w:rsidRPr="00CA35F2">
              <w:rPr>
                <w:rFonts w:cs="Arial"/>
                <w:szCs w:val="18"/>
                <w:lang w:eastAsia="de-AT"/>
              </w:rPr>
              <w:t>cil of Norway</w:t>
            </w:r>
          </w:p>
        </w:tc>
        <w:tc>
          <w:tcPr>
            <w:tcW w:w="1701" w:type="dxa"/>
            <w:tcBorders>
              <w:top w:val="nil"/>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eastAsia="de-AT"/>
              </w:rPr>
            </w:pPr>
            <w:r w:rsidRPr="00CA35F2">
              <w:rPr>
                <w:rFonts w:cs="Arial"/>
                <w:szCs w:val="18"/>
                <w:lang w:eastAsia="de-AT"/>
              </w:rPr>
              <w:t> </w:t>
            </w:r>
          </w:p>
        </w:tc>
      </w:tr>
      <w:tr w:rsidR="00D43DB3" w:rsidRPr="00950BF2" w:rsidTr="0042382F">
        <w:trPr>
          <w:cantSplit/>
          <w:trHeight w:val="447"/>
          <w:tblHeader/>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Poland</w:t>
            </w:r>
          </w:p>
        </w:tc>
        <w:tc>
          <w:tcPr>
            <w:tcW w:w="4253" w:type="dxa"/>
            <w:tcBorders>
              <w:top w:val="single" w:sz="4" w:space="0" w:color="auto"/>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r w:rsidRPr="00CA35F2">
              <w:rPr>
                <w:rFonts w:cs="Arial"/>
                <w:color w:val="0066CC"/>
                <w:szCs w:val="18"/>
                <w:u w:val="single"/>
                <w:lang w:val="de-AT" w:eastAsia="de-AT"/>
              </w:rPr>
              <w:t> </w:t>
            </w:r>
          </w:p>
        </w:tc>
        <w:tc>
          <w:tcPr>
            <w:tcW w:w="2268" w:type="dxa"/>
            <w:tcBorders>
              <w:top w:val="single" w:sz="4" w:space="0" w:color="auto"/>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Guterch &amp; Lewandowska-Marciniak, 2002</w:t>
            </w:r>
          </w:p>
        </w:tc>
        <w:tc>
          <w:tcPr>
            <w:tcW w:w="1701"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99287B" w:rsidRPr="00950BF2" w:rsidTr="0042382F">
        <w:trPr>
          <w:cantSplit/>
          <w:trHeight w:val="307"/>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Portugal</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5057D1" w:rsidP="00D43DB3">
            <w:pPr>
              <w:spacing w:line="240" w:lineRule="auto"/>
              <w:jc w:val="left"/>
              <w:rPr>
                <w:rFonts w:cs="Arial"/>
                <w:color w:val="3366FF"/>
                <w:szCs w:val="18"/>
                <w:lang w:val="de-AT" w:eastAsia="de-AT"/>
              </w:rPr>
            </w:pPr>
            <w:hyperlink r:id="rId30" w:history="1">
              <w:r w:rsidRPr="00627B3D">
                <w:rPr>
                  <w:rStyle w:val="Lienhypertexte"/>
                  <w:rFonts w:cs="Arial"/>
                  <w:szCs w:val="18"/>
                  <w:lang w:val="de-AT" w:eastAsia="de-AT"/>
                </w:rPr>
                <w:t>http://www.emidius.eu/ahead/main/info/?en=62712</w:t>
              </w:r>
            </w:hyperlink>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LNC, 1986</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276"/>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Portugal</w:t>
            </w:r>
          </w:p>
        </w:tc>
        <w:tc>
          <w:tcPr>
            <w:tcW w:w="4253"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Solares &amp; Rodriguez, 2002</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473"/>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Romania</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31" w:history="1">
              <w:r w:rsidRPr="00CA35F2">
                <w:rPr>
                  <w:rFonts w:cs="Arial"/>
                  <w:color w:val="0066CC"/>
                  <w:szCs w:val="18"/>
                  <w:u w:val="single"/>
                  <w:lang w:val="de-AT" w:eastAsia="de-AT"/>
                </w:rPr>
                <w:t>http://www.seismo.ethz.ch/static/gshap/neurasia/nordasiacat.txt</w:t>
              </w:r>
            </w:hyperlink>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Kondorskaya &amp; Ulomov, 1999</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99287B" w:rsidRPr="00950BF2" w:rsidTr="0042382F">
        <w:trPr>
          <w:cantSplit/>
          <w:trHeight w:val="436"/>
          <w:tblHeader/>
        </w:trPr>
        <w:tc>
          <w:tcPr>
            <w:tcW w:w="992" w:type="dxa"/>
            <w:tcBorders>
              <w:top w:val="nil"/>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right w:val="single" w:sz="4" w:space="0" w:color="auto"/>
            </w:tcBorders>
            <w:shd w:val="clear" w:color="auto" w:fill="auto"/>
            <w:hideMark/>
          </w:tcPr>
          <w:p w:rsidR="00D43DB3" w:rsidRPr="00CA35F2" w:rsidRDefault="005057D1" w:rsidP="00D43DB3">
            <w:pPr>
              <w:spacing w:line="240" w:lineRule="auto"/>
              <w:jc w:val="left"/>
              <w:rPr>
                <w:rFonts w:cs="Arial"/>
                <w:color w:val="3366FF"/>
                <w:szCs w:val="18"/>
                <w:lang w:val="de-AT" w:eastAsia="de-AT"/>
              </w:rPr>
            </w:pPr>
            <w:hyperlink r:id="rId32" w:history="1">
              <w:r w:rsidRPr="00627B3D">
                <w:rPr>
                  <w:rStyle w:val="Lienhypertexte"/>
                  <w:rFonts w:cs="Arial"/>
                  <w:szCs w:val="18"/>
                  <w:lang w:val="de-AT" w:eastAsia="de-AT"/>
                </w:rPr>
                <w:t>http://www1.infp.ro/seismic-catalogue/events?page=1</w:t>
              </w:r>
            </w:hyperlink>
          </w:p>
        </w:tc>
        <w:tc>
          <w:tcPr>
            <w:tcW w:w="2268" w:type="dxa"/>
            <w:tcBorders>
              <w:top w:val="nil"/>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eastAsia="de-AT"/>
              </w:rPr>
            </w:pPr>
            <w:r w:rsidRPr="00CA35F2">
              <w:rPr>
                <w:rFonts w:cs="Arial"/>
                <w:szCs w:val="18"/>
                <w:lang w:eastAsia="de-AT"/>
              </w:rPr>
              <w:t>National Institute for Earth Physics</w:t>
            </w:r>
          </w:p>
        </w:tc>
        <w:tc>
          <w:tcPr>
            <w:tcW w:w="1701" w:type="dxa"/>
            <w:tcBorders>
              <w:top w:val="nil"/>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3366FF"/>
                <w:szCs w:val="18"/>
                <w:lang w:eastAsia="de-AT"/>
              </w:rPr>
            </w:pPr>
            <w:r w:rsidRPr="00CA35F2">
              <w:rPr>
                <w:rFonts w:cs="Arial"/>
                <w:color w:val="3366FF"/>
                <w:szCs w:val="18"/>
                <w:lang w:eastAsia="de-AT"/>
              </w:rPr>
              <w:t> </w:t>
            </w:r>
          </w:p>
        </w:tc>
      </w:tr>
      <w:tr w:rsidR="00D43DB3" w:rsidRPr="00950BF2" w:rsidTr="0042382F">
        <w:trPr>
          <w:cantSplit/>
          <w:trHeight w:val="332"/>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eastAsia="de-AT"/>
              </w:rPr>
            </w:pPr>
          </w:p>
        </w:tc>
        <w:tc>
          <w:tcPr>
            <w:tcW w:w="4253" w:type="dxa"/>
            <w:tcBorders>
              <w:top w:val="nil"/>
              <w:left w:val="single" w:sz="4" w:space="0" w:color="auto"/>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3366FF"/>
                <w:szCs w:val="18"/>
                <w:lang w:val="de-AT" w:eastAsia="de-AT"/>
              </w:rPr>
            </w:pPr>
            <w:r w:rsidRPr="00CA35F2">
              <w:rPr>
                <w:rFonts w:cs="Arial"/>
                <w:color w:val="3366FF"/>
                <w:szCs w:val="18"/>
                <w:lang w:eastAsia="de-AT"/>
              </w:rPr>
              <w:t> </w:t>
            </w:r>
            <w:r w:rsidR="0099287B" w:rsidRPr="00CA35F2">
              <w:rPr>
                <w:rFonts w:cs="Arial"/>
                <w:szCs w:val="18"/>
                <w:lang w:val="de-AT" w:eastAsia="de-AT"/>
              </w:rPr>
              <w:t>Not online</w:t>
            </w:r>
          </w:p>
        </w:tc>
        <w:tc>
          <w:tcPr>
            <w:tcW w:w="2268" w:type="dxa"/>
            <w:tcBorders>
              <w:top w:val="nil"/>
              <w:left w:val="single" w:sz="4" w:space="0" w:color="auto"/>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Oncescu et al., 1999</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984-1997</w:t>
            </w:r>
          </w:p>
        </w:tc>
      </w:tr>
      <w:tr w:rsidR="00D43DB3" w:rsidRPr="00950BF2" w:rsidTr="0042382F">
        <w:trPr>
          <w:cantSplit/>
          <w:trHeight w:val="294"/>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lastRenderedPageBreak/>
              <w:t>Slovakia</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5057D1" w:rsidP="00D43DB3">
            <w:pPr>
              <w:spacing w:line="240" w:lineRule="auto"/>
              <w:jc w:val="left"/>
              <w:rPr>
                <w:rFonts w:cs="Arial"/>
                <w:color w:val="3366FF"/>
                <w:szCs w:val="18"/>
                <w:lang w:val="de-AT" w:eastAsia="de-AT"/>
              </w:rPr>
            </w:pPr>
            <w:hyperlink r:id="rId33" w:history="1">
              <w:r w:rsidRPr="00627B3D">
                <w:rPr>
                  <w:rStyle w:val="Lienhypertexte"/>
                  <w:rFonts w:cs="Arial"/>
                  <w:szCs w:val="18"/>
                  <w:lang w:val="de-AT" w:eastAsia="de-AT"/>
                </w:rPr>
                <w:t>http://www.emidius.eu/AHEAD/main/info/?en=16940</w:t>
              </w:r>
            </w:hyperlink>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Labak &amp; Broucek, 1995.</w:t>
            </w:r>
          </w:p>
        </w:tc>
        <w:tc>
          <w:tcPr>
            <w:tcW w:w="1701"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3366FF"/>
                <w:szCs w:val="18"/>
                <w:lang w:val="de-AT" w:eastAsia="de-AT"/>
              </w:rPr>
            </w:pPr>
            <w:r w:rsidRPr="00CA35F2">
              <w:rPr>
                <w:rFonts w:cs="Arial"/>
                <w:color w:val="3366FF"/>
                <w:szCs w:val="18"/>
                <w:lang w:val="de-AT" w:eastAsia="de-AT"/>
              </w:rPr>
              <w:t> </w:t>
            </w:r>
          </w:p>
        </w:tc>
      </w:tr>
      <w:tr w:rsidR="00D43DB3" w:rsidRPr="00950BF2" w:rsidTr="0042382F">
        <w:trPr>
          <w:cantSplit/>
          <w:trHeight w:val="304"/>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ACORN, 2004</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1267-2004</w:t>
            </w:r>
          </w:p>
        </w:tc>
      </w:tr>
      <w:tr w:rsidR="00D43DB3" w:rsidRPr="00950BF2" w:rsidTr="0042382F">
        <w:trPr>
          <w:cantSplit/>
          <w:trHeight w:val="270"/>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Slovenia</w:t>
            </w:r>
          </w:p>
        </w:tc>
        <w:tc>
          <w:tcPr>
            <w:tcW w:w="4253"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Poljak, Živčić &amp; Z</w:t>
            </w:r>
            <w:r w:rsidRPr="00CA35F2">
              <w:rPr>
                <w:rFonts w:cs="Arial"/>
                <w:szCs w:val="18"/>
                <w:lang w:val="de-AT" w:eastAsia="de-AT"/>
              </w:rPr>
              <w:t>u</w:t>
            </w:r>
            <w:r w:rsidRPr="00CA35F2">
              <w:rPr>
                <w:rFonts w:cs="Arial"/>
                <w:szCs w:val="18"/>
                <w:lang w:val="de-AT" w:eastAsia="de-AT"/>
              </w:rPr>
              <w:t>pančič, 2002</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249"/>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c>
          <w:tcPr>
            <w:tcW w:w="4253"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Ribaric, 1988</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497"/>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Spain</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34" w:history="1">
              <w:r w:rsidRPr="00CA35F2">
                <w:rPr>
                  <w:rFonts w:cs="Arial"/>
                  <w:color w:val="0066CC"/>
                  <w:szCs w:val="18"/>
                  <w:u w:val="single"/>
                  <w:lang w:val="de-AT" w:eastAsia="de-AT"/>
                </w:rPr>
                <w:t>http://www.ign.es/ign/resources/sismologia/publicaciones/Catalogohasta1900.pdf</w:t>
              </w:r>
            </w:hyperlink>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Solares &amp; Rodriguez, 2002</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800-1900</w:t>
            </w:r>
          </w:p>
        </w:tc>
      </w:tr>
      <w:tr w:rsidR="00D43DB3" w:rsidRPr="00950BF2" w:rsidTr="0042382F">
        <w:trPr>
          <w:cantSplit/>
          <w:trHeight w:val="569"/>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fr-FR" w:eastAsia="de-AT"/>
              </w:rPr>
            </w:pPr>
            <w:hyperlink r:id="rId35" w:history="1">
              <w:r w:rsidRPr="00CA35F2">
                <w:rPr>
                  <w:rFonts w:cs="Arial"/>
                  <w:color w:val="0066CC"/>
                  <w:szCs w:val="18"/>
                  <w:u w:val="single"/>
                  <w:lang w:val="fr-FR" w:eastAsia="de-AT"/>
                </w:rPr>
                <w:t>New Atles Sísmic de Catalunya Vol.1 - Seismicity Cat</w:t>
              </w:r>
              <w:r w:rsidRPr="00CA35F2">
                <w:rPr>
                  <w:rFonts w:cs="Arial"/>
                  <w:color w:val="0066CC"/>
                  <w:szCs w:val="18"/>
                  <w:u w:val="single"/>
                  <w:lang w:val="fr-FR" w:eastAsia="de-AT"/>
                </w:rPr>
                <w:t>a</w:t>
              </w:r>
              <w:r w:rsidRPr="00CA35F2">
                <w:rPr>
                  <w:rFonts w:cs="Arial"/>
                  <w:color w:val="0066CC"/>
                  <w:szCs w:val="18"/>
                  <w:u w:val="single"/>
                  <w:lang w:val="fr-FR" w:eastAsia="de-AT"/>
                </w:rPr>
                <w:t xml:space="preserve">logue </w:t>
              </w:r>
            </w:hyperlink>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fr-FR" w:eastAsia="de-AT"/>
              </w:rPr>
            </w:pPr>
            <w:r w:rsidRPr="00CA35F2">
              <w:rPr>
                <w:rFonts w:cs="Arial"/>
                <w:szCs w:val="18"/>
                <w:lang w:val="fr-FR" w:eastAsia="de-AT"/>
              </w:rPr>
              <w:t> </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880-1996</w:t>
            </w:r>
          </w:p>
        </w:tc>
      </w:tr>
      <w:tr w:rsidR="00D43DB3" w:rsidRPr="00950BF2" w:rsidTr="0042382F">
        <w:trPr>
          <w:cantSplit/>
          <w:trHeight w:val="326"/>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Sweden</w:t>
            </w:r>
          </w:p>
        </w:tc>
        <w:tc>
          <w:tcPr>
            <w:tcW w:w="4253"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Not online</w:t>
            </w:r>
          </w:p>
        </w:tc>
        <w:tc>
          <w:tcPr>
            <w:tcW w:w="2268"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Walström, 1990</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264"/>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http://snsn.geofys.uu.se/</w:t>
            </w:r>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c>
          <w:tcPr>
            <w:tcW w:w="1701"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99287B" w:rsidRPr="00950BF2" w:rsidTr="0042382F">
        <w:trPr>
          <w:cantSplit/>
          <w:trHeight w:val="528"/>
          <w:tblHeader/>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Switze</w:t>
            </w:r>
            <w:r w:rsidRPr="00CA35F2">
              <w:rPr>
                <w:rFonts w:cs="Arial"/>
                <w:szCs w:val="18"/>
                <w:lang w:val="de-AT" w:eastAsia="de-AT"/>
              </w:rPr>
              <w:t>r</w:t>
            </w:r>
            <w:r w:rsidRPr="00CA35F2">
              <w:rPr>
                <w:rFonts w:cs="Arial"/>
                <w:szCs w:val="18"/>
                <w:lang w:val="de-AT" w:eastAsia="de-AT"/>
              </w:rPr>
              <w:t>land</w:t>
            </w:r>
          </w:p>
        </w:tc>
        <w:tc>
          <w:tcPr>
            <w:tcW w:w="4253"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color w:val="3366FF"/>
                <w:szCs w:val="18"/>
                <w:lang w:val="de-AT" w:eastAsia="de-AT"/>
              </w:rPr>
            </w:pPr>
            <w:r w:rsidRPr="00CA35F2">
              <w:rPr>
                <w:rFonts w:cs="Arial"/>
                <w:color w:val="3366FF"/>
                <w:szCs w:val="18"/>
                <w:lang w:val="de-AT" w:eastAsia="de-AT"/>
              </w:rPr>
              <w:t>http://www.seismo.ethz.ch/prod/catalog/index</w:t>
            </w:r>
          </w:p>
        </w:tc>
        <w:tc>
          <w:tcPr>
            <w:tcW w:w="2268" w:type="dxa"/>
            <w:tcBorders>
              <w:top w:val="single" w:sz="4" w:space="0" w:color="auto"/>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eastAsia="de-AT"/>
              </w:rPr>
            </w:pPr>
            <w:r w:rsidRPr="00CA35F2">
              <w:rPr>
                <w:rFonts w:cs="Arial"/>
                <w:szCs w:val="18"/>
                <w:lang w:eastAsia="de-AT"/>
              </w:rPr>
              <w:t>ECOS-09 (Earthquake Cat</w:t>
            </w:r>
            <w:r w:rsidRPr="00CA35F2">
              <w:rPr>
                <w:rFonts w:cs="Arial"/>
                <w:szCs w:val="18"/>
                <w:lang w:eastAsia="de-AT"/>
              </w:rPr>
              <w:t>a</w:t>
            </w:r>
            <w:r w:rsidRPr="00CA35F2">
              <w:rPr>
                <w:rFonts w:cs="Arial"/>
                <w:szCs w:val="18"/>
                <w:lang w:eastAsia="de-AT"/>
              </w:rPr>
              <w:t>log of Switzerland 2009</w:t>
            </w:r>
          </w:p>
        </w:tc>
        <w:tc>
          <w:tcPr>
            <w:tcW w:w="1701"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250-2009</w:t>
            </w:r>
          </w:p>
        </w:tc>
      </w:tr>
      <w:tr w:rsidR="00D43DB3" w:rsidRPr="00950BF2" w:rsidTr="0042382F">
        <w:trPr>
          <w:cantSplit/>
          <w:trHeight w:val="365"/>
          <w:tblHeader/>
        </w:trPr>
        <w:tc>
          <w:tcPr>
            <w:tcW w:w="992"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United Kingdom</w:t>
            </w:r>
          </w:p>
        </w:tc>
        <w:tc>
          <w:tcPr>
            <w:tcW w:w="4253"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hyperlink r:id="rId36" w:history="1">
              <w:r w:rsidRPr="00CA35F2">
                <w:rPr>
                  <w:rFonts w:cs="Arial"/>
                  <w:color w:val="0066CC"/>
                  <w:szCs w:val="18"/>
                  <w:u w:val="single"/>
                  <w:lang w:val="de-AT" w:eastAsia="de-AT"/>
                </w:rPr>
                <w:t>http://quakes.bgs.ac.uk/earthquakes/dataSearch.html</w:t>
              </w:r>
            </w:hyperlink>
          </w:p>
        </w:tc>
        <w:tc>
          <w:tcPr>
            <w:tcW w:w="2268" w:type="dxa"/>
            <w:tcBorders>
              <w:top w:val="single" w:sz="4" w:space="0" w:color="auto"/>
              <w:left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Musson, 1994</w:t>
            </w:r>
          </w:p>
        </w:tc>
        <w:tc>
          <w:tcPr>
            <w:tcW w:w="1701" w:type="dxa"/>
            <w:tcBorders>
              <w:top w:val="single" w:sz="4" w:space="0" w:color="auto"/>
              <w:left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r>
      <w:tr w:rsidR="00D43DB3" w:rsidRPr="00950BF2" w:rsidTr="0042382F">
        <w:trPr>
          <w:cantSplit/>
          <w:trHeight w:val="248"/>
          <w:tblHeader/>
        </w:trPr>
        <w:tc>
          <w:tcPr>
            <w:tcW w:w="992"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5B0C8F">
            <w:pPr>
              <w:spacing w:line="240" w:lineRule="auto"/>
              <w:jc w:val="left"/>
              <w:rPr>
                <w:rFonts w:cs="Arial"/>
                <w:szCs w:val="18"/>
                <w:lang w:val="de-AT" w:eastAsia="de-AT"/>
              </w:rPr>
            </w:pPr>
          </w:p>
        </w:tc>
        <w:tc>
          <w:tcPr>
            <w:tcW w:w="4253"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c>
          <w:tcPr>
            <w:tcW w:w="2268" w:type="dxa"/>
            <w:tcBorders>
              <w:top w:val="nil"/>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Musson &amp; Sargeant, 2007</w:t>
            </w:r>
          </w:p>
        </w:tc>
        <w:tc>
          <w:tcPr>
            <w:tcW w:w="1701" w:type="dxa"/>
            <w:tcBorders>
              <w:top w:val="nil"/>
              <w:left w:val="single" w:sz="4" w:space="0" w:color="auto"/>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0066CC"/>
                <w:szCs w:val="18"/>
                <w:u w:val="single"/>
                <w:lang w:val="de-AT" w:eastAsia="de-AT"/>
              </w:rPr>
            </w:pPr>
          </w:p>
        </w:tc>
      </w:tr>
      <w:tr w:rsidR="00D43DB3" w:rsidRPr="00950BF2" w:rsidTr="0042382F">
        <w:trPr>
          <w:cantSplit/>
          <w:trHeight w:val="248"/>
          <w:tblHeader/>
        </w:trPr>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Ukraina</w:t>
            </w:r>
          </w:p>
        </w:tc>
        <w:tc>
          <w:tcPr>
            <w:tcW w:w="4253" w:type="dxa"/>
            <w:tcBorders>
              <w:top w:val="single" w:sz="4" w:space="0" w:color="auto"/>
              <w:left w:val="nil"/>
              <w:bottom w:val="single" w:sz="4" w:space="0" w:color="auto"/>
              <w:right w:val="single" w:sz="4" w:space="0" w:color="auto"/>
            </w:tcBorders>
            <w:shd w:val="clear" w:color="auto" w:fill="auto"/>
            <w:hideMark/>
          </w:tcPr>
          <w:p w:rsidR="00D43DB3" w:rsidRPr="00CA35F2" w:rsidRDefault="005057D1" w:rsidP="00D43DB3">
            <w:pPr>
              <w:spacing w:line="240" w:lineRule="auto"/>
              <w:jc w:val="left"/>
              <w:rPr>
                <w:rFonts w:cs="Arial"/>
                <w:color w:val="3366FF"/>
                <w:szCs w:val="18"/>
                <w:lang w:val="de-AT" w:eastAsia="de-AT"/>
              </w:rPr>
            </w:pPr>
            <w:hyperlink r:id="rId37" w:history="1">
              <w:r w:rsidRPr="00627B3D">
                <w:rPr>
                  <w:rStyle w:val="Lienhypertexte"/>
                  <w:rFonts w:cs="Arial"/>
                  <w:szCs w:val="18"/>
                  <w:lang w:val="de-AT" w:eastAsia="de-AT"/>
                </w:rPr>
                <w:t>http://wdc.org.ua/en/data</w:t>
              </w:r>
            </w:hyperlink>
          </w:p>
        </w:tc>
        <w:tc>
          <w:tcPr>
            <w:tcW w:w="2268" w:type="dxa"/>
            <w:tcBorders>
              <w:top w:val="single" w:sz="4" w:space="0" w:color="auto"/>
              <w:left w:val="nil"/>
              <w:bottom w:val="single" w:sz="4" w:space="0" w:color="auto"/>
              <w:right w:val="single" w:sz="4" w:space="0" w:color="auto"/>
            </w:tcBorders>
            <w:shd w:val="clear" w:color="auto" w:fill="auto"/>
            <w:noWrap/>
            <w:hideMark/>
          </w:tcPr>
          <w:p w:rsidR="00D43DB3" w:rsidRPr="00CA35F2" w:rsidRDefault="00D43DB3" w:rsidP="00D43DB3">
            <w:pPr>
              <w:spacing w:line="240" w:lineRule="auto"/>
              <w:jc w:val="left"/>
              <w:rPr>
                <w:rFonts w:cs="Arial"/>
                <w:szCs w:val="18"/>
                <w:lang w:val="de-AT" w:eastAsia="de-AT"/>
              </w:rPr>
            </w:pPr>
            <w:r w:rsidRPr="00CA35F2">
              <w:rPr>
                <w:rFonts w:cs="Arial"/>
                <w:szCs w:val="18"/>
                <w:lang w:val="de-AT" w:eastAsia="de-AT"/>
              </w:rPr>
              <w:t> </w:t>
            </w:r>
          </w:p>
        </w:tc>
        <w:tc>
          <w:tcPr>
            <w:tcW w:w="1701" w:type="dxa"/>
            <w:tcBorders>
              <w:top w:val="single" w:sz="4" w:space="0" w:color="auto"/>
              <w:left w:val="nil"/>
              <w:bottom w:val="single" w:sz="4" w:space="0" w:color="auto"/>
              <w:right w:val="single" w:sz="4" w:space="0" w:color="auto"/>
            </w:tcBorders>
            <w:shd w:val="clear" w:color="auto" w:fill="auto"/>
            <w:hideMark/>
          </w:tcPr>
          <w:p w:rsidR="00D43DB3" w:rsidRPr="00CA35F2" w:rsidRDefault="00D43DB3" w:rsidP="00D43DB3">
            <w:pPr>
              <w:spacing w:line="240" w:lineRule="auto"/>
              <w:jc w:val="left"/>
              <w:rPr>
                <w:rFonts w:cs="Arial"/>
                <w:color w:val="3366FF"/>
                <w:szCs w:val="18"/>
                <w:lang w:val="de-AT" w:eastAsia="de-AT"/>
              </w:rPr>
            </w:pPr>
            <w:r w:rsidRPr="00CA35F2">
              <w:rPr>
                <w:rFonts w:cs="Arial"/>
                <w:color w:val="3366FF"/>
                <w:szCs w:val="18"/>
                <w:lang w:val="de-AT" w:eastAsia="de-AT"/>
              </w:rPr>
              <w:t> </w:t>
            </w:r>
          </w:p>
        </w:tc>
      </w:tr>
    </w:tbl>
    <w:p w:rsidR="0044763A" w:rsidRPr="00B06516" w:rsidRDefault="0044763A" w:rsidP="00103F85">
      <w:pPr>
        <w:ind w:left="120"/>
        <w:rPr>
          <w:lang w:val="de-AT"/>
        </w:rPr>
      </w:pPr>
    </w:p>
    <w:p w:rsidR="0044763A" w:rsidRPr="008A03C8" w:rsidRDefault="0044763A" w:rsidP="0044763A">
      <w:pPr>
        <w:pStyle w:val="ASAMPSAtable"/>
        <w:numPr>
          <w:ilvl w:val="0"/>
          <w:numId w:val="0"/>
        </w:numPr>
        <w:ind w:left="720" w:hanging="360"/>
        <w:jc w:val="left"/>
        <w:rPr>
          <w:iCs/>
        </w:rPr>
      </w:pPr>
      <w:bookmarkStart w:id="78" w:name="_Ref432431094"/>
      <w:bookmarkStart w:id="79" w:name="_Toc456012027"/>
      <w:r>
        <w:t xml:space="preserve">Table </w:t>
      </w:r>
      <w:r>
        <w:fldChar w:fldCharType="begin"/>
      </w:r>
      <w:r>
        <w:instrText xml:space="preserve"> SEQ Table \* ARABIC </w:instrText>
      </w:r>
      <w:r>
        <w:fldChar w:fldCharType="separate"/>
      </w:r>
      <w:r w:rsidR="00173034">
        <w:rPr>
          <w:noProof/>
        </w:rPr>
        <w:t>3</w:t>
      </w:r>
      <w:r>
        <w:fldChar w:fldCharType="end"/>
      </w:r>
      <w:bookmarkEnd w:id="78"/>
      <w:r>
        <w:t>.  List of national earthquake catalogues of European countries.</w:t>
      </w:r>
      <w:bookmarkEnd w:id="79"/>
    </w:p>
    <w:p w:rsidR="00091B13" w:rsidRDefault="00091B13" w:rsidP="00103F85">
      <w:pPr>
        <w:ind w:left="120"/>
        <w:rPr>
          <w:lang w:val="en-US"/>
        </w:rPr>
      </w:pPr>
    </w:p>
    <w:p w:rsidR="008C0367" w:rsidRDefault="00CE2D6F" w:rsidP="008C0367">
      <w:pPr>
        <w:ind w:left="120"/>
        <w:rPr>
          <w:lang w:val="en-US"/>
        </w:rPr>
      </w:pPr>
      <w:r>
        <w:rPr>
          <w:lang w:val="en-US"/>
        </w:rPr>
        <w:br w:type="page"/>
      </w:r>
      <w:r w:rsidR="008C0367">
        <w:rPr>
          <w:lang w:val="en-US"/>
        </w:rPr>
        <w:lastRenderedPageBreak/>
        <w:t xml:space="preserve">In addition to the national earthquake catalogues a number of catalogues exist which focus on </w:t>
      </w:r>
      <w:r w:rsidR="008C0367" w:rsidRPr="00030A4E">
        <w:rPr>
          <w:b/>
          <w:i/>
          <w:lang w:val="en-US"/>
        </w:rPr>
        <w:t>historical eart</w:t>
      </w:r>
      <w:r w:rsidR="008C0367" w:rsidRPr="00030A4E">
        <w:rPr>
          <w:b/>
          <w:i/>
          <w:lang w:val="en-US"/>
        </w:rPr>
        <w:t>h</w:t>
      </w:r>
      <w:r w:rsidR="008C0367" w:rsidRPr="00030A4E">
        <w:rPr>
          <w:b/>
          <w:i/>
          <w:lang w:val="en-US"/>
        </w:rPr>
        <w:t>quakes</w:t>
      </w:r>
      <w:r w:rsidR="000039C3" w:rsidRPr="00030A4E">
        <w:rPr>
          <w:b/>
          <w:i/>
          <w:lang w:val="en-US"/>
        </w:rPr>
        <w:t xml:space="preserve"> </w:t>
      </w:r>
      <w:r w:rsidR="000039C3">
        <w:rPr>
          <w:lang w:val="en-US"/>
        </w:rPr>
        <w:t>(</w:t>
      </w:r>
      <w:r w:rsidR="000039C3">
        <w:rPr>
          <w:lang w:val="en-US"/>
        </w:rPr>
        <w:fldChar w:fldCharType="begin"/>
      </w:r>
      <w:r w:rsidR="000039C3">
        <w:rPr>
          <w:lang w:val="en-US"/>
        </w:rPr>
        <w:instrText xml:space="preserve"> REF _Ref432435555 \h </w:instrText>
      </w:r>
      <w:r w:rsidR="000039C3">
        <w:rPr>
          <w:lang w:val="en-US"/>
        </w:rPr>
      </w:r>
      <w:r w:rsidR="000039C3">
        <w:rPr>
          <w:lang w:val="en-US"/>
        </w:rPr>
        <w:fldChar w:fldCharType="separate"/>
      </w:r>
      <w:r w:rsidR="00173034">
        <w:t xml:space="preserve">Table </w:t>
      </w:r>
      <w:r w:rsidR="00173034">
        <w:rPr>
          <w:noProof/>
        </w:rPr>
        <w:t>4</w:t>
      </w:r>
      <w:r w:rsidR="000039C3">
        <w:rPr>
          <w:lang w:val="en-US"/>
        </w:rPr>
        <w:fldChar w:fldCharType="end"/>
      </w:r>
      <w:r w:rsidR="000039C3">
        <w:rPr>
          <w:lang w:val="en-US"/>
        </w:rPr>
        <w:t>)</w:t>
      </w:r>
      <w:r w:rsidR="008C0367">
        <w:rPr>
          <w:lang w:val="en-US"/>
        </w:rPr>
        <w:t>. The most comprehensive database is accessible via the AHEAD online portal (Locati et al., 2014). It comprises extensive information on major historical events including macroseismic datapoints, est</w:t>
      </w:r>
      <w:r w:rsidR="008C0367">
        <w:rPr>
          <w:lang w:val="en-US"/>
        </w:rPr>
        <w:t>i</w:t>
      </w:r>
      <w:r w:rsidR="008C0367">
        <w:rPr>
          <w:lang w:val="en-US"/>
        </w:rPr>
        <w:t>mates of epicentral uncertainties, epicentral intensity with uncertainties, estimated magnitude (Mw) with unce</w:t>
      </w:r>
      <w:r w:rsidR="008C0367">
        <w:rPr>
          <w:lang w:val="en-US"/>
        </w:rPr>
        <w:t>r</w:t>
      </w:r>
      <w:r w:rsidR="008C0367">
        <w:rPr>
          <w:lang w:val="en-US"/>
        </w:rPr>
        <w:t xml:space="preserve">tainties, and references. </w:t>
      </w:r>
      <w:r w:rsidR="000039C3">
        <w:rPr>
          <w:lang w:val="en-US"/>
        </w:rPr>
        <w:t xml:space="preserve">The </w:t>
      </w:r>
      <w:r>
        <w:rPr>
          <w:lang w:val="en-US"/>
        </w:rPr>
        <w:t xml:space="preserve">coverage of the </w:t>
      </w:r>
      <w:r w:rsidR="000039C3">
        <w:rPr>
          <w:lang w:val="en-US"/>
        </w:rPr>
        <w:t xml:space="preserve">database </w:t>
      </w:r>
      <w:r>
        <w:rPr>
          <w:lang w:val="en-US"/>
        </w:rPr>
        <w:t xml:space="preserve">is shown in </w:t>
      </w:r>
      <w:r w:rsidR="0042382F">
        <w:rPr>
          <w:lang w:val="en-US"/>
        </w:rPr>
        <w:fldChar w:fldCharType="begin"/>
      </w:r>
      <w:r w:rsidR="0042382F">
        <w:rPr>
          <w:lang w:val="en-US"/>
        </w:rPr>
        <w:instrText xml:space="preserve"> REF _Ref451164667 \h </w:instrText>
      </w:r>
      <w:r w:rsidR="0042382F">
        <w:rPr>
          <w:lang w:val="en-US"/>
        </w:rPr>
      </w:r>
      <w:r w:rsidR="0042382F">
        <w:rPr>
          <w:lang w:val="en-US"/>
        </w:rPr>
        <w:fldChar w:fldCharType="separate"/>
      </w:r>
      <w:r w:rsidR="00173034">
        <w:t xml:space="preserve">Figure </w:t>
      </w:r>
      <w:r w:rsidR="00173034">
        <w:rPr>
          <w:noProof/>
        </w:rPr>
        <w:t>2</w:t>
      </w:r>
      <w:r w:rsidR="0042382F">
        <w:rPr>
          <w:lang w:val="en-US"/>
        </w:rPr>
        <w:fldChar w:fldCharType="end"/>
      </w:r>
      <w:r>
        <w:rPr>
          <w:lang w:val="en-US"/>
        </w:rPr>
        <w:t>.</w:t>
      </w:r>
    </w:p>
    <w:p w:rsidR="00CE2D6F" w:rsidRDefault="00CE2D6F" w:rsidP="008C0367">
      <w:pPr>
        <w:ind w:left="120"/>
        <w:rPr>
          <w:lang w:val="en-US"/>
        </w:rPr>
      </w:pPr>
    </w:p>
    <w:p w:rsidR="00CE2D6F" w:rsidRDefault="00CE2D6F" w:rsidP="00CE2D6F">
      <w:pPr>
        <w:ind w:left="120"/>
        <w:rPr>
          <w:lang w:val="en-US"/>
        </w:rPr>
      </w:pPr>
      <w:r>
        <w:rPr>
          <w:lang w:val="en-US"/>
        </w:rPr>
        <w:t xml:space="preserve">A non-exhaustive list of catalogues of historical earthquakes that cover individual countries or regions is included in </w:t>
      </w:r>
      <w:r>
        <w:rPr>
          <w:lang w:val="en-US"/>
        </w:rPr>
        <w:fldChar w:fldCharType="begin"/>
      </w:r>
      <w:r>
        <w:rPr>
          <w:lang w:val="en-US"/>
        </w:rPr>
        <w:instrText xml:space="preserve"> REF _Ref432435555 \h </w:instrText>
      </w:r>
      <w:r>
        <w:rPr>
          <w:lang w:val="en-US"/>
        </w:rPr>
      </w:r>
      <w:r>
        <w:rPr>
          <w:lang w:val="en-US"/>
        </w:rPr>
        <w:fldChar w:fldCharType="separate"/>
      </w:r>
      <w:r w:rsidR="00173034">
        <w:t xml:space="preserve">Table </w:t>
      </w:r>
      <w:r w:rsidR="00173034">
        <w:rPr>
          <w:noProof/>
        </w:rPr>
        <w:t>4</w:t>
      </w:r>
      <w:r>
        <w:rPr>
          <w:lang w:val="en-US"/>
        </w:rPr>
        <w:fldChar w:fldCharType="end"/>
      </w:r>
      <w:r>
        <w:rPr>
          <w:lang w:val="en-US"/>
        </w:rPr>
        <w:t xml:space="preserve">. </w:t>
      </w:r>
    </w:p>
    <w:p w:rsidR="00CE2D6F" w:rsidRDefault="00CE2D6F" w:rsidP="008C0367">
      <w:pPr>
        <w:ind w:left="120"/>
        <w:rPr>
          <w:lang w:val="en-US"/>
        </w:rPr>
      </w:pPr>
    </w:p>
    <w:p w:rsidR="008C0367" w:rsidRDefault="008C0367" w:rsidP="008C0367">
      <w:pPr>
        <w:ind w:left="120"/>
        <w:rPr>
          <w:lang w:val="en-US"/>
        </w:rPr>
      </w:pPr>
    </w:p>
    <w:p w:rsidR="00CE2D6F" w:rsidRDefault="00FA7DEE" w:rsidP="008C0367">
      <w:pPr>
        <w:ind w:left="120"/>
        <w:rPr>
          <w:lang w:val="en-US"/>
        </w:rPr>
      </w:pPr>
      <w:r>
        <w:rPr>
          <w:lang w:val="en-US"/>
        </w:rPr>
        <w:pict>
          <v:shape id="_x0000_i1028" type="#_x0000_t75" style="width:467.7pt;height:330.7pt">
            <v:imagedata r:id="rId38" o:title="Fig_AHEAD_historical_earthquake_data"/>
          </v:shape>
        </w:pict>
      </w:r>
    </w:p>
    <w:p w:rsidR="00CE2D6F" w:rsidRDefault="00CE2D6F" w:rsidP="008C0367">
      <w:pPr>
        <w:ind w:left="120"/>
        <w:rPr>
          <w:lang w:val="en-US"/>
        </w:rPr>
      </w:pPr>
    </w:p>
    <w:p w:rsidR="00CE2D6F" w:rsidRPr="00923C7F" w:rsidRDefault="0042382F" w:rsidP="00CE2D6F">
      <w:pPr>
        <w:pStyle w:val="Lgende"/>
        <w:jc w:val="center"/>
        <w:rPr>
          <w:i/>
        </w:rPr>
      </w:pPr>
      <w:bookmarkStart w:id="80" w:name="_Ref451164667"/>
      <w:bookmarkStart w:id="81" w:name="_Toc456012038"/>
      <w:r>
        <w:t xml:space="preserve">Figure </w:t>
      </w:r>
      <w:r>
        <w:fldChar w:fldCharType="begin"/>
      </w:r>
      <w:r>
        <w:instrText xml:space="preserve"> SEQ Figure \* ARABIC </w:instrText>
      </w:r>
      <w:r>
        <w:fldChar w:fldCharType="separate"/>
      </w:r>
      <w:r w:rsidR="00173034">
        <w:rPr>
          <w:noProof/>
        </w:rPr>
        <w:t>2</w:t>
      </w:r>
      <w:r>
        <w:fldChar w:fldCharType="end"/>
      </w:r>
      <w:bookmarkEnd w:id="80"/>
      <w:r>
        <w:t xml:space="preserve">. </w:t>
      </w:r>
      <w:r w:rsidR="00CE2D6F">
        <w:t xml:space="preserve">Coverage of the database of historical earthquakes AHEAD (2015) </w:t>
      </w:r>
      <w:r w:rsidR="00CE2D6F" w:rsidRPr="00923C7F">
        <w:rPr>
          <w:i/>
        </w:rPr>
        <w:t>[</w:t>
      </w:r>
      <w:r w:rsidR="00CE2D6F" w:rsidRPr="00CE2D6F">
        <w:rPr>
          <w:i/>
        </w:rPr>
        <w:t>Fig_AHEAD_historical_earthquake_data</w:t>
      </w:r>
      <w:r w:rsidR="00CE2D6F" w:rsidRPr="00923C7F">
        <w:rPr>
          <w:i/>
        </w:rPr>
        <w:t>.JPG]</w:t>
      </w:r>
      <w:bookmarkEnd w:id="81"/>
    </w:p>
    <w:p w:rsidR="00CE2D6F" w:rsidRPr="00CE2D6F" w:rsidRDefault="00CE2D6F" w:rsidP="008C0367">
      <w:pPr>
        <w:ind w:left="120"/>
      </w:pPr>
    </w:p>
    <w:p w:rsidR="005D6780" w:rsidRDefault="001A21C7" w:rsidP="00103F85">
      <w:pPr>
        <w:ind w:left="120"/>
        <w:rPr>
          <w:lang w:val="en-US"/>
        </w:rPr>
      </w:pPr>
      <w:r>
        <w:rPr>
          <w:lang w:val="en-US"/>
        </w:rPr>
        <w:br w:type="page"/>
      </w:r>
    </w:p>
    <w:tbl>
      <w:tblPr>
        <w:tblW w:w="9214" w:type="dxa"/>
        <w:tblInd w:w="212" w:type="dxa"/>
        <w:tblLayout w:type="fixed"/>
        <w:tblCellMar>
          <w:left w:w="70" w:type="dxa"/>
          <w:right w:w="70" w:type="dxa"/>
        </w:tblCellMar>
        <w:tblLook w:val="04A0" w:firstRow="1" w:lastRow="0" w:firstColumn="1" w:lastColumn="0" w:noHBand="0" w:noVBand="1"/>
      </w:tblPr>
      <w:tblGrid>
        <w:gridCol w:w="1418"/>
        <w:gridCol w:w="4252"/>
        <w:gridCol w:w="3544"/>
      </w:tblGrid>
      <w:tr w:rsidR="005D6780" w:rsidRPr="00CA35F2" w:rsidTr="001D61E2">
        <w:trPr>
          <w:trHeight w:val="372"/>
        </w:trPr>
        <w:tc>
          <w:tcPr>
            <w:tcW w:w="5670" w:type="dxa"/>
            <w:gridSpan w:val="2"/>
            <w:tcBorders>
              <w:top w:val="single" w:sz="4" w:space="0" w:color="auto"/>
              <w:left w:val="single" w:sz="4" w:space="0" w:color="auto"/>
              <w:bottom w:val="single" w:sz="4" w:space="0" w:color="auto"/>
              <w:right w:val="nil"/>
            </w:tcBorders>
            <w:shd w:val="clear" w:color="auto" w:fill="auto"/>
            <w:noWrap/>
            <w:hideMark/>
          </w:tcPr>
          <w:p w:rsidR="005D6780" w:rsidRPr="00CA35F2" w:rsidRDefault="005D6780" w:rsidP="005D6780">
            <w:pPr>
              <w:spacing w:line="240" w:lineRule="auto"/>
              <w:jc w:val="left"/>
              <w:rPr>
                <w:rFonts w:cs="Arial"/>
                <w:b/>
                <w:szCs w:val="18"/>
                <w:lang w:eastAsia="de-AT"/>
              </w:rPr>
            </w:pPr>
            <w:r w:rsidRPr="00CA35F2">
              <w:rPr>
                <w:rFonts w:cs="Arial"/>
                <w:b/>
                <w:szCs w:val="18"/>
                <w:lang w:eastAsia="de-AT"/>
              </w:rPr>
              <w:t>Catalogues focused on historical earthquake data</w:t>
            </w:r>
          </w:p>
        </w:tc>
        <w:tc>
          <w:tcPr>
            <w:tcW w:w="3544" w:type="dxa"/>
            <w:tcBorders>
              <w:top w:val="single" w:sz="4" w:space="0" w:color="auto"/>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b/>
                <w:szCs w:val="18"/>
                <w:lang w:eastAsia="de-AT"/>
              </w:rPr>
            </w:pPr>
          </w:p>
        </w:tc>
      </w:tr>
      <w:tr w:rsidR="005D6780" w:rsidRPr="00CA35F2" w:rsidTr="001D61E2">
        <w:trPr>
          <w:trHeight w:val="264"/>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b/>
                <w:szCs w:val="18"/>
                <w:lang w:eastAsia="de-AT"/>
              </w:rPr>
            </w:pPr>
            <w:r w:rsidRPr="00CA35F2">
              <w:rPr>
                <w:rFonts w:cs="Arial"/>
                <w:b/>
                <w:szCs w:val="18"/>
                <w:lang w:eastAsia="de-AT"/>
              </w:rPr>
              <w:t>Region / Cou</w:t>
            </w:r>
            <w:r w:rsidRPr="00CA35F2">
              <w:rPr>
                <w:rFonts w:cs="Arial"/>
                <w:b/>
                <w:szCs w:val="18"/>
                <w:lang w:eastAsia="de-AT"/>
              </w:rPr>
              <w:t>n</w:t>
            </w:r>
            <w:r w:rsidRPr="00CA35F2">
              <w:rPr>
                <w:rFonts w:cs="Arial"/>
                <w:b/>
                <w:szCs w:val="18"/>
                <w:lang w:eastAsia="de-AT"/>
              </w:rPr>
              <w:t>try</w:t>
            </w:r>
          </w:p>
        </w:tc>
        <w:tc>
          <w:tcPr>
            <w:tcW w:w="4252" w:type="dxa"/>
            <w:tcBorders>
              <w:top w:val="single" w:sz="4" w:space="0" w:color="auto"/>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b/>
                <w:bCs/>
                <w:szCs w:val="18"/>
                <w:lang w:val="de-AT" w:eastAsia="de-AT"/>
              </w:rPr>
            </w:pPr>
            <w:r w:rsidRPr="00CA35F2">
              <w:rPr>
                <w:rFonts w:cs="Arial"/>
                <w:b/>
                <w:bCs/>
                <w:szCs w:val="18"/>
                <w:lang w:val="de-AT" w:eastAsia="de-AT"/>
              </w:rPr>
              <w:t>Link</w:t>
            </w:r>
          </w:p>
        </w:tc>
        <w:tc>
          <w:tcPr>
            <w:tcW w:w="3544" w:type="dxa"/>
            <w:tcBorders>
              <w:top w:val="single" w:sz="4" w:space="0" w:color="auto"/>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b/>
                <w:bCs/>
                <w:szCs w:val="18"/>
                <w:lang w:val="de-AT" w:eastAsia="de-AT"/>
              </w:rPr>
            </w:pPr>
            <w:r w:rsidRPr="00CA35F2">
              <w:rPr>
                <w:rFonts w:cs="Arial"/>
                <w:b/>
                <w:bCs/>
                <w:szCs w:val="18"/>
                <w:lang w:val="de-AT" w:eastAsia="de-AT"/>
              </w:rPr>
              <w:t>Refernce / database</w:t>
            </w:r>
          </w:p>
        </w:tc>
      </w:tr>
      <w:tr w:rsidR="005D6780" w:rsidRPr="00CA35F2" w:rsidTr="001D61E2">
        <w:trPr>
          <w:trHeight w:val="279"/>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Europe</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hyperlink r:id="rId39" w:history="1">
              <w:r w:rsidRPr="00CA35F2">
                <w:rPr>
                  <w:rFonts w:cs="Arial"/>
                  <w:color w:val="0066CC"/>
                  <w:szCs w:val="18"/>
                  <w:u w:val="single"/>
                  <w:lang w:val="de-AT" w:eastAsia="de-AT"/>
                </w:rPr>
                <w:t>http://www.emidius.eu/ahead/main/</w:t>
              </w:r>
            </w:hyperlink>
          </w:p>
        </w:tc>
        <w:tc>
          <w:tcPr>
            <w:tcW w:w="3544"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Locati et al., 2014</w:t>
            </w:r>
          </w:p>
        </w:tc>
      </w:tr>
      <w:tr w:rsidR="005D6780" w:rsidRPr="00CA35F2" w:rsidTr="001D61E2">
        <w:trPr>
          <w:trHeight w:val="97"/>
        </w:trPr>
        <w:tc>
          <w:tcPr>
            <w:tcW w:w="1418" w:type="dxa"/>
            <w:tcBorders>
              <w:top w:val="nil"/>
              <w:left w:val="nil"/>
              <w:bottom w:val="single" w:sz="4" w:space="0" w:color="auto"/>
              <w:right w:val="nil"/>
            </w:tcBorders>
            <w:shd w:val="clear" w:color="auto" w:fill="auto"/>
            <w:noWrap/>
            <w:hideMark/>
          </w:tcPr>
          <w:p w:rsidR="005D6780" w:rsidRPr="00CA35F2" w:rsidRDefault="005D6780" w:rsidP="0099287B">
            <w:pPr>
              <w:spacing w:line="240" w:lineRule="auto"/>
              <w:jc w:val="left"/>
              <w:rPr>
                <w:rFonts w:cs="Arial"/>
                <w:szCs w:val="18"/>
                <w:lang w:val="de-AT" w:eastAsia="de-AT"/>
              </w:rPr>
            </w:pPr>
          </w:p>
        </w:tc>
        <w:tc>
          <w:tcPr>
            <w:tcW w:w="4252" w:type="dxa"/>
            <w:tcBorders>
              <w:top w:val="nil"/>
              <w:left w:val="nil"/>
              <w:bottom w:val="single" w:sz="4" w:space="0" w:color="auto"/>
              <w:right w:val="nil"/>
            </w:tcBorders>
            <w:shd w:val="clear" w:color="auto" w:fill="auto"/>
            <w:hideMark/>
          </w:tcPr>
          <w:p w:rsidR="005D6780" w:rsidRPr="00CA35F2" w:rsidRDefault="005D6780" w:rsidP="0099287B">
            <w:pPr>
              <w:spacing w:line="240" w:lineRule="auto"/>
              <w:jc w:val="left"/>
              <w:rPr>
                <w:szCs w:val="18"/>
                <w:lang w:val="de-AT" w:eastAsia="de-AT"/>
              </w:rPr>
            </w:pPr>
          </w:p>
        </w:tc>
        <w:tc>
          <w:tcPr>
            <w:tcW w:w="3544" w:type="dxa"/>
            <w:tcBorders>
              <w:top w:val="nil"/>
              <w:left w:val="nil"/>
              <w:bottom w:val="single" w:sz="4" w:space="0" w:color="auto"/>
              <w:right w:val="nil"/>
            </w:tcBorders>
            <w:shd w:val="clear" w:color="auto" w:fill="auto"/>
            <w:noWrap/>
            <w:hideMark/>
          </w:tcPr>
          <w:p w:rsidR="005D6780" w:rsidRPr="00CA35F2" w:rsidRDefault="005D6780" w:rsidP="0099287B">
            <w:pPr>
              <w:spacing w:line="240" w:lineRule="auto"/>
              <w:jc w:val="left"/>
              <w:rPr>
                <w:szCs w:val="18"/>
                <w:lang w:val="de-AT" w:eastAsia="de-AT"/>
              </w:rPr>
            </w:pPr>
          </w:p>
        </w:tc>
      </w:tr>
      <w:tr w:rsidR="005D6780" w:rsidRPr="00CA35F2" w:rsidTr="001D61E2">
        <w:trPr>
          <w:trHeight w:val="467"/>
        </w:trPr>
        <w:tc>
          <w:tcPr>
            <w:tcW w:w="1418" w:type="dxa"/>
            <w:tcBorders>
              <w:top w:val="single" w:sz="4" w:space="0" w:color="auto"/>
              <w:left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Austria</w:t>
            </w:r>
          </w:p>
        </w:tc>
        <w:tc>
          <w:tcPr>
            <w:tcW w:w="4252" w:type="dxa"/>
            <w:tcBorders>
              <w:top w:val="single" w:sz="4" w:space="0" w:color="auto"/>
              <w:left w:val="single" w:sz="4" w:space="0" w:color="auto"/>
              <w:right w:val="single" w:sz="4" w:space="0" w:color="auto"/>
            </w:tcBorders>
            <w:shd w:val="clear" w:color="auto" w:fill="auto"/>
            <w:hideMark/>
          </w:tcPr>
          <w:p w:rsidR="005D6780" w:rsidRPr="00CA35F2" w:rsidRDefault="005057D1" w:rsidP="0099287B">
            <w:pPr>
              <w:spacing w:line="240" w:lineRule="auto"/>
              <w:jc w:val="left"/>
              <w:rPr>
                <w:rFonts w:cs="Arial"/>
                <w:color w:val="0066CC"/>
                <w:szCs w:val="18"/>
                <w:u w:val="single"/>
                <w:lang w:val="de-AT" w:eastAsia="de-AT"/>
              </w:rPr>
            </w:pPr>
            <w:hyperlink r:id="rId40" w:history="1">
              <w:r w:rsidRPr="00627B3D">
                <w:rPr>
                  <w:rStyle w:val="Lienhypertexte"/>
                  <w:rFonts w:cs="Arial"/>
                  <w:szCs w:val="18"/>
                  <w:lang w:val="de-AT" w:eastAsia="de-AT"/>
                </w:rPr>
                <w:t>https://www.zamg.ac.at/cms/de/geophysik/erdbeben/historische-erdbeben</w:t>
              </w:r>
            </w:hyperlink>
          </w:p>
        </w:tc>
        <w:tc>
          <w:tcPr>
            <w:tcW w:w="3544" w:type="dxa"/>
            <w:tcBorders>
              <w:top w:val="single" w:sz="4" w:space="0" w:color="auto"/>
              <w:left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 </w:t>
            </w:r>
          </w:p>
        </w:tc>
      </w:tr>
      <w:tr w:rsidR="005D6780" w:rsidRPr="00CA35F2" w:rsidTr="001D61E2">
        <w:trPr>
          <w:trHeight w:val="871"/>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Austria</w:t>
            </w:r>
          </w:p>
        </w:tc>
        <w:tc>
          <w:tcPr>
            <w:tcW w:w="4252" w:type="dxa"/>
            <w:tcBorders>
              <w:top w:val="nil"/>
              <w:left w:val="single" w:sz="4" w:space="0" w:color="auto"/>
              <w:bottom w:val="single" w:sz="4" w:space="0" w:color="auto"/>
              <w:right w:val="single" w:sz="4" w:space="0" w:color="auto"/>
            </w:tcBorders>
            <w:shd w:val="clear" w:color="auto" w:fill="auto"/>
            <w:hideMark/>
          </w:tcPr>
          <w:p w:rsidR="005D6780" w:rsidRPr="00CA35F2" w:rsidRDefault="005057D1" w:rsidP="001A21C7">
            <w:pPr>
              <w:spacing w:line="240" w:lineRule="auto"/>
              <w:jc w:val="left"/>
              <w:rPr>
                <w:rFonts w:cs="Arial"/>
                <w:color w:val="0066CC"/>
                <w:szCs w:val="18"/>
                <w:u w:val="single"/>
                <w:lang w:val="de-AT" w:eastAsia="de-AT"/>
              </w:rPr>
            </w:pPr>
            <w:hyperlink r:id="rId41" w:history="1">
              <w:r w:rsidRPr="00627B3D">
                <w:rPr>
                  <w:rStyle w:val="Lienhypertexte"/>
                  <w:rFonts w:cs="Arial"/>
                  <w:szCs w:val="18"/>
                  <w:lang w:val="de-AT" w:eastAsia="de-AT"/>
                </w:rPr>
                <w:t>http://opac.geologie.ac.at/wwwopacx/wwwopac.ashx?command=getcontent&amp;server=images&amp;value=Abhandlungen_67.pdf</w:t>
              </w:r>
            </w:hyperlink>
          </w:p>
        </w:tc>
        <w:tc>
          <w:tcPr>
            <w:tcW w:w="3544" w:type="dxa"/>
            <w:tcBorders>
              <w:top w:val="nil"/>
              <w:left w:val="single" w:sz="4" w:space="0" w:color="auto"/>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Hammerl &amp; Lenhardt, 2013</w:t>
            </w:r>
          </w:p>
        </w:tc>
      </w:tr>
      <w:tr w:rsidR="005D6780" w:rsidRPr="00CA35F2" w:rsidTr="001D61E2">
        <w:trPr>
          <w:trHeight w:val="559"/>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Belgium</w:t>
            </w:r>
          </w:p>
        </w:tc>
        <w:tc>
          <w:tcPr>
            <w:tcW w:w="4252" w:type="dxa"/>
            <w:tcBorders>
              <w:top w:val="single" w:sz="4" w:space="0" w:color="auto"/>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hyperlink r:id="rId42" w:history="1">
              <w:r w:rsidRPr="00CA35F2">
                <w:rPr>
                  <w:rFonts w:cs="Arial"/>
                  <w:color w:val="0066CC"/>
                  <w:szCs w:val="18"/>
                  <w:u w:val="single"/>
                  <w:lang w:val="de-AT" w:eastAsia="de-AT"/>
                </w:rPr>
                <w:t>http://seismologie.be/index.php?LANG=NL&amp;CNT=BE&amp;LEVEL=230</w:t>
              </w:r>
            </w:hyperlink>
          </w:p>
        </w:tc>
        <w:tc>
          <w:tcPr>
            <w:tcW w:w="3544" w:type="dxa"/>
            <w:tcBorders>
              <w:top w:val="single" w:sz="4" w:space="0" w:color="auto"/>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Royal Observatory of Belgium</w:t>
            </w:r>
          </w:p>
        </w:tc>
      </w:tr>
      <w:tr w:rsidR="005D6780" w:rsidRPr="00CA35F2" w:rsidTr="001D61E2">
        <w:trPr>
          <w:trHeight w:val="264"/>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Bulgaria</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r w:rsidRPr="00CA35F2">
              <w:rPr>
                <w:rFonts w:cs="Arial"/>
                <w:color w:val="0066CC"/>
                <w:szCs w:val="18"/>
                <w:u w:val="single"/>
                <w:lang w:val="de-AT" w:eastAsia="de-AT"/>
              </w:rPr>
              <w:t> </w:t>
            </w:r>
          </w:p>
        </w:tc>
        <w:tc>
          <w:tcPr>
            <w:tcW w:w="3544"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 </w:t>
            </w:r>
          </w:p>
        </w:tc>
      </w:tr>
      <w:tr w:rsidR="005D6780" w:rsidRPr="00CA35F2" w:rsidTr="001D61E2">
        <w:trPr>
          <w:trHeight w:val="475"/>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Czech Republic</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057D1" w:rsidP="0099287B">
            <w:pPr>
              <w:spacing w:line="240" w:lineRule="auto"/>
              <w:jc w:val="left"/>
              <w:rPr>
                <w:rFonts w:cs="Arial"/>
                <w:color w:val="0066CC"/>
                <w:szCs w:val="18"/>
                <w:u w:val="single"/>
                <w:lang w:val="de-AT" w:eastAsia="de-AT"/>
              </w:rPr>
            </w:pPr>
            <w:hyperlink r:id="rId43" w:history="1">
              <w:r w:rsidRPr="00627B3D">
                <w:rPr>
                  <w:rStyle w:val="Lienhypertexte"/>
                  <w:rFonts w:cs="Arial"/>
                  <w:szCs w:val="18"/>
                  <w:lang w:val="de-AT" w:eastAsia="de-AT"/>
                </w:rPr>
                <w:t>http://www.ipe.muni.cz/newweb/english/temelin_en/hluboka_fault.php</w:t>
              </w:r>
            </w:hyperlink>
          </w:p>
        </w:tc>
        <w:tc>
          <w:tcPr>
            <w:tcW w:w="3544" w:type="dxa"/>
            <w:tcBorders>
              <w:top w:val="nil"/>
              <w:left w:val="nil"/>
              <w:bottom w:val="single" w:sz="4" w:space="0" w:color="auto"/>
              <w:right w:val="single" w:sz="4" w:space="0" w:color="auto"/>
            </w:tcBorders>
            <w:shd w:val="clear" w:color="auto" w:fill="auto"/>
            <w:hideMark/>
          </w:tcPr>
          <w:p w:rsidR="00AE7705" w:rsidRPr="00CA35F2" w:rsidRDefault="005D6780" w:rsidP="00AE7705">
            <w:pPr>
              <w:spacing w:line="240" w:lineRule="auto"/>
              <w:jc w:val="left"/>
              <w:rPr>
                <w:rFonts w:cs="Arial"/>
                <w:szCs w:val="18"/>
                <w:lang w:val="fr-FR" w:eastAsia="de-AT"/>
              </w:rPr>
            </w:pPr>
            <w:r w:rsidRPr="00CA35F2">
              <w:rPr>
                <w:rFonts w:cs="Arial"/>
                <w:szCs w:val="18"/>
                <w:lang w:val="fr-FR" w:eastAsia="de-AT"/>
              </w:rPr>
              <w:t>Spacek et al., 2011, p. 19 ff</w:t>
            </w:r>
          </w:p>
        </w:tc>
      </w:tr>
      <w:tr w:rsidR="005D6780" w:rsidRPr="00CA35F2" w:rsidTr="001D61E2">
        <w:trPr>
          <w:trHeight w:val="282"/>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France</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3366FF"/>
                <w:szCs w:val="18"/>
                <w:lang w:val="de-AT" w:eastAsia="de-AT"/>
              </w:rPr>
            </w:pPr>
            <w:r w:rsidRPr="00CA35F2">
              <w:rPr>
                <w:rFonts w:cs="Arial"/>
                <w:color w:val="3366FF"/>
                <w:szCs w:val="18"/>
                <w:lang w:val="de-AT" w:eastAsia="de-AT"/>
              </w:rPr>
              <w:t>http://www.sisfrance.net/</w:t>
            </w:r>
          </w:p>
        </w:tc>
        <w:tc>
          <w:tcPr>
            <w:tcW w:w="3544"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fr-FR" w:eastAsia="de-AT"/>
              </w:rPr>
            </w:pPr>
            <w:r w:rsidRPr="00CA35F2">
              <w:rPr>
                <w:rFonts w:cs="Arial"/>
                <w:szCs w:val="18"/>
                <w:lang w:val="fr-FR" w:eastAsia="de-AT"/>
              </w:rPr>
              <w:t>Sismicité historique de la France Métr</w:t>
            </w:r>
            <w:r w:rsidRPr="00CA35F2">
              <w:rPr>
                <w:rFonts w:cs="Arial"/>
                <w:szCs w:val="18"/>
                <w:lang w:val="fr-FR" w:eastAsia="de-AT"/>
              </w:rPr>
              <w:t>o</w:t>
            </w:r>
            <w:r w:rsidRPr="00CA35F2">
              <w:rPr>
                <w:rFonts w:cs="Arial"/>
                <w:szCs w:val="18"/>
                <w:lang w:val="fr-FR" w:eastAsia="de-AT"/>
              </w:rPr>
              <w:t>pole</w:t>
            </w:r>
          </w:p>
        </w:tc>
      </w:tr>
      <w:tr w:rsidR="005D6780" w:rsidRPr="00CA35F2" w:rsidTr="001D61E2">
        <w:trPr>
          <w:trHeight w:val="1013"/>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Germany</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r w:rsidRPr="00CA35F2">
              <w:rPr>
                <w:rFonts w:cs="Arial"/>
                <w:color w:val="0066CC"/>
                <w:szCs w:val="18"/>
                <w:u w:val="single"/>
                <w:lang w:val="de-AT" w:eastAsia="de-AT"/>
              </w:rPr>
              <w:fldChar w:fldCharType="begin"/>
            </w:r>
            <w:r w:rsidRPr="00CA35F2">
              <w:rPr>
                <w:rFonts w:cs="Arial"/>
                <w:color w:val="0066CC"/>
                <w:szCs w:val="18"/>
                <w:u w:val="single"/>
                <w:lang w:val="de-AT" w:eastAsia="de-AT"/>
              </w:rPr>
              <w:instrText xml:space="preserve"> HYPERLINK "http://www.bgr.bund.de/EN/Themen/Seismologie/Erdbebenauswertung_en/Kataloge_en/historisch/historische_erdbeben_inhalt_en.html" </w:instrText>
            </w:r>
            <w:r w:rsidRPr="00CA35F2">
              <w:rPr>
                <w:rFonts w:cs="Arial"/>
                <w:color w:val="0066CC"/>
                <w:szCs w:val="18"/>
                <w:u w:val="single"/>
                <w:lang w:val="de-AT" w:eastAsia="de-AT"/>
              </w:rPr>
              <w:fldChar w:fldCharType="separate"/>
            </w:r>
            <w:r w:rsidRPr="00CA35F2">
              <w:rPr>
                <w:rFonts w:cs="Arial"/>
                <w:color w:val="0066CC"/>
                <w:szCs w:val="18"/>
                <w:u w:val="single"/>
                <w:lang w:val="de-AT" w:eastAsia="de-AT"/>
              </w:rPr>
              <w:t>http://www.bgr.bund.de/EN/Themen/Seismologie/Erdbebenauswertung_en/Kataloge_en/historisch/historische_erdbeben_inhalt_en.html</w:t>
            </w:r>
            <w:r w:rsidRPr="00CA35F2">
              <w:rPr>
                <w:rFonts w:cs="Arial"/>
                <w:color w:val="0066CC"/>
                <w:szCs w:val="18"/>
                <w:u w:val="single"/>
                <w:lang w:val="de-AT" w:eastAsia="de-AT"/>
              </w:rPr>
              <w:fldChar w:fldCharType="end"/>
            </w:r>
          </w:p>
        </w:tc>
        <w:tc>
          <w:tcPr>
            <w:tcW w:w="3544"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Bundesanstalt für Geowissenschaften und Rohstoffe</w:t>
            </w:r>
          </w:p>
        </w:tc>
      </w:tr>
      <w:tr w:rsidR="005D6780" w:rsidRPr="00CA35F2" w:rsidTr="001D61E2">
        <w:trPr>
          <w:trHeight w:val="528"/>
        </w:trPr>
        <w:tc>
          <w:tcPr>
            <w:tcW w:w="1418" w:type="dxa"/>
            <w:tcBorders>
              <w:top w:val="single" w:sz="4" w:space="0" w:color="auto"/>
              <w:left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Spain</w:t>
            </w:r>
          </w:p>
        </w:tc>
        <w:tc>
          <w:tcPr>
            <w:tcW w:w="4252" w:type="dxa"/>
            <w:tcBorders>
              <w:top w:val="single" w:sz="4" w:space="0" w:color="auto"/>
              <w:left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hyperlink r:id="rId44" w:history="1">
              <w:r w:rsidRPr="00CA35F2">
                <w:rPr>
                  <w:rFonts w:cs="Arial"/>
                  <w:color w:val="0066CC"/>
                  <w:szCs w:val="18"/>
                  <w:u w:val="single"/>
                  <w:lang w:val="de-AT" w:eastAsia="de-AT"/>
                </w:rPr>
                <w:t>http://www.ign.es/ign/layoutIn/bdmacrosismica.do</w:t>
              </w:r>
            </w:hyperlink>
          </w:p>
        </w:tc>
        <w:tc>
          <w:tcPr>
            <w:tcW w:w="3544" w:type="dxa"/>
            <w:tcBorders>
              <w:top w:val="single" w:sz="4" w:space="0" w:color="auto"/>
              <w:left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fr-FR" w:eastAsia="de-AT"/>
              </w:rPr>
            </w:pPr>
            <w:r w:rsidRPr="00CA35F2">
              <w:rPr>
                <w:rFonts w:cs="Arial"/>
                <w:szCs w:val="18"/>
                <w:lang w:val="fr-FR" w:eastAsia="de-AT"/>
              </w:rPr>
              <w:t>Base de datos de intensidad macrosism</w:t>
            </w:r>
            <w:r w:rsidRPr="00CA35F2">
              <w:rPr>
                <w:rFonts w:cs="Arial"/>
                <w:szCs w:val="18"/>
                <w:lang w:val="fr-FR" w:eastAsia="de-AT"/>
              </w:rPr>
              <w:t>i</w:t>
            </w:r>
            <w:r w:rsidRPr="00CA35F2">
              <w:rPr>
                <w:rFonts w:cs="Arial"/>
                <w:szCs w:val="18"/>
                <w:lang w:val="fr-FR" w:eastAsia="de-AT"/>
              </w:rPr>
              <w:t>cita (IGN)</w:t>
            </w:r>
          </w:p>
        </w:tc>
      </w:tr>
      <w:tr w:rsidR="005D6780" w:rsidRPr="00CA35F2" w:rsidTr="001D61E2">
        <w:trPr>
          <w:trHeight w:val="305"/>
        </w:trPr>
        <w:tc>
          <w:tcPr>
            <w:tcW w:w="1418" w:type="dxa"/>
            <w:tcBorders>
              <w:left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fr-FR" w:eastAsia="de-AT"/>
              </w:rPr>
            </w:pPr>
          </w:p>
        </w:tc>
        <w:tc>
          <w:tcPr>
            <w:tcW w:w="4252" w:type="dxa"/>
            <w:tcBorders>
              <w:left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fr-FR" w:eastAsia="de-AT"/>
              </w:rPr>
            </w:pPr>
            <w:hyperlink r:id="rId45" w:history="1">
              <w:r w:rsidRPr="00CA35F2">
                <w:rPr>
                  <w:rFonts w:cs="Arial"/>
                  <w:color w:val="0066CC"/>
                  <w:szCs w:val="18"/>
                  <w:u w:val="single"/>
                  <w:lang w:val="fr-FR" w:eastAsia="de-AT"/>
                </w:rPr>
                <w:t>http://www.igc.cat/web/ca/sismologia_bdmacrosis.html</w:t>
              </w:r>
            </w:hyperlink>
          </w:p>
        </w:tc>
        <w:tc>
          <w:tcPr>
            <w:tcW w:w="3544" w:type="dxa"/>
            <w:tcBorders>
              <w:left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fr-FR" w:eastAsia="de-AT"/>
              </w:rPr>
            </w:pPr>
            <w:r w:rsidRPr="00CA35F2">
              <w:rPr>
                <w:rFonts w:cs="Arial"/>
                <w:szCs w:val="18"/>
                <w:lang w:val="fr-FR" w:eastAsia="de-AT"/>
              </w:rPr>
              <w:t>Base de Dades Macrosísmica de Catalunya</w:t>
            </w:r>
          </w:p>
        </w:tc>
      </w:tr>
      <w:tr w:rsidR="005D6780" w:rsidRPr="00CA35F2" w:rsidTr="001D61E2">
        <w:trPr>
          <w:trHeight w:val="268"/>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fr-FR" w:eastAsia="de-AT"/>
              </w:rPr>
            </w:pPr>
          </w:p>
        </w:tc>
        <w:tc>
          <w:tcPr>
            <w:tcW w:w="4252" w:type="dxa"/>
            <w:tcBorders>
              <w:top w:val="nil"/>
              <w:left w:val="single" w:sz="4" w:space="0" w:color="auto"/>
              <w:bottom w:val="single" w:sz="4" w:space="0" w:color="auto"/>
              <w:right w:val="single" w:sz="4" w:space="0" w:color="auto"/>
            </w:tcBorders>
            <w:shd w:val="clear" w:color="auto" w:fill="auto"/>
            <w:hideMark/>
          </w:tcPr>
          <w:p w:rsidR="005D6780" w:rsidRPr="00CA35F2" w:rsidRDefault="001A21C7" w:rsidP="0099287B">
            <w:pPr>
              <w:spacing w:line="240" w:lineRule="auto"/>
              <w:jc w:val="left"/>
              <w:rPr>
                <w:rFonts w:cs="Arial"/>
                <w:color w:val="0066CC"/>
                <w:szCs w:val="18"/>
                <w:u w:val="single"/>
                <w:lang w:val="de-AT" w:eastAsia="de-AT"/>
              </w:rPr>
            </w:pPr>
            <w:r w:rsidRPr="00CA35F2">
              <w:rPr>
                <w:rFonts w:cs="Arial"/>
                <w:szCs w:val="18"/>
                <w:lang w:val="de-AT" w:eastAsia="de-AT"/>
              </w:rPr>
              <w:t>Not online</w:t>
            </w:r>
          </w:p>
        </w:tc>
        <w:tc>
          <w:tcPr>
            <w:tcW w:w="3544"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Mezcua et al., 2004</w:t>
            </w:r>
          </w:p>
        </w:tc>
      </w:tr>
      <w:tr w:rsidR="005D6780" w:rsidRPr="00CA35F2" w:rsidTr="001D61E2">
        <w:trPr>
          <w:trHeight w:val="276"/>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Finland</w:t>
            </w:r>
          </w:p>
        </w:tc>
        <w:tc>
          <w:tcPr>
            <w:tcW w:w="4252" w:type="dxa"/>
            <w:tcBorders>
              <w:top w:val="single" w:sz="4" w:space="0" w:color="auto"/>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 </w:t>
            </w:r>
            <w:r w:rsidR="000039C3" w:rsidRPr="00CA35F2">
              <w:rPr>
                <w:rFonts w:cs="Arial"/>
                <w:szCs w:val="18"/>
                <w:lang w:val="de-AT" w:eastAsia="de-AT"/>
              </w:rPr>
              <w:t>Not online</w:t>
            </w:r>
          </w:p>
        </w:tc>
        <w:tc>
          <w:tcPr>
            <w:tcW w:w="3544" w:type="dxa"/>
            <w:tcBorders>
              <w:top w:val="single" w:sz="4" w:space="0" w:color="auto"/>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Mäntyniemi et al., 2007</w:t>
            </w:r>
          </w:p>
        </w:tc>
      </w:tr>
      <w:tr w:rsidR="005D6780" w:rsidRPr="00CA35F2" w:rsidTr="001D61E2">
        <w:trPr>
          <w:trHeight w:val="348"/>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France</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3366FF"/>
                <w:szCs w:val="18"/>
                <w:lang w:val="de-AT" w:eastAsia="de-AT"/>
              </w:rPr>
            </w:pPr>
            <w:r w:rsidRPr="00CA35F2">
              <w:rPr>
                <w:rFonts w:cs="Arial"/>
                <w:color w:val="3366FF"/>
                <w:szCs w:val="18"/>
                <w:lang w:val="de-AT" w:eastAsia="de-AT"/>
              </w:rPr>
              <w:t>http://www.sisfrance.net/</w:t>
            </w:r>
          </w:p>
        </w:tc>
        <w:tc>
          <w:tcPr>
            <w:tcW w:w="3544"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fr-FR" w:eastAsia="de-AT"/>
              </w:rPr>
            </w:pPr>
            <w:r w:rsidRPr="00CA35F2">
              <w:rPr>
                <w:rFonts w:cs="Arial"/>
                <w:szCs w:val="18"/>
                <w:lang w:val="fr-FR" w:eastAsia="de-AT"/>
              </w:rPr>
              <w:t>Sismicité historique de la France Métr</w:t>
            </w:r>
            <w:r w:rsidRPr="00CA35F2">
              <w:rPr>
                <w:rFonts w:cs="Arial"/>
                <w:szCs w:val="18"/>
                <w:lang w:val="fr-FR" w:eastAsia="de-AT"/>
              </w:rPr>
              <w:t>o</w:t>
            </w:r>
            <w:r w:rsidRPr="00CA35F2">
              <w:rPr>
                <w:rFonts w:cs="Arial"/>
                <w:szCs w:val="18"/>
                <w:lang w:val="fr-FR" w:eastAsia="de-AT"/>
              </w:rPr>
              <w:t>pole</w:t>
            </w:r>
          </w:p>
        </w:tc>
      </w:tr>
      <w:tr w:rsidR="005D6780" w:rsidRPr="00CA35F2" w:rsidTr="001D61E2">
        <w:trPr>
          <w:trHeight w:val="313"/>
        </w:trPr>
        <w:tc>
          <w:tcPr>
            <w:tcW w:w="1418" w:type="dxa"/>
            <w:tcBorders>
              <w:top w:val="single" w:sz="4" w:space="0" w:color="auto"/>
              <w:left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Greece</w:t>
            </w:r>
          </w:p>
        </w:tc>
        <w:tc>
          <w:tcPr>
            <w:tcW w:w="4252" w:type="dxa"/>
            <w:tcBorders>
              <w:top w:val="single" w:sz="4" w:space="0" w:color="auto"/>
              <w:left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hyperlink r:id="rId46" w:history="1">
              <w:r w:rsidRPr="00CA35F2">
                <w:rPr>
                  <w:rFonts w:cs="Arial"/>
                  <w:color w:val="0066CC"/>
                  <w:szCs w:val="18"/>
                  <w:u w:val="single"/>
                  <w:lang w:val="de-AT" w:eastAsia="de-AT"/>
                </w:rPr>
                <w:t>http://macroseismology.geol.uoa.gr/</w:t>
              </w:r>
            </w:hyperlink>
          </w:p>
        </w:tc>
        <w:tc>
          <w:tcPr>
            <w:tcW w:w="3544" w:type="dxa"/>
            <w:tcBorders>
              <w:top w:val="single" w:sz="4" w:space="0" w:color="auto"/>
              <w:left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Hellenic Macroseismic Database (UoA)</w:t>
            </w:r>
          </w:p>
        </w:tc>
      </w:tr>
      <w:tr w:rsidR="005D6780" w:rsidRPr="00CA35F2" w:rsidTr="001D61E2">
        <w:trPr>
          <w:trHeight w:val="332"/>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p>
        </w:tc>
        <w:tc>
          <w:tcPr>
            <w:tcW w:w="4252" w:type="dxa"/>
            <w:tcBorders>
              <w:top w:val="nil"/>
              <w:left w:val="single" w:sz="4" w:space="0" w:color="auto"/>
              <w:bottom w:val="single" w:sz="4" w:space="0" w:color="auto"/>
              <w:right w:val="single" w:sz="4" w:space="0" w:color="auto"/>
            </w:tcBorders>
            <w:shd w:val="clear" w:color="auto" w:fill="auto"/>
            <w:hideMark/>
          </w:tcPr>
          <w:p w:rsidR="005D6780" w:rsidRPr="00CA35F2" w:rsidRDefault="001A21C7" w:rsidP="0099287B">
            <w:pPr>
              <w:spacing w:line="240" w:lineRule="auto"/>
              <w:jc w:val="left"/>
              <w:rPr>
                <w:rFonts w:cs="Arial"/>
                <w:szCs w:val="18"/>
                <w:lang w:val="de-AT" w:eastAsia="de-AT"/>
              </w:rPr>
            </w:pPr>
            <w:r w:rsidRPr="00CA35F2">
              <w:rPr>
                <w:rFonts w:cs="Arial"/>
                <w:szCs w:val="18"/>
                <w:lang w:val="de-AT" w:eastAsia="de-AT"/>
              </w:rPr>
              <w:t>Not online</w:t>
            </w:r>
          </w:p>
        </w:tc>
        <w:tc>
          <w:tcPr>
            <w:tcW w:w="3544"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Kouskouna &amp; Sakkas, 2013</w:t>
            </w:r>
          </w:p>
        </w:tc>
      </w:tr>
      <w:tr w:rsidR="005D6780" w:rsidRPr="00CA35F2" w:rsidTr="001D61E2">
        <w:trPr>
          <w:trHeight w:val="361"/>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Italy</w:t>
            </w:r>
          </w:p>
        </w:tc>
        <w:tc>
          <w:tcPr>
            <w:tcW w:w="4252" w:type="dxa"/>
            <w:tcBorders>
              <w:top w:val="single" w:sz="4" w:space="0" w:color="auto"/>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hyperlink r:id="rId47" w:history="1">
              <w:r w:rsidRPr="00CA35F2">
                <w:rPr>
                  <w:rFonts w:cs="Arial"/>
                  <w:color w:val="0066CC"/>
                  <w:szCs w:val="18"/>
                  <w:u w:val="single"/>
                  <w:lang w:val="de-AT" w:eastAsia="de-AT"/>
                </w:rPr>
                <w:t>http://emidius.mi.ingv.it/ASMI/</w:t>
              </w:r>
            </w:hyperlink>
          </w:p>
        </w:tc>
        <w:tc>
          <w:tcPr>
            <w:tcW w:w="3544" w:type="dxa"/>
            <w:tcBorders>
              <w:top w:val="single" w:sz="4" w:space="0" w:color="auto"/>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 xml:space="preserve">ASMI Archivio Storico Macrosismico </w:t>
            </w:r>
          </w:p>
        </w:tc>
      </w:tr>
      <w:tr w:rsidR="005D6780" w:rsidRPr="00CA35F2" w:rsidTr="001D61E2">
        <w:trPr>
          <w:trHeight w:val="383"/>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Lithuania</w:t>
            </w:r>
          </w:p>
        </w:tc>
        <w:tc>
          <w:tcPr>
            <w:tcW w:w="4252"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 </w:t>
            </w:r>
            <w:r w:rsidR="001A21C7" w:rsidRPr="00CA35F2">
              <w:rPr>
                <w:rFonts w:cs="Arial"/>
                <w:szCs w:val="18"/>
                <w:lang w:val="de-AT" w:eastAsia="de-AT"/>
              </w:rPr>
              <w:t>Not online</w:t>
            </w:r>
          </w:p>
        </w:tc>
        <w:tc>
          <w:tcPr>
            <w:tcW w:w="3544"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Mäntyniemi et al., 2007.</w:t>
            </w:r>
          </w:p>
        </w:tc>
      </w:tr>
      <w:tr w:rsidR="005D6780" w:rsidRPr="00CA35F2" w:rsidTr="001D61E2">
        <w:trPr>
          <w:trHeight w:val="473"/>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Norwqy</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r w:rsidRPr="00CA35F2">
              <w:rPr>
                <w:rFonts w:cs="Arial"/>
                <w:color w:val="0066CC"/>
                <w:szCs w:val="18"/>
                <w:u w:val="single"/>
                <w:lang w:val="de-AT" w:eastAsia="de-AT"/>
              </w:rPr>
              <w:t>http://www.norsar.no/seismology/Earthquakes/SeismicityNorway/ELOCS/</w:t>
            </w:r>
          </w:p>
        </w:tc>
        <w:tc>
          <w:tcPr>
            <w:tcW w:w="3544"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eastAsia="de-AT"/>
              </w:rPr>
            </w:pPr>
            <w:r w:rsidRPr="00CA35F2">
              <w:rPr>
                <w:rFonts w:cs="Arial"/>
                <w:szCs w:val="18"/>
                <w:lang w:eastAsia="de-AT"/>
              </w:rPr>
              <w:t>Historical seismicity on the norwegian cont</w:t>
            </w:r>
            <w:r w:rsidRPr="00CA35F2">
              <w:rPr>
                <w:rFonts w:cs="Arial"/>
                <w:szCs w:val="18"/>
                <w:lang w:eastAsia="de-AT"/>
              </w:rPr>
              <w:t>i</w:t>
            </w:r>
            <w:r w:rsidRPr="00CA35F2">
              <w:rPr>
                <w:rFonts w:cs="Arial"/>
                <w:szCs w:val="18"/>
                <w:lang w:eastAsia="de-AT"/>
              </w:rPr>
              <w:t>nental shelf (ELCOS)</w:t>
            </w:r>
          </w:p>
        </w:tc>
      </w:tr>
      <w:tr w:rsidR="005D6780" w:rsidRPr="00CA35F2" w:rsidTr="001D61E2">
        <w:trPr>
          <w:trHeight w:val="371"/>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Poland</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r w:rsidRPr="00CA35F2">
              <w:rPr>
                <w:rFonts w:cs="Arial"/>
                <w:color w:val="0066CC"/>
                <w:szCs w:val="18"/>
                <w:u w:val="single"/>
                <w:lang w:val="de-AT" w:eastAsia="de-AT"/>
              </w:rPr>
              <w:t>http://private.igf.edu.pl/~pwiejacz/p/</w:t>
            </w:r>
          </w:p>
        </w:tc>
        <w:tc>
          <w:tcPr>
            <w:tcW w:w="3544"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Pagaczewski, 1972</w:t>
            </w:r>
          </w:p>
        </w:tc>
      </w:tr>
      <w:tr w:rsidR="00AE7705" w:rsidRPr="00CA35F2" w:rsidTr="001D61E2">
        <w:trPr>
          <w:trHeight w:val="443"/>
        </w:trPr>
        <w:tc>
          <w:tcPr>
            <w:tcW w:w="1418" w:type="dxa"/>
            <w:tcBorders>
              <w:top w:val="nil"/>
              <w:left w:val="single" w:sz="4" w:space="0" w:color="auto"/>
              <w:bottom w:val="single" w:sz="4" w:space="0" w:color="auto"/>
              <w:right w:val="single" w:sz="4" w:space="0" w:color="auto"/>
            </w:tcBorders>
            <w:shd w:val="clear" w:color="auto" w:fill="auto"/>
            <w:noWrap/>
          </w:tcPr>
          <w:p w:rsidR="00AE7705" w:rsidRPr="00CA35F2" w:rsidRDefault="00AE7705" w:rsidP="0099287B">
            <w:pPr>
              <w:spacing w:line="240" w:lineRule="auto"/>
              <w:jc w:val="left"/>
              <w:rPr>
                <w:rFonts w:cs="Arial"/>
                <w:szCs w:val="18"/>
                <w:lang w:val="de-AT" w:eastAsia="de-AT"/>
              </w:rPr>
            </w:pPr>
            <w:r w:rsidRPr="00CA35F2">
              <w:rPr>
                <w:rFonts w:cs="Arial"/>
                <w:szCs w:val="18"/>
                <w:lang w:val="de-AT" w:eastAsia="de-AT"/>
              </w:rPr>
              <w:t>Slovakia</w:t>
            </w:r>
          </w:p>
        </w:tc>
        <w:tc>
          <w:tcPr>
            <w:tcW w:w="4252" w:type="dxa"/>
            <w:tcBorders>
              <w:top w:val="nil"/>
              <w:left w:val="nil"/>
              <w:bottom w:val="single" w:sz="4" w:space="0" w:color="auto"/>
              <w:right w:val="single" w:sz="4" w:space="0" w:color="auto"/>
            </w:tcBorders>
            <w:shd w:val="clear" w:color="auto" w:fill="auto"/>
          </w:tcPr>
          <w:p w:rsidR="00AE7705" w:rsidRPr="00CA35F2" w:rsidRDefault="00AE7705" w:rsidP="0099287B">
            <w:pPr>
              <w:spacing w:line="240" w:lineRule="auto"/>
              <w:jc w:val="left"/>
              <w:rPr>
                <w:rFonts w:cs="Arial"/>
                <w:szCs w:val="18"/>
                <w:lang w:eastAsia="de-AT"/>
              </w:rPr>
            </w:pPr>
            <w:r w:rsidRPr="00CA35F2">
              <w:rPr>
                <w:rFonts w:cs="Arial"/>
                <w:szCs w:val="18"/>
                <w:lang w:eastAsia="de-AT"/>
              </w:rPr>
              <w:t>Slovak macroseismic earthquake catalogue (SLOVMEC)</w:t>
            </w:r>
          </w:p>
        </w:tc>
        <w:tc>
          <w:tcPr>
            <w:tcW w:w="3544" w:type="dxa"/>
            <w:tcBorders>
              <w:top w:val="nil"/>
              <w:left w:val="nil"/>
              <w:bottom w:val="single" w:sz="4" w:space="0" w:color="auto"/>
              <w:right w:val="single" w:sz="4" w:space="0" w:color="auto"/>
            </w:tcBorders>
            <w:shd w:val="clear" w:color="auto" w:fill="auto"/>
            <w:noWrap/>
          </w:tcPr>
          <w:p w:rsidR="00AE7705" w:rsidRPr="00CA35F2" w:rsidRDefault="00AE7705" w:rsidP="0099287B">
            <w:pPr>
              <w:spacing w:line="240" w:lineRule="auto"/>
              <w:jc w:val="left"/>
              <w:rPr>
                <w:rFonts w:cs="Arial"/>
                <w:szCs w:val="18"/>
                <w:lang w:eastAsia="de-AT"/>
              </w:rPr>
            </w:pPr>
            <w:r w:rsidRPr="00CA35F2">
              <w:rPr>
                <w:rFonts w:cs="Arial"/>
                <w:szCs w:val="18"/>
                <w:lang w:eastAsia="de-AT"/>
              </w:rPr>
              <w:t>Kysel et al., 2016</w:t>
            </w:r>
          </w:p>
        </w:tc>
      </w:tr>
      <w:tr w:rsidR="00AE7705" w:rsidRPr="00CA35F2" w:rsidTr="001D61E2">
        <w:trPr>
          <w:trHeight w:val="443"/>
        </w:trPr>
        <w:tc>
          <w:tcPr>
            <w:tcW w:w="1418" w:type="dxa"/>
            <w:tcBorders>
              <w:top w:val="nil"/>
              <w:left w:val="single" w:sz="4" w:space="0" w:color="auto"/>
              <w:bottom w:val="single" w:sz="4" w:space="0" w:color="auto"/>
              <w:right w:val="single" w:sz="4" w:space="0" w:color="auto"/>
            </w:tcBorders>
            <w:shd w:val="clear" w:color="auto" w:fill="auto"/>
            <w:noWrap/>
          </w:tcPr>
          <w:p w:rsidR="00AE7705" w:rsidRPr="00CA35F2" w:rsidRDefault="00AE7705" w:rsidP="0099287B">
            <w:pPr>
              <w:spacing w:line="240" w:lineRule="auto"/>
              <w:jc w:val="left"/>
              <w:rPr>
                <w:rFonts w:cs="Arial"/>
                <w:szCs w:val="18"/>
                <w:lang w:val="de-AT" w:eastAsia="de-AT"/>
              </w:rPr>
            </w:pPr>
            <w:r w:rsidRPr="00CA35F2">
              <w:rPr>
                <w:rFonts w:cs="Arial"/>
                <w:szCs w:val="18"/>
                <w:lang w:val="de-AT" w:eastAsia="de-AT"/>
              </w:rPr>
              <w:t>Slovenia</w:t>
            </w:r>
          </w:p>
        </w:tc>
        <w:tc>
          <w:tcPr>
            <w:tcW w:w="4252" w:type="dxa"/>
            <w:tcBorders>
              <w:top w:val="nil"/>
              <w:left w:val="nil"/>
              <w:bottom w:val="single" w:sz="4" w:space="0" w:color="auto"/>
              <w:right w:val="single" w:sz="4" w:space="0" w:color="auto"/>
            </w:tcBorders>
            <w:shd w:val="clear" w:color="auto" w:fill="auto"/>
          </w:tcPr>
          <w:p w:rsidR="00AE7705" w:rsidRPr="00CA35F2" w:rsidRDefault="00AE7705" w:rsidP="0099287B">
            <w:pPr>
              <w:spacing w:line="240" w:lineRule="auto"/>
              <w:jc w:val="left"/>
              <w:rPr>
                <w:rFonts w:cs="Arial"/>
                <w:color w:val="0066CC"/>
                <w:szCs w:val="18"/>
                <w:u w:val="single"/>
                <w:lang w:val="de-AT" w:eastAsia="de-AT"/>
              </w:rPr>
            </w:pPr>
          </w:p>
        </w:tc>
        <w:tc>
          <w:tcPr>
            <w:tcW w:w="3544" w:type="dxa"/>
            <w:tcBorders>
              <w:top w:val="nil"/>
              <w:left w:val="nil"/>
              <w:bottom w:val="single" w:sz="4" w:space="0" w:color="auto"/>
              <w:right w:val="single" w:sz="4" w:space="0" w:color="auto"/>
            </w:tcBorders>
            <w:shd w:val="clear" w:color="auto" w:fill="auto"/>
            <w:noWrap/>
          </w:tcPr>
          <w:p w:rsidR="00AE7705" w:rsidRPr="00CA35F2" w:rsidRDefault="00AE7705" w:rsidP="0099287B">
            <w:pPr>
              <w:spacing w:line="240" w:lineRule="auto"/>
              <w:jc w:val="left"/>
              <w:rPr>
                <w:rFonts w:cs="Arial"/>
                <w:szCs w:val="18"/>
                <w:lang w:val="de-AT" w:eastAsia="de-AT"/>
              </w:rPr>
            </w:pPr>
            <w:r w:rsidRPr="00CA35F2">
              <w:rPr>
                <w:rFonts w:cs="Arial"/>
                <w:szCs w:val="18"/>
                <w:lang w:eastAsia="de-AT"/>
              </w:rPr>
              <w:t>Cecić, 2016</w:t>
            </w:r>
          </w:p>
        </w:tc>
      </w:tr>
      <w:tr w:rsidR="005D6780" w:rsidRPr="00CA35F2" w:rsidTr="001D61E2">
        <w:trPr>
          <w:trHeight w:val="443"/>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Spain</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val="de-AT" w:eastAsia="de-AT"/>
              </w:rPr>
            </w:pPr>
            <w:hyperlink r:id="rId48" w:history="1">
              <w:r w:rsidRPr="00CA35F2">
                <w:rPr>
                  <w:rFonts w:cs="Arial"/>
                  <w:color w:val="0066CC"/>
                  <w:szCs w:val="18"/>
                  <w:u w:val="single"/>
                  <w:lang w:val="de-AT" w:eastAsia="de-AT"/>
                </w:rPr>
                <w:t>http://www.igc.cat/web/files/IGC_2006_sismologia_segles.pdf</w:t>
              </w:r>
            </w:hyperlink>
          </w:p>
        </w:tc>
        <w:tc>
          <w:tcPr>
            <w:tcW w:w="3544"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Olivera et al., 2006</w:t>
            </w:r>
          </w:p>
        </w:tc>
      </w:tr>
      <w:tr w:rsidR="005D6780" w:rsidRPr="00CA35F2" w:rsidTr="001D61E2">
        <w:trPr>
          <w:trHeight w:val="268"/>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Sweden</w:t>
            </w:r>
          </w:p>
        </w:tc>
        <w:tc>
          <w:tcPr>
            <w:tcW w:w="4252"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 </w:t>
            </w:r>
            <w:r w:rsidR="001A21C7" w:rsidRPr="00CA35F2">
              <w:rPr>
                <w:rFonts w:cs="Arial"/>
                <w:szCs w:val="18"/>
                <w:lang w:val="de-AT" w:eastAsia="de-AT"/>
              </w:rPr>
              <w:t>Not online</w:t>
            </w:r>
          </w:p>
        </w:tc>
        <w:tc>
          <w:tcPr>
            <w:tcW w:w="3544" w:type="dxa"/>
            <w:tcBorders>
              <w:top w:val="nil"/>
              <w:left w:val="nil"/>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val="de-AT" w:eastAsia="de-AT"/>
              </w:rPr>
            </w:pPr>
            <w:r w:rsidRPr="00CA35F2">
              <w:rPr>
                <w:rFonts w:cs="Arial"/>
                <w:szCs w:val="18"/>
                <w:lang w:val="de-AT" w:eastAsia="de-AT"/>
              </w:rPr>
              <w:t>Mäntyniemi et al., 2007</w:t>
            </w:r>
          </w:p>
        </w:tc>
      </w:tr>
      <w:tr w:rsidR="00630206" w:rsidRPr="00CA35F2" w:rsidTr="001D61E2">
        <w:trPr>
          <w:trHeight w:val="481"/>
        </w:trPr>
        <w:tc>
          <w:tcPr>
            <w:tcW w:w="1418" w:type="dxa"/>
            <w:tcBorders>
              <w:top w:val="nil"/>
              <w:left w:val="single" w:sz="4" w:space="0" w:color="auto"/>
              <w:bottom w:val="single" w:sz="4" w:space="0" w:color="auto"/>
              <w:right w:val="single" w:sz="4" w:space="0" w:color="auto"/>
            </w:tcBorders>
            <w:shd w:val="clear" w:color="auto" w:fill="auto"/>
            <w:noWrap/>
          </w:tcPr>
          <w:p w:rsidR="00630206" w:rsidRPr="00CA35F2" w:rsidRDefault="00630206" w:rsidP="0099287B">
            <w:pPr>
              <w:spacing w:line="240" w:lineRule="auto"/>
              <w:jc w:val="left"/>
              <w:rPr>
                <w:rFonts w:cs="Arial"/>
                <w:szCs w:val="18"/>
                <w:lang w:val="de-AT" w:eastAsia="de-AT"/>
              </w:rPr>
            </w:pPr>
            <w:r w:rsidRPr="00CA35F2">
              <w:rPr>
                <w:rFonts w:cs="Arial"/>
                <w:szCs w:val="18"/>
                <w:lang w:val="de-AT" w:eastAsia="de-AT"/>
              </w:rPr>
              <w:t>Switzerland</w:t>
            </w:r>
          </w:p>
        </w:tc>
        <w:tc>
          <w:tcPr>
            <w:tcW w:w="4252" w:type="dxa"/>
            <w:tcBorders>
              <w:top w:val="nil"/>
              <w:left w:val="nil"/>
              <w:bottom w:val="single" w:sz="4" w:space="0" w:color="auto"/>
              <w:right w:val="single" w:sz="4" w:space="0" w:color="auto"/>
            </w:tcBorders>
            <w:shd w:val="clear" w:color="auto" w:fill="auto"/>
          </w:tcPr>
          <w:p w:rsidR="00630206" w:rsidRPr="00CA35F2" w:rsidRDefault="00630206" w:rsidP="0099287B">
            <w:pPr>
              <w:spacing w:line="240" w:lineRule="auto"/>
              <w:jc w:val="left"/>
              <w:rPr>
                <w:rFonts w:cs="Arial"/>
                <w:color w:val="0066CC"/>
                <w:szCs w:val="18"/>
                <w:u w:val="single"/>
                <w:lang w:val="de-AT" w:eastAsia="de-AT"/>
              </w:rPr>
            </w:pPr>
          </w:p>
        </w:tc>
        <w:tc>
          <w:tcPr>
            <w:tcW w:w="3544" w:type="dxa"/>
            <w:tcBorders>
              <w:top w:val="nil"/>
              <w:left w:val="nil"/>
              <w:bottom w:val="single" w:sz="4" w:space="0" w:color="auto"/>
              <w:right w:val="single" w:sz="4" w:space="0" w:color="auto"/>
            </w:tcBorders>
            <w:shd w:val="clear" w:color="auto" w:fill="auto"/>
          </w:tcPr>
          <w:p w:rsidR="00630206" w:rsidRPr="00CA35F2" w:rsidRDefault="00630206" w:rsidP="0099287B">
            <w:pPr>
              <w:spacing w:line="240" w:lineRule="auto"/>
              <w:jc w:val="left"/>
              <w:rPr>
                <w:rFonts w:cs="Arial"/>
                <w:szCs w:val="18"/>
                <w:lang w:eastAsia="de-AT"/>
              </w:rPr>
            </w:pPr>
            <w:r w:rsidRPr="00CA35F2">
              <w:rPr>
                <w:rFonts w:cs="Arial"/>
                <w:szCs w:val="18"/>
                <w:lang w:eastAsia="de-AT"/>
              </w:rPr>
              <w:t>Fäh et al., 2016</w:t>
            </w:r>
          </w:p>
        </w:tc>
      </w:tr>
      <w:tr w:rsidR="005D6780" w:rsidRPr="00CA35F2" w:rsidTr="001D61E2">
        <w:trPr>
          <w:trHeight w:val="481"/>
        </w:trPr>
        <w:tc>
          <w:tcPr>
            <w:tcW w:w="1418" w:type="dxa"/>
            <w:tcBorders>
              <w:top w:val="nil"/>
              <w:left w:val="single" w:sz="4" w:space="0" w:color="auto"/>
              <w:bottom w:val="single" w:sz="4" w:space="0" w:color="auto"/>
              <w:right w:val="single" w:sz="4" w:space="0" w:color="auto"/>
            </w:tcBorders>
            <w:shd w:val="clear" w:color="auto" w:fill="auto"/>
            <w:noWrap/>
            <w:hideMark/>
          </w:tcPr>
          <w:p w:rsidR="005D6780" w:rsidRPr="00CA35F2" w:rsidRDefault="005D6780" w:rsidP="0099287B">
            <w:pPr>
              <w:spacing w:line="240" w:lineRule="auto"/>
              <w:jc w:val="left"/>
              <w:rPr>
                <w:rFonts w:cs="Arial"/>
                <w:szCs w:val="18"/>
                <w:lang w:eastAsia="de-AT"/>
              </w:rPr>
            </w:pPr>
            <w:r w:rsidRPr="00CA35F2">
              <w:rPr>
                <w:rFonts w:cs="Arial"/>
                <w:szCs w:val="18"/>
                <w:lang w:eastAsia="de-AT"/>
              </w:rPr>
              <w:t>United Kin</w:t>
            </w:r>
            <w:r w:rsidRPr="00CA35F2">
              <w:rPr>
                <w:rFonts w:cs="Arial"/>
                <w:szCs w:val="18"/>
                <w:lang w:eastAsia="de-AT"/>
              </w:rPr>
              <w:t>g</w:t>
            </w:r>
            <w:r w:rsidRPr="00CA35F2">
              <w:rPr>
                <w:rFonts w:cs="Arial"/>
                <w:szCs w:val="18"/>
                <w:lang w:eastAsia="de-AT"/>
              </w:rPr>
              <w:t>dom</w:t>
            </w:r>
          </w:p>
        </w:tc>
        <w:tc>
          <w:tcPr>
            <w:tcW w:w="4252"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color w:val="0066CC"/>
                <w:szCs w:val="18"/>
                <w:u w:val="single"/>
                <w:lang w:eastAsia="de-AT"/>
              </w:rPr>
            </w:pPr>
            <w:r w:rsidRPr="00CA35F2">
              <w:rPr>
                <w:rFonts w:cs="Arial"/>
                <w:color w:val="0066CC"/>
                <w:szCs w:val="18"/>
                <w:u w:val="single"/>
                <w:lang w:eastAsia="de-AT"/>
              </w:rPr>
              <w:t>http://www.earthquakes.bgs.ac.uk/historical/data/studies/MUSS008/MUSS008.pdf</w:t>
            </w:r>
          </w:p>
        </w:tc>
        <w:tc>
          <w:tcPr>
            <w:tcW w:w="3544" w:type="dxa"/>
            <w:tcBorders>
              <w:top w:val="nil"/>
              <w:left w:val="nil"/>
              <w:bottom w:val="single" w:sz="4" w:space="0" w:color="auto"/>
              <w:right w:val="single" w:sz="4" w:space="0" w:color="auto"/>
            </w:tcBorders>
            <w:shd w:val="clear" w:color="auto" w:fill="auto"/>
            <w:hideMark/>
          </w:tcPr>
          <w:p w:rsidR="005D6780" w:rsidRPr="00CA35F2" w:rsidRDefault="005D6780" w:rsidP="0099287B">
            <w:pPr>
              <w:spacing w:line="240" w:lineRule="auto"/>
              <w:jc w:val="left"/>
              <w:rPr>
                <w:rFonts w:cs="Arial"/>
                <w:szCs w:val="18"/>
                <w:lang w:val="de-AT" w:eastAsia="de-AT"/>
              </w:rPr>
            </w:pPr>
            <w:r w:rsidRPr="00CA35F2">
              <w:rPr>
                <w:rFonts w:cs="Arial"/>
                <w:szCs w:val="18"/>
                <w:lang w:eastAsia="de-AT"/>
              </w:rPr>
              <w:t>UK Historical Earthquake Dat</w:t>
            </w:r>
            <w:r w:rsidRPr="00CA35F2">
              <w:rPr>
                <w:rFonts w:cs="Arial"/>
                <w:szCs w:val="18"/>
                <w:lang w:val="de-AT" w:eastAsia="de-AT"/>
              </w:rPr>
              <w:t>abase</w:t>
            </w:r>
          </w:p>
        </w:tc>
      </w:tr>
    </w:tbl>
    <w:p w:rsidR="005D6780" w:rsidRPr="00CB6F42" w:rsidRDefault="005D6780" w:rsidP="005D6780"/>
    <w:p w:rsidR="005D6780" w:rsidRDefault="005D6780" w:rsidP="00CA35F2">
      <w:pPr>
        <w:pStyle w:val="ASAMPSAtable"/>
        <w:numPr>
          <w:ilvl w:val="0"/>
          <w:numId w:val="0"/>
        </w:numPr>
        <w:ind w:left="720" w:hanging="360"/>
        <w:jc w:val="left"/>
      </w:pPr>
      <w:bookmarkStart w:id="82" w:name="_Ref432435555"/>
      <w:bookmarkStart w:id="83" w:name="_Toc456012028"/>
      <w:r>
        <w:t xml:space="preserve">Table </w:t>
      </w:r>
      <w:r>
        <w:fldChar w:fldCharType="begin"/>
      </w:r>
      <w:r>
        <w:instrText xml:space="preserve"> SEQ Table \* ARABIC </w:instrText>
      </w:r>
      <w:r>
        <w:fldChar w:fldCharType="separate"/>
      </w:r>
      <w:r w:rsidR="00173034">
        <w:rPr>
          <w:noProof/>
        </w:rPr>
        <w:t>4</w:t>
      </w:r>
      <w:r>
        <w:fldChar w:fldCharType="end"/>
      </w:r>
      <w:bookmarkEnd w:id="82"/>
      <w:r>
        <w:t>.  List of earthquake catalogues focused on historical earthquake data.</w:t>
      </w:r>
      <w:bookmarkEnd w:id="83"/>
    </w:p>
    <w:p w:rsidR="008C0367" w:rsidRDefault="00CE2D6F" w:rsidP="008C0367">
      <w:pPr>
        <w:ind w:left="120"/>
        <w:rPr>
          <w:lang w:val="en-US"/>
        </w:rPr>
      </w:pPr>
      <w:r>
        <w:rPr>
          <w:lang w:val="en-US"/>
        </w:rPr>
        <w:br w:type="page"/>
      </w:r>
      <w:r w:rsidR="008C0367">
        <w:rPr>
          <w:lang w:val="en-US"/>
        </w:rPr>
        <w:lastRenderedPageBreak/>
        <w:t xml:space="preserve">Seismological data in excess of data recorded in earthquake catalogues may exist from </w:t>
      </w:r>
      <w:r w:rsidR="008C0367" w:rsidRPr="00030A4E">
        <w:rPr>
          <w:b/>
          <w:i/>
          <w:lang w:val="en-US"/>
        </w:rPr>
        <w:t>local seismic monitoring networks</w:t>
      </w:r>
      <w:r w:rsidR="008C0367">
        <w:rPr>
          <w:lang w:val="en-US"/>
        </w:rPr>
        <w:t>. Such networks may not be connected with the national observation grid and the recorded data may therefore not be included in national or regional earthquake catalogues</w:t>
      </w:r>
      <w:r w:rsidR="00E73535">
        <w:rPr>
          <w:lang w:val="en-US"/>
        </w:rPr>
        <w:t>.</w:t>
      </w:r>
    </w:p>
    <w:p w:rsidR="008C0367" w:rsidRDefault="008C0367" w:rsidP="008C0367">
      <w:pPr>
        <w:ind w:left="120"/>
        <w:rPr>
          <w:lang w:val="en-US"/>
        </w:rPr>
      </w:pPr>
    </w:p>
    <w:p w:rsidR="008C0367" w:rsidRDefault="008C0367" w:rsidP="008C0367">
      <w:pPr>
        <w:ind w:left="120"/>
        <w:rPr>
          <w:lang w:val="en-US"/>
        </w:rPr>
      </w:pPr>
      <w:r>
        <w:rPr>
          <w:lang w:val="en-US"/>
        </w:rPr>
        <w:t>Seismic networks may be installed or have been operational for some periods of time for research purposes, e.g., the observation of aftershock sequences subsequent to major earthquakes or to monitor teleseismic events for seismic tomography. Such data may be accessible via the operating scientific organisations. A list of digital sei</w:t>
      </w:r>
      <w:r>
        <w:rPr>
          <w:lang w:val="en-US"/>
        </w:rPr>
        <w:t>s</w:t>
      </w:r>
      <w:r>
        <w:rPr>
          <w:lang w:val="en-US"/>
        </w:rPr>
        <w:t xml:space="preserve">mograph networks, both permanent and temporary, is provided and updated by the International Federation of Digital Seismograph Networks (FDSN; </w:t>
      </w:r>
      <w:hyperlink r:id="rId49" w:history="1">
        <w:r w:rsidRPr="00786C17">
          <w:rPr>
            <w:rStyle w:val="Lienhypertexte"/>
            <w:lang w:val="en-US"/>
          </w:rPr>
          <w:t>http://www.fdsn.org/networks/</w:t>
        </w:r>
      </w:hyperlink>
      <w:r w:rsidRPr="003E5169">
        <w:rPr>
          <w:lang w:val="en-US"/>
        </w:rPr>
        <w:t>?</w:t>
      </w:r>
      <w:r>
        <w:rPr>
          <w:lang w:val="en-US"/>
        </w:rPr>
        <w:t>). The list includes deployment countries / regions, network names, links</w:t>
      </w:r>
      <w:r w:rsidR="005057D1">
        <w:rPr>
          <w:lang w:val="en-US"/>
        </w:rPr>
        <w:t xml:space="preserve"> </w:t>
      </w:r>
      <w:r>
        <w:rPr>
          <w:lang w:val="en-US"/>
        </w:rPr>
        <w:t xml:space="preserve"> to netw</w:t>
      </w:r>
      <w:r w:rsidR="00CA35F2">
        <w:rPr>
          <w:lang w:val="en-US"/>
        </w:rPr>
        <w:t>ork operators, and data access.</w:t>
      </w:r>
    </w:p>
    <w:p w:rsidR="00EE7D06" w:rsidRDefault="00EE7D06" w:rsidP="008C0367">
      <w:pPr>
        <w:ind w:left="120"/>
        <w:rPr>
          <w:lang w:val="en-US"/>
        </w:rPr>
      </w:pPr>
    </w:p>
    <w:p w:rsidR="00EE7D06" w:rsidRDefault="00EE7D06" w:rsidP="008C0367">
      <w:pPr>
        <w:ind w:left="120"/>
        <w:rPr>
          <w:lang w:val="en-US"/>
        </w:rPr>
      </w:pPr>
      <w:r>
        <w:rPr>
          <w:lang w:val="en-US"/>
        </w:rPr>
        <w:t>Data recorded by such temporary networks may significantly contribute to identify seismogenic faults by acc</w:t>
      </w:r>
      <w:r>
        <w:rPr>
          <w:lang w:val="en-US"/>
        </w:rPr>
        <w:t>u</w:t>
      </w:r>
      <w:r>
        <w:rPr>
          <w:lang w:val="en-US"/>
        </w:rPr>
        <w:t>rately localized earthquake hypocenters, understand fault kinematics using first arrival studies or seismic m</w:t>
      </w:r>
      <w:r>
        <w:rPr>
          <w:lang w:val="en-US"/>
        </w:rPr>
        <w:t>o</w:t>
      </w:r>
      <w:r>
        <w:rPr>
          <w:lang w:val="en-US"/>
        </w:rPr>
        <w:t xml:space="preserve">ment tensor solutions, etc. </w:t>
      </w:r>
      <w:r w:rsidR="00674062">
        <w:rPr>
          <w:lang w:val="en-US"/>
        </w:rPr>
        <w:t xml:space="preserve">An example for the </w:t>
      </w:r>
      <w:r w:rsidR="00137F22">
        <w:rPr>
          <w:lang w:val="en-US"/>
        </w:rPr>
        <w:t>benefit</w:t>
      </w:r>
      <w:r w:rsidR="00674062">
        <w:rPr>
          <w:lang w:val="en-US"/>
        </w:rPr>
        <w:t xml:space="preserve"> of analyzing microearthquakes recorded by dense local seismological networks is the </w:t>
      </w:r>
      <w:r w:rsidR="00137F22">
        <w:rPr>
          <w:lang w:val="en-US"/>
        </w:rPr>
        <w:t>idenfication of the Shorline Fault close to the Diablo Canyon NPP which led to an update of the seismic hazard assessment (USNRC, 2012).</w:t>
      </w:r>
    </w:p>
    <w:p w:rsidR="008C0367" w:rsidRDefault="008C0367" w:rsidP="008C0367">
      <w:pPr>
        <w:ind w:left="120"/>
        <w:rPr>
          <w:lang w:val="en-US"/>
        </w:rPr>
      </w:pPr>
    </w:p>
    <w:p w:rsidR="008C0367" w:rsidRDefault="008C0367" w:rsidP="008C0367">
      <w:pPr>
        <w:ind w:left="120"/>
        <w:rPr>
          <w:lang w:val="en-US"/>
        </w:rPr>
      </w:pPr>
      <w:r>
        <w:rPr>
          <w:lang w:val="en-US"/>
        </w:rPr>
        <w:t xml:space="preserve">Local seismic monitoring networks around nuclear power plants are dealt with in chapter </w:t>
      </w:r>
      <w:r>
        <w:rPr>
          <w:lang w:val="en-US"/>
        </w:rPr>
        <w:fldChar w:fldCharType="begin"/>
      </w:r>
      <w:r>
        <w:rPr>
          <w:lang w:val="en-US"/>
        </w:rPr>
        <w:instrText xml:space="preserve"> REF _Ref432434603 \r \h </w:instrText>
      </w:r>
      <w:r>
        <w:rPr>
          <w:lang w:val="en-US"/>
        </w:rPr>
      </w:r>
      <w:r>
        <w:rPr>
          <w:lang w:val="en-US"/>
        </w:rPr>
        <w:fldChar w:fldCharType="separate"/>
      </w:r>
      <w:r w:rsidR="00173034">
        <w:rPr>
          <w:lang w:val="en-US"/>
        </w:rPr>
        <w:t>3.2.5</w:t>
      </w:r>
      <w:r>
        <w:rPr>
          <w:lang w:val="en-US"/>
        </w:rPr>
        <w:fldChar w:fldCharType="end"/>
      </w:r>
      <w:r>
        <w:rPr>
          <w:lang w:val="en-US"/>
        </w:rPr>
        <w:t xml:space="preserve"> on page </w:t>
      </w:r>
      <w:r>
        <w:rPr>
          <w:lang w:val="en-US"/>
        </w:rPr>
        <w:fldChar w:fldCharType="begin"/>
      </w:r>
      <w:r>
        <w:rPr>
          <w:lang w:val="en-US"/>
        </w:rPr>
        <w:instrText xml:space="preserve"> PAGEREF _Ref432434606 \h </w:instrText>
      </w:r>
      <w:r>
        <w:rPr>
          <w:lang w:val="en-US"/>
        </w:rPr>
      </w:r>
      <w:r>
        <w:rPr>
          <w:lang w:val="en-US"/>
        </w:rPr>
        <w:fldChar w:fldCharType="separate"/>
      </w:r>
      <w:r w:rsidR="00173034">
        <w:rPr>
          <w:noProof/>
          <w:lang w:val="en-US"/>
        </w:rPr>
        <w:t>52</w:t>
      </w:r>
      <w:r>
        <w:rPr>
          <w:lang w:val="en-US"/>
        </w:rPr>
        <w:fldChar w:fldCharType="end"/>
      </w:r>
      <w:r>
        <w:rPr>
          <w:lang w:val="en-US"/>
        </w:rPr>
        <w:t>.</w:t>
      </w:r>
    </w:p>
    <w:p w:rsidR="0044763A" w:rsidRDefault="0044763A" w:rsidP="00103F85">
      <w:pPr>
        <w:ind w:left="120"/>
        <w:rPr>
          <w:lang w:val="en-US"/>
        </w:rPr>
      </w:pPr>
    </w:p>
    <w:p w:rsidR="00E77712" w:rsidRPr="00103F85" w:rsidRDefault="00E77712" w:rsidP="00E77712">
      <w:pPr>
        <w:pStyle w:val="Titre3"/>
        <w:rPr>
          <w:lang w:val="en-US"/>
        </w:rPr>
      </w:pPr>
      <w:bookmarkStart w:id="84" w:name="_Toc456011892"/>
      <w:r>
        <w:rPr>
          <w:lang w:val="en-US"/>
        </w:rPr>
        <w:t>Earthquake focal mechanisms and recent stress databases</w:t>
      </w:r>
      <w:bookmarkEnd w:id="84"/>
    </w:p>
    <w:p w:rsidR="00E77712" w:rsidRDefault="00E77712" w:rsidP="00E77712">
      <w:pPr>
        <w:ind w:left="120"/>
        <w:rPr>
          <w:lang w:val="en-US"/>
        </w:rPr>
      </w:pPr>
      <w:r>
        <w:rPr>
          <w:lang w:val="en-US"/>
        </w:rPr>
        <w:t>Earthquake f</w:t>
      </w:r>
      <w:r w:rsidRPr="00B57226">
        <w:rPr>
          <w:lang w:val="en-US"/>
        </w:rPr>
        <w:t xml:space="preserve">ocal </w:t>
      </w:r>
      <w:r>
        <w:rPr>
          <w:lang w:val="en-US"/>
        </w:rPr>
        <w:t>mechanisms (fault plane solution) data and seismic moment tensors provide evidence on the orientation and slip direction of the fault which created a specific earthquake and are therefore an important basis for the construction of seismotectonic models. For strong earthquakes such data are routineously produced and collected in a number of databases, which all allow data queries and downloads (</w:t>
      </w:r>
      <w:r>
        <w:rPr>
          <w:lang w:val="en-US"/>
        </w:rPr>
        <w:fldChar w:fldCharType="begin"/>
      </w:r>
      <w:r>
        <w:rPr>
          <w:lang w:val="en-US"/>
        </w:rPr>
        <w:instrText xml:space="preserve"> REF _Ref432492708 \h </w:instrText>
      </w:r>
      <w:r>
        <w:rPr>
          <w:lang w:val="en-US"/>
        </w:rPr>
      </w:r>
      <w:r>
        <w:rPr>
          <w:lang w:val="en-US"/>
        </w:rPr>
        <w:fldChar w:fldCharType="separate"/>
      </w:r>
      <w:r w:rsidR="00173034">
        <w:t xml:space="preserve">Table </w:t>
      </w:r>
      <w:r w:rsidR="00173034">
        <w:rPr>
          <w:noProof/>
        </w:rPr>
        <w:t>5</w:t>
      </w:r>
      <w:r>
        <w:rPr>
          <w:lang w:val="en-US"/>
        </w:rPr>
        <w:fldChar w:fldCharType="end"/>
      </w:r>
      <w:r w:rsidR="00CA35F2">
        <w:rPr>
          <w:lang w:val="en-US"/>
        </w:rPr>
        <w:t>).</w:t>
      </w:r>
    </w:p>
    <w:p w:rsidR="00E77712" w:rsidRDefault="00E77712" w:rsidP="00E77712">
      <w:pPr>
        <w:ind w:left="120"/>
        <w:rPr>
          <w:lang w:val="en-US"/>
        </w:rPr>
      </w:pPr>
    </w:p>
    <w:p w:rsidR="00E77712" w:rsidRDefault="00E77712" w:rsidP="00E77712">
      <w:pPr>
        <w:ind w:left="120"/>
        <w:rPr>
          <w:lang w:val="en-US"/>
        </w:rPr>
      </w:pPr>
      <w:r>
        <w:rPr>
          <w:lang w:val="en-US"/>
        </w:rPr>
        <w:t>Recent stress data (orientation of the maximum horizontal compressive stresses) are equally important to co</w:t>
      </w:r>
      <w:r>
        <w:rPr>
          <w:lang w:val="en-US"/>
        </w:rPr>
        <w:t>n</w:t>
      </w:r>
      <w:r>
        <w:rPr>
          <w:lang w:val="en-US"/>
        </w:rPr>
        <w:t>strain seismotectonic models and assess the probability of slip at pre-existing faults. Data are collected in the World Stress Map (WSM) database (</w:t>
      </w:r>
      <w:r w:rsidR="0042382F">
        <w:rPr>
          <w:lang w:val="en-US"/>
        </w:rPr>
        <w:fldChar w:fldCharType="begin"/>
      </w:r>
      <w:r w:rsidR="0042382F">
        <w:rPr>
          <w:lang w:val="en-US"/>
        </w:rPr>
        <w:instrText xml:space="preserve"> REF _Ref451164739 \h </w:instrText>
      </w:r>
      <w:r w:rsidR="0042382F">
        <w:rPr>
          <w:lang w:val="en-US"/>
        </w:rPr>
      </w:r>
      <w:r w:rsidR="0042382F">
        <w:rPr>
          <w:lang w:val="en-US"/>
        </w:rPr>
        <w:fldChar w:fldCharType="separate"/>
      </w:r>
      <w:r w:rsidR="00173034">
        <w:t xml:space="preserve">Figure </w:t>
      </w:r>
      <w:r w:rsidR="00173034">
        <w:rPr>
          <w:noProof/>
        </w:rPr>
        <w:t>3</w:t>
      </w:r>
      <w:r w:rsidR="0042382F">
        <w:rPr>
          <w:lang w:val="en-US"/>
        </w:rPr>
        <w:fldChar w:fldCharType="end"/>
      </w:r>
      <w:r w:rsidR="0042382F">
        <w:rPr>
          <w:lang w:val="en-US"/>
        </w:rPr>
        <w:t xml:space="preserve">, </w:t>
      </w:r>
      <w:r>
        <w:rPr>
          <w:lang w:val="en-US"/>
        </w:rPr>
        <w:fldChar w:fldCharType="begin"/>
      </w:r>
      <w:r>
        <w:rPr>
          <w:lang w:val="en-US"/>
        </w:rPr>
        <w:instrText xml:space="preserve"> REF _Ref432492708 \h </w:instrText>
      </w:r>
      <w:r>
        <w:rPr>
          <w:lang w:val="en-US"/>
        </w:rPr>
      </w:r>
      <w:r>
        <w:rPr>
          <w:lang w:val="en-US"/>
        </w:rPr>
        <w:fldChar w:fldCharType="separate"/>
      </w:r>
      <w:r w:rsidR="00173034">
        <w:t xml:space="preserve">Table </w:t>
      </w:r>
      <w:r w:rsidR="00173034">
        <w:rPr>
          <w:noProof/>
        </w:rPr>
        <w:t>5</w:t>
      </w:r>
      <w:r>
        <w:rPr>
          <w:lang w:val="en-US"/>
        </w:rPr>
        <w:fldChar w:fldCharType="end"/>
      </w:r>
      <w:r>
        <w:rPr>
          <w:lang w:val="en-US"/>
        </w:rPr>
        <w:t>). The WSM includes tools for data query, download, and vi</w:t>
      </w:r>
      <w:r>
        <w:rPr>
          <w:lang w:val="en-US"/>
        </w:rPr>
        <w:t>s</w:t>
      </w:r>
      <w:r w:rsidR="00CA35F2">
        <w:rPr>
          <w:lang w:val="en-US"/>
        </w:rPr>
        <w:t>ualization.</w:t>
      </w:r>
    </w:p>
    <w:p w:rsidR="00E77712" w:rsidRDefault="00E77712" w:rsidP="00E77712">
      <w:pPr>
        <w:ind w:left="120"/>
        <w:rPr>
          <w:lang w:val="en-US"/>
        </w:rPr>
      </w:pPr>
    </w:p>
    <w:p w:rsidR="00E77712" w:rsidRDefault="00E77712" w:rsidP="00E77712">
      <w:pPr>
        <w:ind w:left="120"/>
        <w:rPr>
          <w:lang w:val="en-US"/>
        </w:rPr>
      </w:pPr>
      <w:r>
        <w:rPr>
          <w:lang w:val="en-US"/>
        </w:rPr>
        <w:t>The databases listed in (</w:t>
      </w:r>
      <w:r>
        <w:rPr>
          <w:lang w:val="en-US"/>
        </w:rPr>
        <w:fldChar w:fldCharType="begin"/>
      </w:r>
      <w:r>
        <w:rPr>
          <w:lang w:val="en-US"/>
        </w:rPr>
        <w:instrText xml:space="preserve"> REF _Ref432492708 \h </w:instrText>
      </w:r>
      <w:r>
        <w:rPr>
          <w:lang w:val="en-US"/>
        </w:rPr>
      </w:r>
      <w:r>
        <w:rPr>
          <w:lang w:val="en-US"/>
        </w:rPr>
        <w:fldChar w:fldCharType="separate"/>
      </w:r>
      <w:r w:rsidR="00173034">
        <w:t xml:space="preserve">Table </w:t>
      </w:r>
      <w:r w:rsidR="00173034">
        <w:rPr>
          <w:noProof/>
        </w:rPr>
        <w:t>5</w:t>
      </w:r>
      <w:r>
        <w:rPr>
          <w:lang w:val="en-US"/>
        </w:rPr>
        <w:fldChar w:fldCharType="end"/>
      </w:r>
      <w:r>
        <w:rPr>
          <w:lang w:val="en-US"/>
        </w:rPr>
        <w:t>) are not comprehensive and numerous additional data may exist in scientific li</w:t>
      </w:r>
      <w:r>
        <w:rPr>
          <w:lang w:val="en-US"/>
        </w:rPr>
        <w:t>t</w:t>
      </w:r>
      <w:r>
        <w:rPr>
          <w:lang w:val="en-US"/>
        </w:rPr>
        <w:t xml:space="preserve">erature or at the local geophysical / seismological / geological surveys. </w:t>
      </w:r>
      <w:r w:rsidR="0035579E">
        <w:rPr>
          <w:lang w:val="en-US"/>
        </w:rPr>
        <w:t xml:space="preserve">Focal mechanisms may particularly be available from </w:t>
      </w:r>
      <w:r>
        <w:rPr>
          <w:lang w:val="en-US"/>
        </w:rPr>
        <w:t xml:space="preserve">site-specific </w:t>
      </w:r>
      <w:r w:rsidR="0035579E">
        <w:rPr>
          <w:lang w:val="en-US"/>
        </w:rPr>
        <w:t>observation networks. Stress data which are not included in the WSM may be avail</w:t>
      </w:r>
      <w:r w:rsidR="0035579E">
        <w:rPr>
          <w:lang w:val="en-US"/>
        </w:rPr>
        <w:t>a</w:t>
      </w:r>
      <w:r w:rsidR="0035579E">
        <w:rPr>
          <w:lang w:val="en-US"/>
        </w:rPr>
        <w:t>ble from deep drilling (e.g., for hydrocarbon or thermal water exploration) and mining activities.</w:t>
      </w:r>
    </w:p>
    <w:p w:rsidR="00E77712" w:rsidRDefault="00E77712" w:rsidP="00103F85">
      <w:pPr>
        <w:ind w:left="120"/>
        <w:rPr>
          <w:lang w:val="en-US"/>
        </w:rPr>
      </w:pPr>
    </w:p>
    <w:p w:rsidR="0035579E" w:rsidRDefault="00FA7DEE" w:rsidP="00C05E5E">
      <w:pPr>
        <w:ind w:left="120"/>
        <w:jc w:val="center"/>
        <w:rPr>
          <w:lang w:val="en-US"/>
        </w:rPr>
      </w:pPr>
      <w:r>
        <w:rPr>
          <w:lang w:val="en-US"/>
        </w:rPr>
        <w:lastRenderedPageBreak/>
        <w:pict>
          <v:shape id="_x0000_i1029" type="#_x0000_t75" style="width:456.2pt;height:611.05pt">
            <v:imagedata r:id="rId50" o:title="Fig_WSM_Database"/>
          </v:shape>
        </w:pict>
      </w:r>
    </w:p>
    <w:p w:rsidR="0035579E" w:rsidRPr="00923C7F" w:rsidRDefault="0042382F" w:rsidP="0035579E">
      <w:pPr>
        <w:pStyle w:val="Lgende"/>
        <w:jc w:val="center"/>
        <w:rPr>
          <w:i/>
        </w:rPr>
      </w:pPr>
      <w:bookmarkStart w:id="85" w:name="_Ref451164739"/>
      <w:bookmarkStart w:id="86" w:name="_Toc456012039"/>
      <w:r>
        <w:t xml:space="preserve">Figure </w:t>
      </w:r>
      <w:r>
        <w:fldChar w:fldCharType="begin"/>
      </w:r>
      <w:r>
        <w:instrText xml:space="preserve"> SEQ Figure \* ARABIC </w:instrText>
      </w:r>
      <w:r>
        <w:fldChar w:fldCharType="separate"/>
      </w:r>
      <w:r w:rsidR="00173034">
        <w:rPr>
          <w:noProof/>
        </w:rPr>
        <w:t>3</w:t>
      </w:r>
      <w:r>
        <w:fldChar w:fldCharType="end"/>
      </w:r>
      <w:bookmarkEnd w:id="85"/>
      <w:r>
        <w:t xml:space="preserve">. </w:t>
      </w:r>
      <w:r w:rsidR="0035579E">
        <w:t xml:space="preserve">European stress data of the Wolrld Stress Map (WSM) database (release 2008) </w:t>
      </w:r>
      <w:r w:rsidR="0035579E" w:rsidRPr="00923C7F">
        <w:rPr>
          <w:i/>
        </w:rPr>
        <w:t>[</w:t>
      </w:r>
      <w:r w:rsidR="0035579E" w:rsidRPr="0035579E">
        <w:rPr>
          <w:i/>
        </w:rPr>
        <w:t>Fig_WSM_Database</w:t>
      </w:r>
      <w:r w:rsidR="0035579E" w:rsidRPr="00923C7F">
        <w:rPr>
          <w:i/>
        </w:rPr>
        <w:t>.JPG]</w:t>
      </w:r>
      <w:bookmarkEnd w:id="86"/>
    </w:p>
    <w:p w:rsidR="00E77712" w:rsidRDefault="00CA35F2" w:rsidP="00103F85">
      <w:pPr>
        <w:ind w:left="120"/>
        <w:rPr>
          <w:lang w:val="en-US"/>
        </w:rPr>
      </w:pPr>
      <w:r>
        <w:rPr>
          <w:lang w:val="en-US"/>
        </w:rPr>
        <w:br w:type="page"/>
      </w:r>
    </w:p>
    <w:tbl>
      <w:tblPr>
        <w:tblW w:w="9214" w:type="dxa"/>
        <w:tblInd w:w="212" w:type="dxa"/>
        <w:tblLayout w:type="fixed"/>
        <w:tblCellMar>
          <w:left w:w="70" w:type="dxa"/>
          <w:right w:w="70" w:type="dxa"/>
        </w:tblCellMar>
        <w:tblLook w:val="04A0" w:firstRow="1" w:lastRow="0" w:firstColumn="1" w:lastColumn="0" w:noHBand="0" w:noVBand="1"/>
      </w:tblPr>
      <w:tblGrid>
        <w:gridCol w:w="2835"/>
        <w:gridCol w:w="3544"/>
        <w:gridCol w:w="2835"/>
      </w:tblGrid>
      <w:tr w:rsidR="00E77712" w:rsidRPr="001D61E2" w:rsidTr="001D61E2">
        <w:trPr>
          <w:trHeight w:val="264"/>
        </w:trPr>
        <w:tc>
          <w:tcPr>
            <w:tcW w:w="921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77712" w:rsidRPr="001D61E2" w:rsidRDefault="00E77712" w:rsidP="00174177">
            <w:pPr>
              <w:spacing w:line="240" w:lineRule="auto"/>
              <w:rPr>
                <w:rFonts w:cs="Arial"/>
                <w:b/>
                <w:bCs/>
                <w:szCs w:val="18"/>
                <w:lang w:eastAsia="de-AT"/>
              </w:rPr>
            </w:pPr>
            <w:r w:rsidRPr="001D61E2">
              <w:rPr>
                <w:rFonts w:cs="Arial"/>
                <w:b/>
                <w:bCs/>
                <w:szCs w:val="18"/>
                <w:lang w:eastAsia="de-AT"/>
              </w:rPr>
              <w:t>Moment tenssor, earthquake mechanisms and recent stress orientation databases</w:t>
            </w:r>
          </w:p>
        </w:tc>
      </w:tr>
      <w:tr w:rsidR="00E77712" w:rsidRPr="001D61E2" w:rsidTr="001D61E2">
        <w:trPr>
          <w:trHeight w:val="264"/>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rsidR="00E77712" w:rsidRPr="001D61E2" w:rsidRDefault="00E77712" w:rsidP="00174177">
            <w:pPr>
              <w:spacing w:line="240" w:lineRule="auto"/>
              <w:rPr>
                <w:rFonts w:cs="Arial"/>
                <w:b/>
                <w:bCs/>
                <w:szCs w:val="18"/>
                <w:lang w:eastAsia="de-AT"/>
              </w:rPr>
            </w:pPr>
            <w:r w:rsidRPr="001D61E2">
              <w:rPr>
                <w:rFonts w:cs="Arial"/>
                <w:b/>
                <w:bCs/>
                <w:szCs w:val="18"/>
                <w:lang w:eastAsia="de-AT"/>
              </w:rPr>
              <w:t>Name</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rsidR="00E77712" w:rsidRPr="001D61E2" w:rsidRDefault="00E77712" w:rsidP="00174177">
            <w:pPr>
              <w:spacing w:line="240" w:lineRule="auto"/>
              <w:rPr>
                <w:rFonts w:cs="Arial"/>
                <w:b/>
                <w:bCs/>
                <w:szCs w:val="18"/>
                <w:lang w:eastAsia="de-AT"/>
              </w:rPr>
            </w:pPr>
            <w:r w:rsidRPr="001D61E2">
              <w:rPr>
                <w:rFonts w:cs="Arial"/>
                <w:b/>
                <w:bCs/>
                <w:szCs w:val="18"/>
                <w:lang w:eastAsia="de-AT"/>
              </w:rPr>
              <w:t xml:space="preserve">Link </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rsidR="00E77712" w:rsidRPr="001D61E2" w:rsidRDefault="00E77712" w:rsidP="00174177">
            <w:pPr>
              <w:spacing w:line="240" w:lineRule="auto"/>
              <w:rPr>
                <w:rFonts w:cs="Arial"/>
                <w:b/>
                <w:bCs/>
                <w:szCs w:val="18"/>
                <w:lang w:eastAsia="de-AT"/>
              </w:rPr>
            </w:pPr>
            <w:r w:rsidRPr="001D61E2">
              <w:rPr>
                <w:rFonts w:cs="Arial"/>
                <w:b/>
                <w:bCs/>
                <w:szCs w:val="18"/>
                <w:lang w:eastAsia="de-AT"/>
              </w:rPr>
              <w:t>Refernce</w:t>
            </w:r>
          </w:p>
        </w:tc>
      </w:tr>
      <w:tr w:rsidR="00E77712" w:rsidRPr="001D61E2" w:rsidTr="001D61E2">
        <w:trPr>
          <w:trHeight w:val="13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Global Centroid-Moment-Tensor (CMT) Database</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hyperlink r:id="rId51" w:history="1">
              <w:r w:rsidRPr="001D61E2">
                <w:rPr>
                  <w:rFonts w:cs="Arial"/>
                  <w:szCs w:val="18"/>
                  <w:lang w:eastAsia="de-AT"/>
                </w:rPr>
                <w:t>http://www.globalcmt.org/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Dziewonski et al., 1981</w:t>
            </w:r>
          </w:p>
        </w:tc>
      </w:tr>
      <w:tr w:rsidR="00E77712" w:rsidRPr="001D61E2" w:rsidTr="001D61E2">
        <w:trPr>
          <w:trHeight w:val="1056"/>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Global Centroid-Moment-Tensor (CMT) Database</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hyperlink r:id="rId52" w:history="1">
              <w:r w:rsidRPr="001D61E2">
                <w:rPr>
                  <w:rFonts w:cs="Arial"/>
                  <w:szCs w:val="18"/>
                  <w:lang w:eastAsia="de-AT"/>
                </w:rPr>
                <w:t>http://www.globalcmt.org/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Ekström et al., 2012</w:t>
            </w:r>
          </w:p>
        </w:tc>
      </w:tr>
      <w:tr w:rsidR="00E77712" w:rsidRPr="001D61E2" w:rsidTr="001D61E2">
        <w:trPr>
          <w:trHeight w:val="288"/>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EMSC quick Moment Tensor Sol</w:t>
            </w:r>
            <w:r w:rsidRPr="001D61E2">
              <w:rPr>
                <w:rFonts w:cs="Arial"/>
                <w:szCs w:val="18"/>
                <w:lang w:eastAsia="de-AT"/>
              </w:rPr>
              <w:t>u</w:t>
            </w:r>
            <w:r w:rsidRPr="001D61E2">
              <w:rPr>
                <w:rFonts w:cs="Arial"/>
                <w:szCs w:val="18"/>
                <w:lang w:eastAsia="de-AT"/>
              </w:rPr>
              <w:t>tions</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http://www.emsc-csem.org/Earthquake/index_tensors.php</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p>
        </w:tc>
      </w:tr>
      <w:tr w:rsidR="00E77712" w:rsidRPr="001D61E2" w:rsidTr="001D61E2">
        <w:trPr>
          <w:trHeight w:val="792"/>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USGS Moment Tensor and Broa</w:t>
            </w:r>
            <w:r w:rsidRPr="001D61E2">
              <w:rPr>
                <w:rFonts w:cs="Arial"/>
                <w:szCs w:val="18"/>
                <w:lang w:eastAsia="de-AT"/>
              </w:rPr>
              <w:t>d</w:t>
            </w:r>
            <w:r w:rsidRPr="001D61E2">
              <w:rPr>
                <w:rFonts w:cs="Arial"/>
                <w:szCs w:val="18"/>
                <w:lang w:eastAsia="de-AT"/>
              </w:rPr>
              <w:t>band Source Parameter Search</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http://earthquake.usgs.gov/earthquakes/eqarchives/sopar/</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p>
        </w:tc>
      </w:tr>
      <w:tr w:rsidR="00E77712" w:rsidRPr="001D61E2" w:rsidTr="001D61E2">
        <w:trPr>
          <w:trHeight w:val="528"/>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hyperlink r:id="rId53" w:history="1">
              <w:r w:rsidRPr="001D61E2">
                <w:rPr>
                  <w:rFonts w:cs="Arial"/>
                  <w:szCs w:val="18"/>
                  <w:lang w:eastAsia="de-AT"/>
                </w:rPr>
                <w:t>Moment Tensor Product Query - IRIS</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http://ds.iris.edu/spud/momenttensor</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p>
        </w:tc>
      </w:tr>
      <w:tr w:rsidR="00E77712" w:rsidRPr="001D61E2" w:rsidTr="001D61E2">
        <w:trPr>
          <w:trHeight w:val="528"/>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European-Mediterranean RCMT Catalogue</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http://www.bo.ingv.it/RCMT/searchRCMT.html</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p>
        </w:tc>
      </w:tr>
      <w:tr w:rsidR="00E77712" w:rsidRPr="001D61E2" w:rsidTr="001D61E2">
        <w:trPr>
          <w:trHeight w:val="792"/>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EMMA Database of Earthquake Mechanisms for European Area</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http://www.emsc-csem.org/Earthquake/emma.php</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Vanucci &amp; Gasperini, 2003</w:t>
            </w:r>
          </w:p>
        </w:tc>
      </w:tr>
      <w:tr w:rsidR="00E77712" w:rsidRPr="001D61E2" w:rsidTr="001D61E2">
        <w:trPr>
          <w:trHeight w:val="1056"/>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EMMA Database of Earthquake Mechanisms for European Area</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http://www.emsc-csem.org/Earthquake/emma.php</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Vanucci &amp; Gasperini, 2004</w:t>
            </w:r>
          </w:p>
        </w:tc>
      </w:tr>
      <w:tr w:rsidR="00E77712" w:rsidRPr="001D61E2" w:rsidTr="001D61E2">
        <w:trPr>
          <w:trHeight w:val="1056"/>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WSM World Stress Map database</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1D61E2" w:rsidP="00174177">
            <w:pPr>
              <w:spacing w:line="240" w:lineRule="auto"/>
              <w:rPr>
                <w:rFonts w:cs="Arial"/>
                <w:szCs w:val="18"/>
                <w:lang w:eastAsia="de-AT"/>
              </w:rPr>
            </w:pPr>
            <w:r>
              <w:rPr>
                <w:rFonts w:cs="Arial"/>
                <w:szCs w:val="18"/>
                <w:lang w:eastAsia="de-AT"/>
              </w:rPr>
              <w:t>http://dc-app3-14.gfz-pot</w:t>
            </w:r>
            <w:r>
              <w:rPr>
                <w:rFonts w:cs="Arial"/>
                <w:szCs w:val="18"/>
                <w:lang w:eastAsia="de-AT"/>
              </w:rPr>
              <w:t>s</w:t>
            </w:r>
            <w:r w:rsidR="00E77712" w:rsidRPr="001D61E2">
              <w:rPr>
                <w:rFonts w:cs="Arial"/>
                <w:szCs w:val="18"/>
                <w:lang w:eastAsia="de-AT"/>
              </w:rPr>
              <w:t>dam.de/pub/stress_data/stress_data_frame.html</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77712" w:rsidRPr="001D61E2" w:rsidRDefault="00E77712" w:rsidP="00174177">
            <w:pPr>
              <w:spacing w:line="240" w:lineRule="auto"/>
              <w:rPr>
                <w:rFonts w:cs="Arial"/>
                <w:szCs w:val="18"/>
                <w:lang w:eastAsia="de-AT"/>
              </w:rPr>
            </w:pPr>
            <w:r w:rsidRPr="001D61E2">
              <w:rPr>
                <w:rFonts w:cs="Arial"/>
                <w:szCs w:val="18"/>
                <w:lang w:eastAsia="de-AT"/>
              </w:rPr>
              <w:t>Heidbach et al., 2008</w:t>
            </w:r>
          </w:p>
        </w:tc>
      </w:tr>
    </w:tbl>
    <w:p w:rsidR="00E77712" w:rsidRDefault="00E77712" w:rsidP="00103F85">
      <w:pPr>
        <w:ind w:left="120"/>
        <w:rPr>
          <w:lang w:val="en-US"/>
        </w:rPr>
      </w:pPr>
    </w:p>
    <w:p w:rsidR="00E77712" w:rsidRPr="008A03C8" w:rsidRDefault="00E77712" w:rsidP="00E77712">
      <w:pPr>
        <w:pStyle w:val="ASAMPSAtable"/>
        <w:numPr>
          <w:ilvl w:val="0"/>
          <w:numId w:val="0"/>
        </w:numPr>
        <w:ind w:left="720" w:hanging="360"/>
        <w:jc w:val="left"/>
        <w:rPr>
          <w:iCs/>
        </w:rPr>
      </w:pPr>
      <w:bookmarkStart w:id="87" w:name="_Ref432492708"/>
      <w:bookmarkStart w:id="88" w:name="_Toc456012029"/>
      <w:r>
        <w:t xml:space="preserve">Table </w:t>
      </w:r>
      <w:r>
        <w:fldChar w:fldCharType="begin"/>
      </w:r>
      <w:r>
        <w:instrText xml:space="preserve"> SEQ Table \* ARABIC </w:instrText>
      </w:r>
      <w:r>
        <w:fldChar w:fldCharType="separate"/>
      </w:r>
      <w:r w:rsidR="00173034">
        <w:rPr>
          <w:noProof/>
        </w:rPr>
        <w:t>5</w:t>
      </w:r>
      <w:r>
        <w:fldChar w:fldCharType="end"/>
      </w:r>
      <w:bookmarkEnd w:id="87"/>
      <w:r>
        <w:t>.  List of moment tensor, earthquake mechanism and stress databases.</w:t>
      </w:r>
      <w:bookmarkEnd w:id="88"/>
    </w:p>
    <w:p w:rsidR="00E77712" w:rsidRDefault="00E77712" w:rsidP="00103F85">
      <w:pPr>
        <w:ind w:left="120"/>
        <w:rPr>
          <w:lang w:val="en-US"/>
        </w:rPr>
      </w:pPr>
    </w:p>
    <w:p w:rsidR="00030A4E" w:rsidRPr="00103F85" w:rsidRDefault="009E29ED" w:rsidP="00030A4E">
      <w:pPr>
        <w:pStyle w:val="Titre3"/>
        <w:rPr>
          <w:lang w:val="en-US"/>
        </w:rPr>
      </w:pPr>
      <w:r>
        <w:rPr>
          <w:b/>
          <w:i w:val="0"/>
          <w:lang w:val="en-US"/>
        </w:rPr>
        <w:br w:type="page"/>
      </w:r>
      <w:bookmarkStart w:id="89" w:name="_Toc456011893"/>
      <w:r w:rsidR="00030A4E">
        <w:rPr>
          <w:lang w:val="en-US"/>
        </w:rPr>
        <w:lastRenderedPageBreak/>
        <w:t>Active and capable fault databases</w:t>
      </w:r>
      <w:bookmarkEnd w:id="89"/>
    </w:p>
    <w:p w:rsidR="00A07465" w:rsidRDefault="008D6E2F" w:rsidP="00A07465">
      <w:pPr>
        <w:ind w:left="120"/>
        <w:rPr>
          <w:lang w:val="en-US"/>
        </w:rPr>
      </w:pPr>
      <w:r w:rsidRPr="00345FD1">
        <w:rPr>
          <w:b/>
          <w:i/>
          <w:lang w:val="en-US"/>
        </w:rPr>
        <w:t xml:space="preserve">Active </w:t>
      </w:r>
      <w:r w:rsidR="00345FD1">
        <w:rPr>
          <w:b/>
          <w:i/>
          <w:lang w:val="en-US"/>
        </w:rPr>
        <w:t xml:space="preserve">and capable </w:t>
      </w:r>
      <w:r w:rsidRPr="00345FD1">
        <w:rPr>
          <w:b/>
          <w:i/>
          <w:lang w:val="en-US"/>
        </w:rPr>
        <w:t>fault data</w:t>
      </w:r>
      <w:r w:rsidR="00345FD1">
        <w:rPr>
          <w:b/>
          <w:i/>
          <w:lang w:val="en-US"/>
        </w:rPr>
        <w:t>bases</w:t>
      </w:r>
      <w:r w:rsidR="00030A4E">
        <w:rPr>
          <w:b/>
          <w:i/>
          <w:lang w:val="en-US"/>
        </w:rPr>
        <w:t xml:space="preserve"> </w:t>
      </w:r>
      <w:r w:rsidR="003F0A61">
        <w:rPr>
          <w:lang w:val="en-US"/>
        </w:rPr>
        <w:t>which are maintained by geological surveys or academic research groups</w:t>
      </w:r>
      <w:r w:rsidR="00A07465" w:rsidRPr="00A07465">
        <w:rPr>
          <w:lang w:val="en-US"/>
        </w:rPr>
        <w:t xml:space="preserve"> </w:t>
      </w:r>
      <w:r w:rsidR="00A07465">
        <w:rPr>
          <w:lang w:val="en-US"/>
        </w:rPr>
        <w:t>only exist for a number of European countries</w:t>
      </w:r>
      <w:r w:rsidR="00CE7598">
        <w:rPr>
          <w:lang w:val="en-US"/>
        </w:rPr>
        <w:t>. References and links to these databases are included in</w:t>
      </w:r>
      <w:r w:rsidR="003F0A61">
        <w:rPr>
          <w:lang w:val="en-US"/>
        </w:rPr>
        <w:t xml:space="preserve"> </w:t>
      </w:r>
      <w:r w:rsidR="003F0A61">
        <w:rPr>
          <w:lang w:val="en-US"/>
        </w:rPr>
        <w:fldChar w:fldCharType="begin"/>
      </w:r>
      <w:r w:rsidR="003F0A61">
        <w:rPr>
          <w:lang w:val="en-US"/>
        </w:rPr>
        <w:instrText xml:space="preserve"> REF _Ref432406188 \h </w:instrText>
      </w:r>
      <w:r w:rsidR="003F0A61">
        <w:rPr>
          <w:lang w:val="en-US"/>
        </w:rPr>
      </w:r>
      <w:r w:rsidR="003F0A61">
        <w:rPr>
          <w:lang w:val="en-US"/>
        </w:rPr>
        <w:fldChar w:fldCharType="separate"/>
      </w:r>
      <w:r w:rsidR="00173034">
        <w:t xml:space="preserve">Table </w:t>
      </w:r>
      <w:r w:rsidR="00173034">
        <w:rPr>
          <w:noProof/>
        </w:rPr>
        <w:t>6</w:t>
      </w:r>
      <w:r w:rsidR="003F0A61">
        <w:rPr>
          <w:lang w:val="en-US"/>
        </w:rPr>
        <w:fldChar w:fldCharType="end"/>
      </w:r>
      <w:r w:rsidR="003F0A61">
        <w:rPr>
          <w:lang w:val="en-US"/>
        </w:rPr>
        <w:t>.</w:t>
      </w:r>
      <w:r w:rsidR="00EB3457">
        <w:rPr>
          <w:lang w:val="en-US"/>
        </w:rPr>
        <w:t xml:space="preserve"> </w:t>
      </w:r>
      <w:r w:rsidR="00A07465">
        <w:rPr>
          <w:lang w:val="en-US"/>
        </w:rPr>
        <w:t xml:space="preserve">A comprehensive databases of active and capable faults in Europe does currently not exist. The only </w:t>
      </w:r>
      <w:r w:rsidR="009E29ED">
        <w:rPr>
          <w:lang w:val="en-US"/>
        </w:rPr>
        <w:t xml:space="preserve">available </w:t>
      </w:r>
      <w:r w:rsidR="00A07465">
        <w:rPr>
          <w:lang w:val="en-US"/>
        </w:rPr>
        <w:t>E</w:t>
      </w:r>
      <w:r w:rsidR="00A07465">
        <w:rPr>
          <w:lang w:val="en-US"/>
        </w:rPr>
        <w:t>u</w:t>
      </w:r>
      <w:r w:rsidR="00A07465">
        <w:rPr>
          <w:lang w:val="en-US"/>
        </w:rPr>
        <w:t xml:space="preserve">ropean scale database </w:t>
      </w:r>
      <w:r w:rsidR="00700DFD">
        <w:rPr>
          <w:lang w:val="en-US"/>
        </w:rPr>
        <w:t xml:space="preserve">has </w:t>
      </w:r>
      <w:r w:rsidR="00A07465">
        <w:rPr>
          <w:lang w:val="en-US"/>
        </w:rPr>
        <w:t xml:space="preserve">been established by </w:t>
      </w:r>
      <w:r w:rsidR="009E29ED">
        <w:rPr>
          <w:lang w:val="en-US"/>
        </w:rPr>
        <w:t xml:space="preserve">the </w:t>
      </w:r>
      <w:r w:rsidR="00A07465">
        <w:rPr>
          <w:lang w:val="en-US"/>
        </w:rPr>
        <w:t xml:space="preserve">SHARE </w:t>
      </w:r>
      <w:r w:rsidR="009E29ED">
        <w:rPr>
          <w:lang w:val="en-US"/>
        </w:rPr>
        <w:t xml:space="preserve">project </w:t>
      </w:r>
      <w:r w:rsidR="00A07465">
        <w:rPr>
          <w:lang w:val="en-US"/>
        </w:rPr>
        <w:t>(</w:t>
      </w:r>
      <w:r w:rsidR="009E29ED">
        <w:rPr>
          <w:lang w:val="en-US"/>
        </w:rPr>
        <w:t xml:space="preserve">SHARE, </w:t>
      </w:r>
      <w:r w:rsidR="00A07465">
        <w:rPr>
          <w:lang w:val="en-US"/>
        </w:rPr>
        <w:t xml:space="preserve">2012). The database </w:t>
      </w:r>
      <w:r w:rsidR="00EB3457">
        <w:rPr>
          <w:lang w:val="en-US"/>
        </w:rPr>
        <w:t>almost exclusiv</w:t>
      </w:r>
      <w:r w:rsidR="00EB3457">
        <w:rPr>
          <w:lang w:val="en-US"/>
        </w:rPr>
        <w:t>e</w:t>
      </w:r>
      <w:r w:rsidR="00EB3457">
        <w:rPr>
          <w:lang w:val="en-US"/>
        </w:rPr>
        <w:t xml:space="preserve">ly </w:t>
      </w:r>
      <w:r w:rsidR="00A07465">
        <w:rPr>
          <w:lang w:val="en-US"/>
        </w:rPr>
        <w:t>contains information from</w:t>
      </w:r>
      <w:r w:rsidR="00EB3457">
        <w:rPr>
          <w:lang w:val="en-US"/>
        </w:rPr>
        <w:t xml:space="preserve"> those </w:t>
      </w:r>
      <w:r w:rsidR="00A07465">
        <w:rPr>
          <w:lang w:val="en-US"/>
        </w:rPr>
        <w:t xml:space="preserve">European countries </w:t>
      </w:r>
      <w:r w:rsidR="00EB3457">
        <w:rPr>
          <w:lang w:val="en-US"/>
        </w:rPr>
        <w:t>which participated in the SHARE project (</w:t>
      </w:r>
      <w:r w:rsidR="0042382F">
        <w:rPr>
          <w:lang w:val="en-US"/>
        </w:rPr>
        <w:fldChar w:fldCharType="begin"/>
      </w:r>
      <w:r w:rsidR="0042382F">
        <w:rPr>
          <w:lang w:val="en-US"/>
        </w:rPr>
        <w:instrText xml:space="preserve"> REF _Ref451164782 \h </w:instrText>
      </w:r>
      <w:r w:rsidR="0042382F">
        <w:rPr>
          <w:lang w:val="en-US"/>
        </w:rPr>
      </w:r>
      <w:r w:rsidR="0042382F">
        <w:rPr>
          <w:lang w:val="en-US"/>
        </w:rPr>
        <w:fldChar w:fldCharType="separate"/>
      </w:r>
      <w:r w:rsidR="00173034">
        <w:t xml:space="preserve">Figure </w:t>
      </w:r>
      <w:r w:rsidR="00173034">
        <w:rPr>
          <w:noProof/>
        </w:rPr>
        <w:t>4</w:t>
      </w:r>
      <w:r w:rsidR="0042382F">
        <w:rPr>
          <w:lang w:val="en-US"/>
        </w:rPr>
        <w:fldChar w:fldCharType="end"/>
      </w:r>
      <w:r w:rsidR="00EB3457">
        <w:rPr>
          <w:lang w:val="en-US"/>
        </w:rPr>
        <w:t xml:space="preserve">, </w:t>
      </w:r>
      <w:r w:rsidR="00A07465">
        <w:rPr>
          <w:lang w:val="en-US"/>
        </w:rPr>
        <w:fldChar w:fldCharType="begin"/>
      </w:r>
      <w:r w:rsidR="00A07465">
        <w:rPr>
          <w:lang w:val="en-US"/>
        </w:rPr>
        <w:instrText xml:space="preserve"> REF _Ref432406188 \h </w:instrText>
      </w:r>
      <w:r w:rsidR="00A07465">
        <w:rPr>
          <w:lang w:val="en-US"/>
        </w:rPr>
      </w:r>
      <w:r w:rsidR="00A07465">
        <w:rPr>
          <w:lang w:val="en-US"/>
        </w:rPr>
        <w:fldChar w:fldCharType="separate"/>
      </w:r>
      <w:r w:rsidR="00173034">
        <w:t xml:space="preserve">Table </w:t>
      </w:r>
      <w:r w:rsidR="00173034">
        <w:rPr>
          <w:noProof/>
        </w:rPr>
        <w:t>6</w:t>
      </w:r>
      <w:r w:rsidR="00A07465">
        <w:rPr>
          <w:lang w:val="en-US"/>
        </w:rPr>
        <w:fldChar w:fldCharType="end"/>
      </w:r>
      <w:r w:rsidR="00EB3457">
        <w:rPr>
          <w:lang w:val="en-US"/>
        </w:rPr>
        <w:t>)</w:t>
      </w:r>
      <w:r w:rsidR="00A07465">
        <w:rPr>
          <w:lang w:val="en-US"/>
        </w:rPr>
        <w:t>.</w:t>
      </w:r>
    </w:p>
    <w:p w:rsidR="005F4B2B" w:rsidRDefault="005F4B2B" w:rsidP="00103F85">
      <w:pPr>
        <w:ind w:left="120"/>
        <w:rPr>
          <w:lang w:val="en-US"/>
        </w:rPr>
      </w:pPr>
    </w:p>
    <w:p w:rsidR="005F4B2B" w:rsidRDefault="00FA7DEE" w:rsidP="00C05E5E">
      <w:pPr>
        <w:ind w:left="120"/>
        <w:jc w:val="center"/>
        <w:rPr>
          <w:lang w:val="en-US"/>
        </w:rPr>
      </w:pPr>
      <w:r>
        <w:rPr>
          <w:lang w:val="en-US"/>
        </w:rPr>
        <w:pict>
          <v:shape id="_x0000_i1030" type="#_x0000_t75" style="width:445.4pt;height:450.5pt">
            <v:imagedata r:id="rId54" o:title="Fig_SHARE_overview_map"/>
          </v:shape>
        </w:pict>
      </w:r>
    </w:p>
    <w:p w:rsidR="004E1319" w:rsidRDefault="004E1319" w:rsidP="00103F85">
      <w:pPr>
        <w:ind w:left="120"/>
        <w:rPr>
          <w:lang w:val="en-US"/>
        </w:rPr>
      </w:pPr>
    </w:p>
    <w:p w:rsidR="005F4B2B" w:rsidRPr="00923C7F" w:rsidRDefault="0042382F" w:rsidP="0042382F">
      <w:pPr>
        <w:pStyle w:val="Lgende"/>
        <w:jc w:val="center"/>
        <w:rPr>
          <w:i/>
        </w:rPr>
      </w:pPr>
      <w:bookmarkStart w:id="90" w:name="_Ref451164782"/>
      <w:bookmarkStart w:id="91" w:name="_Toc456012040"/>
      <w:r>
        <w:t xml:space="preserve">Figure </w:t>
      </w:r>
      <w:r>
        <w:fldChar w:fldCharType="begin"/>
      </w:r>
      <w:r>
        <w:instrText xml:space="preserve"> SEQ Figure \* ARABIC </w:instrText>
      </w:r>
      <w:r>
        <w:fldChar w:fldCharType="separate"/>
      </w:r>
      <w:r w:rsidR="00173034">
        <w:rPr>
          <w:noProof/>
        </w:rPr>
        <w:t>4</w:t>
      </w:r>
      <w:r>
        <w:fldChar w:fldCharType="end"/>
      </w:r>
      <w:bookmarkEnd w:id="90"/>
      <w:r>
        <w:t xml:space="preserve">. </w:t>
      </w:r>
      <w:r w:rsidR="005F4B2B">
        <w:t xml:space="preserve">Active and capable fault data: coverage of the SHARE database (SHARE, 2012) </w:t>
      </w:r>
      <w:r w:rsidR="005F4B2B" w:rsidRPr="00923C7F">
        <w:rPr>
          <w:i/>
        </w:rPr>
        <w:t>[</w:t>
      </w:r>
      <w:r w:rsidR="005F4B2B" w:rsidRPr="005F4B2B">
        <w:rPr>
          <w:i/>
        </w:rPr>
        <w:t>Fig_SHARE_overview_map</w:t>
      </w:r>
      <w:r w:rsidR="005F4B2B" w:rsidRPr="00923C7F">
        <w:rPr>
          <w:i/>
        </w:rPr>
        <w:t>.JPG]</w:t>
      </w:r>
      <w:bookmarkEnd w:id="91"/>
    </w:p>
    <w:p w:rsidR="00345FD1" w:rsidRDefault="00345FD1" w:rsidP="00103F85">
      <w:pPr>
        <w:ind w:left="120"/>
        <w:rPr>
          <w:lang w:val="en-US"/>
        </w:rPr>
      </w:pPr>
    </w:p>
    <w:tbl>
      <w:tblPr>
        <w:tblW w:w="9356" w:type="dxa"/>
        <w:tblInd w:w="212" w:type="dxa"/>
        <w:tblCellMar>
          <w:left w:w="70" w:type="dxa"/>
          <w:right w:w="70" w:type="dxa"/>
        </w:tblCellMar>
        <w:tblLook w:val="04A0" w:firstRow="1" w:lastRow="0" w:firstColumn="1" w:lastColumn="0" w:noHBand="0" w:noVBand="1"/>
      </w:tblPr>
      <w:tblGrid>
        <w:gridCol w:w="1559"/>
        <w:gridCol w:w="851"/>
        <w:gridCol w:w="1018"/>
        <w:gridCol w:w="5928"/>
      </w:tblGrid>
      <w:tr w:rsidR="00554522" w:rsidRPr="001D61E2" w:rsidTr="001D61E2">
        <w:trPr>
          <w:trHeight w:val="420"/>
        </w:trPr>
        <w:tc>
          <w:tcPr>
            <w:tcW w:w="3428" w:type="dxa"/>
            <w:gridSpan w:val="3"/>
            <w:tcBorders>
              <w:top w:val="single" w:sz="4" w:space="0" w:color="auto"/>
              <w:left w:val="single" w:sz="4" w:space="0" w:color="auto"/>
              <w:bottom w:val="single" w:sz="4" w:space="0" w:color="auto"/>
              <w:right w:val="nil"/>
            </w:tcBorders>
            <w:shd w:val="clear" w:color="auto" w:fill="auto"/>
            <w:noWrap/>
            <w:hideMark/>
          </w:tcPr>
          <w:p w:rsidR="00554522" w:rsidRPr="001D61E2" w:rsidRDefault="00554522" w:rsidP="00ED4070">
            <w:pPr>
              <w:spacing w:line="240" w:lineRule="auto"/>
              <w:jc w:val="left"/>
              <w:rPr>
                <w:b/>
                <w:bCs/>
                <w:color w:val="000000"/>
                <w:szCs w:val="18"/>
                <w:lang w:eastAsia="de-AT"/>
              </w:rPr>
            </w:pPr>
            <w:r w:rsidRPr="001D61E2">
              <w:rPr>
                <w:b/>
                <w:bCs/>
                <w:color w:val="000000"/>
                <w:szCs w:val="18"/>
                <w:lang w:eastAsia="de-AT"/>
              </w:rPr>
              <w:t>Active an</w:t>
            </w:r>
            <w:r w:rsidR="00ED4070" w:rsidRPr="001D61E2">
              <w:rPr>
                <w:b/>
                <w:bCs/>
                <w:color w:val="000000"/>
                <w:szCs w:val="18"/>
                <w:lang w:eastAsia="de-AT"/>
              </w:rPr>
              <w:t>d</w:t>
            </w:r>
            <w:r w:rsidRPr="001D61E2">
              <w:rPr>
                <w:b/>
                <w:bCs/>
                <w:color w:val="000000"/>
                <w:szCs w:val="18"/>
                <w:lang w:eastAsia="de-AT"/>
              </w:rPr>
              <w:t xml:space="preserve"> capable fault databases</w:t>
            </w:r>
          </w:p>
        </w:tc>
        <w:tc>
          <w:tcPr>
            <w:tcW w:w="5928" w:type="dxa"/>
            <w:tcBorders>
              <w:top w:val="single" w:sz="4" w:space="0" w:color="auto"/>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b/>
                <w:bCs/>
                <w:color w:val="000000"/>
                <w:szCs w:val="18"/>
                <w:lang w:eastAsia="de-AT"/>
              </w:rPr>
            </w:pPr>
          </w:p>
        </w:tc>
      </w:tr>
      <w:tr w:rsidR="00554522" w:rsidRPr="001D61E2" w:rsidTr="001D61E2">
        <w:trPr>
          <w:trHeight w:val="288"/>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b/>
                <w:color w:val="000000"/>
                <w:szCs w:val="18"/>
                <w:lang w:val="de-AT" w:eastAsia="de-AT"/>
              </w:rPr>
            </w:pPr>
            <w:r w:rsidRPr="001D61E2">
              <w:rPr>
                <w:b/>
                <w:color w:val="000000"/>
                <w:szCs w:val="18"/>
                <w:lang w:val="de-AT" w:eastAsia="de-AT"/>
              </w:rPr>
              <w:t>Country</w:t>
            </w:r>
          </w:p>
        </w:tc>
        <w:tc>
          <w:tcPr>
            <w:tcW w:w="851" w:type="dxa"/>
            <w:tcBorders>
              <w:top w:val="single" w:sz="4" w:space="0" w:color="auto"/>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b/>
                <w:color w:val="000000"/>
                <w:szCs w:val="18"/>
                <w:lang w:val="de-AT" w:eastAsia="de-AT"/>
              </w:rPr>
            </w:pPr>
            <w:r w:rsidRPr="001D61E2">
              <w:rPr>
                <w:b/>
                <w:color w:val="000000"/>
                <w:szCs w:val="18"/>
                <w:lang w:val="de-AT" w:eastAsia="de-AT"/>
              </w:rPr>
              <w:t xml:space="preserve">SHARE </w:t>
            </w:r>
            <w:r w:rsidRPr="001D61E2">
              <w:rPr>
                <w:b/>
                <w:color w:val="000000"/>
                <w:szCs w:val="18"/>
                <w:vertAlign w:val="superscript"/>
                <w:lang w:val="de-AT" w:eastAsia="de-AT"/>
              </w:rPr>
              <w:t>1</w:t>
            </w:r>
          </w:p>
        </w:tc>
        <w:tc>
          <w:tcPr>
            <w:tcW w:w="1018" w:type="dxa"/>
            <w:tcBorders>
              <w:top w:val="single" w:sz="4" w:space="0" w:color="auto"/>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b/>
                <w:color w:val="000000"/>
                <w:szCs w:val="18"/>
                <w:lang w:val="de-AT" w:eastAsia="de-AT"/>
              </w:rPr>
            </w:pPr>
            <w:r w:rsidRPr="001D61E2">
              <w:rPr>
                <w:b/>
                <w:color w:val="000000"/>
                <w:szCs w:val="18"/>
                <w:lang w:val="de-AT" w:eastAsia="de-AT"/>
              </w:rPr>
              <w:t>National Database</w:t>
            </w:r>
          </w:p>
        </w:tc>
        <w:tc>
          <w:tcPr>
            <w:tcW w:w="5928" w:type="dxa"/>
            <w:tcBorders>
              <w:top w:val="single" w:sz="4" w:space="0" w:color="auto"/>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b/>
                <w:color w:val="000000"/>
                <w:szCs w:val="18"/>
                <w:lang w:val="de-AT" w:eastAsia="de-AT"/>
              </w:rPr>
            </w:pPr>
            <w:r w:rsidRPr="001D61E2">
              <w:rPr>
                <w:b/>
                <w:color w:val="000000"/>
                <w:szCs w:val="18"/>
                <w:lang w:val="de-AT" w:eastAsia="de-AT"/>
              </w:rPr>
              <w:t> </w:t>
            </w:r>
          </w:p>
        </w:tc>
      </w:tr>
      <w:tr w:rsidR="00554522" w:rsidRPr="001D61E2" w:rsidTr="001D61E2">
        <w:trPr>
          <w:trHeight w:val="576"/>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Austria</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In preperation (Austrian Geological Survey &amp; University Vienna)</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Belgium</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2C67A0">
            <w:pPr>
              <w:spacing w:line="240" w:lineRule="auto"/>
              <w:jc w:val="left"/>
              <w:rPr>
                <w:color w:val="000000"/>
                <w:szCs w:val="18"/>
                <w:lang w:val="de-AT" w:eastAsia="de-AT"/>
              </w:rPr>
            </w:pPr>
            <w:r w:rsidRPr="001D61E2">
              <w:rPr>
                <w:color w:val="000000"/>
                <w:szCs w:val="18"/>
                <w:lang w:val="de-AT" w:eastAsia="de-AT"/>
              </w:rPr>
              <w:t xml:space="preserve">No </w:t>
            </w:r>
            <w:r w:rsidR="002C67A0">
              <w:rPr>
                <w:color w:val="000000"/>
                <w:szCs w:val="18"/>
                <w:lang w:val="de-AT" w:eastAsia="de-AT"/>
              </w:rPr>
              <w:t>²</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tabs>
                <w:tab w:val="left" w:pos="2328"/>
              </w:tabs>
              <w:spacing w:line="240" w:lineRule="auto"/>
              <w:jc w:val="left"/>
              <w:rPr>
                <w:color w:val="000000"/>
                <w:szCs w:val="18"/>
                <w:lang w:val="de-AT" w:eastAsia="de-AT"/>
              </w:rPr>
            </w:pPr>
            <w:r w:rsidRPr="001D61E2">
              <w:rPr>
                <w:color w:val="000000"/>
                <w:szCs w:val="18"/>
                <w:lang w:val="de-AT" w:eastAsia="de-AT"/>
              </w:rPr>
              <w:t xml:space="preserve">Lower Rhine Graben  (Vanneste et al., 2013) </w:t>
            </w:r>
            <w:r w:rsidRPr="001D61E2">
              <w:rPr>
                <w:color w:val="000000"/>
                <w:szCs w:val="18"/>
                <w:vertAlign w:val="superscript"/>
                <w:lang w:val="de-AT" w:eastAsia="de-AT"/>
              </w:rPr>
              <w:t>2</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Bulgaria</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Croatia</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Czech Republic</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2C67A0">
            <w:pPr>
              <w:spacing w:line="240" w:lineRule="auto"/>
              <w:jc w:val="left"/>
              <w:rPr>
                <w:color w:val="000000"/>
                <w:szCs w:val="18"/>
                <w:lang w:val="de-AT" w:eastAsia="de-AT"/>
              </w:rPr>
            </w:pPr>
            <w:r w:rsidRPr="001D61E2">
              <w:rPr>
                <w:color w:val="000000"/>
                <w:szCs w:val="18"/>
                <w:lang w:val="de-AT" w:eastAsia="de-AT"/>
              </w:rPr>
              <w:t xml:space="preserve">No </w:t>
            </w:r>
            <w:r w:rsidR="002C67A0">
              <w:rPr>
                <w:color w:val="000000"/>
                <w:szCs w:val="18"/>
                <w:lang w:val="de-AT" w:eastAsia="de-AT"/>
              </w:rPr>
              <w:t>²</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Denmark</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2C67A0"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Finland</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r w:rsidR="002C67A0">
              <w:rPr>
                <w:color w:val="000000"/>
                <w:szCs w:val="18"/>
                <w:lang w:val="de-AT" w:eastAsia="de-AT"/>
              </w:rPr>
              <w:t>²</w:t>
            </w:r>
          </w:p>
        </w:tc>
        <w:tc>
          <w:tcPr>
            <w:tcW w:w="5928" w:type="dxa"/>
            <w:tcBorders>
              <w:top w:val="nil"/>
              <w:left w:val="nil"/>
              <w:bottom w:val="single" w:sz="4" w:space="0" w:color="auto"/>
              <w:right w:val="single" w:sz="4" w:space="0" w:color="auto"/>
            </w:tcBorders>
            <w:shd w:val="clear" w:color="auto" w:fill="auto"/>
            <w:hideMark/>
          </w:tcPr>
          <w:p w:rsidR="00554522" w:rsidRPr="002C67A0" w:rsidRDefault="00554522" w:rsidP="00554522">
            <w:pPr>
              <w:spacing w:line="240" w:lineRule="auto"/>
              <w:jc w:val="left"/>
              <w:rPr>
                <w:color w:val="000000"/>
                <w:szCs w:val="18"/>
                <w:lang w:eastAsia="de-AT"/>
              </w:rPr>
            </w:pPr>
            <w:r w:rsidRPr="002C67A0">
              <w:rPr>
                <w:color w:val="000000"/>
                <w:szCs w:val="18"/>
                <w:lang w:eastAsia="de-AT"/>
              </w:rPr>
              <w:t> </w:t>
            </w:r>
            <w:r w:rsidR="002C67A0" w:rsidRPr="002C67A0">
              <w:rPr>
                <w:color w:val="000000"/>
                <w:szCs w:val="18"/>
                <w:lang w:eastAsia="de-AT"/>
              </w:rPr>
              <w:t>Kiuvamäki et al.,</w:t>
            </w:r>
            <w:r w:rsidR="002C67A0">
              <w:rPr>
                <w:color w:val="000000"/>
                <w:szCs w:val="18"/>
                <w:lang w:eastAsia="de-AT"/>
              </w:rPr>
              <w:t xml:space="preserve"> 1998</w:t>
            </w:r>
          </w:p>
        </w:tc>
      </w:tr>
      <w:tr w:rsidR="00554522" w:rsidRPr="001D61E2" w:rsidTr="001D61E2">
        <w:trPr>
          <w:trHeight w:val="576"/>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2C67A0" w:rsidRDefault="00554522" w:rsidP="00554522">
            <w:pPr>
              <w:spacing w:line="240" w:lineRule="auto"/>
              <w:rPr>
                <w:color w:val="000000"/>
                <w:szCs w:val="18"/>
                <w:lang w:eastAsia="de-AT"/>
              </w:rPr>
            </w:pPr>
            <w:r w:rsidRPr="002C67A0">
              <w:rPr>
                <w:color w:val="000000"/>
                <w:szCs w:val="18"/>
                <w:lang w:eastAsia="de-AT"/>
              </w:rPr>
              <w:t>France</w:t>
            </w:r>
          </w:p>
        </w:tc>
        <w:tc>
          <w:tcPr>
            <w:tcW w:w="851" w:type="dxa"/>
            <w:tcBorders>
              <w:top w:val="nil"/>
              <w:left w:val="nil"/>
              <w:bottom w:val="single" w:sz="4" w:space="0" w:color="auto"/>
              <w:right w:val="single" w:sz="4" w:space="0" w:color="auto"/>
            </w:tcBorders>
            <w:shd w:val="clear" w:color="auto" w:fill="auto"/>
            <w:noWrap/>
            <w:hideMark/>
          </w:tcPr>
          <w:p w:rsidR="00554522" w:rsidRPr="002C67A0" w:rsidRDefault="00554522" w:rsidP="002C67A0">
            <w:pPr>
              <w:spacing w:line="240" w:lineRule="auto"/>
              <w:jc w:val="left"/>
              <w:rPr>
                <w:color w:val="000000"/>
                <w:szCs w:val="18"/>
                <w:lang w:eastAsia="de-AT"/>
              </w:rPr>
            </w:pPr>
            <w:r w:rsidRPr="002C67A0">
              <w:rPr>
                <w:color w:val="000000"/>
                <w:szCs w:val="18"/>
                <w:lang w:eastAsia="de-AT"/>
              </w:rPr>
              <w:t xml:space="preserve">No </w:t>
            </w:r>
            <w:r w:rsidR="002C67A0" w:rsidRPr="002C67A0">
              <w:rPr>
                <w:color w:val="000000"/>
                <w:szCs w:val="18"/>
                <w:lang w:eastAsia="de-AT"/>
              </w:rPr>
              <w:t>²</w:t>
            </w:r>
          </w:p>
        </w:tc>
        <w:tc>
          <w:tcPr>
            <w:tcW w:w="1018" w:type="dxa"/>
            <w:tcBorders>
              <w:top w:val="nil"/>
              <w:left w:val="nil"/>
              <w:bottom w:val="single" w:sz="4" w:space="0" w:color="auto"/>
              <w:right w:val="single" w:sz="4" w:space="0" w:color="auto"/>
            </w:tcBorders>
            <w:shd w:val="clear" w:color="auto" w:fill="auto"/>
            <w:noWrap/>
            <w:hideMark/>
          </w:tcPr>
          <w:p w:rsidR="00554522" w:rsidRPr="002C67A0" w:rsidRDefault="00554522" w:rsidP="00554522">
            <w:pPr>
              <w:spacing w:line="240" w:lineRule="auto"/>
              <w:rPr>
                <w:color w:val="000000"/>
                <w:szCs w:val="18"/>
                <w:lang w:eastAsia="de-AT"/>
              </w:rPr>
            </w:pPr>
            <w:r w:rsidRPr="002C67A0">
              <w:rPr>
                <w:color w:val="000000"/>
                <w:szCs w:val="18"/>
                <w:lang w:eastAsia="de-AT"/>
              </w:rPr>
              <w:t xml:space="preserve">NEOPAL </w:t>
            </w:r>
            <w:r w:rsidRPr="002C67A0">
              <w:rPr>
                <w:color w:val="000000"/>
                <w:szCs w:val="18"/>
                <w:vertAlign w:val="superscript"/>
                <w:lang w:eastAsia="de-AT"/>
              </w:rPr>
              <w:t>3</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French Database of Recent Deformation and Paleoseismicity</w:t>
            </w:r>
          </w:p>
          <w:p w:rsidR="00554522" w:rsidRPr="001D61E2" w:rsidRDefault="00554522" w:rsidP="00554522">
            <w:pPr>
              <w:spacing w:line="240" w:lineRule="auto"/>
              <w:jc w:val="left"/>
              <w:rPr>
                <w:color w:val="000000"/>
                <w:szCs w:val="18"/>
                <w:lang w:eastAsia="de-AT"/>
              </w:rPr>
            </w:pPr>
            <w:hyperlink r:id="rId55" w:history="1">
              <w:r w:rsidRPr="001D61E2">
                <w:rPr>
                  <w:rStyle w:val="Lienhypertexte"/>
                  <w:szCs w:val="18"/>
                  <w:lang w:eastAsia="de-AT"/>
                </w:rPr>
                <w:t>http://www.neopal.net/</w:t>
              </w:r>
            </w:hyperlink>
          </w:p>
        </w:tc>
      </w:tr>
      <w:tr w:rsidR="00554522" w:rsidRPr="001D61E2" w:rsidTr="001D61E2">
        <w:trPr>
          <w:trHeight w:val="576"/>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Germany</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2C67A0">
            <w:pPr>
              <w:spacing w:line="240" w:lineRule="auto"/>
              <w:jc w:val="left"/>
              <w:rPr>
                <w:color w:val="000000"/>
                <w:szCs w:val="18"/>
                <w:lang w:val="de-AT" w:eastAsia="de-AT"/>
              </w:rPr>
            </w:pPr>
            <w:r w:rsidRPr="001D61E2">
              <w:rPr>
                <w:color w:val="000000"/>
                <w:szCs w:val="18"/>
                <w:lang w:val="de-AT" w:eastAsia="de-AT"/>
              </w:rPr>
              <w:t xml:space="preserve">No </w:t>
            </w:r>
            <w:r w:rsidR="002C67A0">
              <w:rPr>
                <w:color w:val="000000"/>
                <w:szCs w:val="18"/>
                <w:lang w:val="de-AT" w:eastAsia="de-AT"/>
              </w:rPr>
              <w:t>²</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xml:space="preserve">In preperation (BGR &amp; Aachen University) </w:t>
            </w:r>
          </w:p>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(Hürtgen et al., 2014)</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Hungary</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830AD" w:rsidRPr="001D61E2" w:rsidRDefault="005830AD" w:rsidP="005830AD">
            <w:pPr>
              <w:spacing w:line="240" w:lineRule="auto"/>
              <w:jc w:val="left"/>
              <w:rPr>
                <w:color w:val="000000"/>
                <w:szCs w:val="18"/>
                <w:lang w:eastAsia="de-AT"/>
              </w:rPr>
            </w:pPr>
            <w:r w:rsidRPr="001D61E2">
              <w:rPr>
                <w:color w:val="000000"/>
                <w:szCs w:val="18"/>
                <w:lang w:eastAsia="de-AT"/>
              </w:rPr>
              <w:t xml:space="preserve">Atlas of present-day geodynamics of the Pannonian Basin: neotectonic (actdive) structures (Horváth &amp; Bada) </w:t>
            </w:r>
            <w:hyperlink r:id="rId56" w:history="1">
              <w:r w:rsidRPr="001D61E2">
                <w:rPr>
                  <w:rStyle w:val="Lienhypertexte"/>
                  <w:szCs w:val="18"/>
                  <w:lang w:eastAsia="de-AT"/>
                </w:rPr>
                <w:t>http://geophysics.elte.hu/atlas/geodin_atlas.htm</w:t>
              </w:r>
            </w:hyperlink>
          </w:p>
        </w:tc>
      </w:tr>
      <w:tr w:rsidR="005830AD" w:rsidRPr="001D61E2" w:rsidTr="001D61E2">
        <w:trPr>
          <w:trHeight w:val="546"/>
        </w:trPr>
        <w:tc>
          <w:tcPr>
            <w:tcW w:w="1559" w:type="dxa"/>
            <w:tcBorders>
              <w:top w:val="single" w:sz="4" w:space="0" w:color="auto"/>
              <w:left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Italy</w:t>
            </w:r>
          </w:p>
        </w:tc>
        <w:tc>
          <w:tcPr>
            <w:tcW w:w="851" w:type="dxa"/>
            <w:tcBorders>
              <w:top w:val="single" w:sz="4" w:space="0" w:color="auto"/>
              <w:left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single" w:sz="4" w:space="0" w:color="auto"/>
              <w:left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ITHACA</w:t>
            </w:r>
          </w:p>
        </w:tc>
        <w:tc>
          <w:tcPr>
            <w:tcW w:w="5928" w:type="dxa"/>
            <w:tcBorders>
              <w:top w:val="single" w:sz="4" w:space="0" w:color="auto"/>
              <w:left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Italian Database of Capable Faults (Michetti et al., 2000)</w:t>
            </w:r>
          </w:p>
          <w:p w:rsidR="00554522" w:rsidRPr="001D61E2" w:rsidRDefault="00554522" w:rsidP="00554522">
            <w:pPr>
              <w:spacing w:line="240" w:lineRule="auto"/>
              <w:jc w:val="left"/>
              <w:rPr>
                <w:color w:val="000000"/>
                <w:szCs w:val="18"/>
                <w:lang w:eastAsia="de-AT"/>
              </w:rPr>
            </w:pPr>
            <w:hyperlink r:id="rId57" w:history="1">
              <w:r w:rsidRPr="001D61E2">
                <w:rPr>
                  <w:rStyle w:val="Lienhypertexte"/>
                  <w:szCs w:val="18"/>
                  <w:lang w:eastAsia="de-AT"/>
                </w:rPr>
                <w:t>http://sgi1.isprambiente.it/GeoMapViewer/index.html</w:t>
              </w:r>
            </w:hyperlink>
          </w:p>
        </w:tc>
      </w:tr>
      <w:tr w:rsidR="005830AD" w:rsidRPr="001D61E2" w:rsidTr="001D61E2">
        <w:trPr>
          <w:trHeight w:val="576"/>
        </w:trPr>
        <w:tc>
          <w:tcPr>
            <w:tcW w:w="1559" w:type="dxa"/>
            <w:tcBorders>
              <w:top w:val="nil"/>
              <w:left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eastAsia="de-AT"/>
              </w:rPr>
            </w:pPr>
          </w:p>
        </w:tc>
        <w:tc>
          <w:tcPr>
            <w:tcW w:w="851" w:type="dxa"/>
            <w:tcBorders>
              <w:top w:val="nil"/>
              <w:left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 </w:t>
            </w:r>
          </w:p>
        </w:tc>
        <w:tc>
          <w:tcPr>
            <w:tcW w:w="1018" w:type="dxa"/>
            <w:tcBorders>
              <w:top w:val="nil"/>
              <w:left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DISS</w:t>
            </w:r>
          </w:p>
        </w:tc>
        <w:tc>
          <w:tcPr>
            <w:tcW w:w="5928" w:type="dxa"/>
            <w:tcBorders>
              <w:top w:val="nil"/>
              <w:left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 xml:space="preserve">Italian Database of Individual Seismogenic Sources (Basili et al., 2007)  </w:t>
            </w:r>
            <w:hyperlink r:id="rId58" w:history="1">
              <w:r w:rsidRPr="001D61E2">
                <w:rPr>
                  <w:rStyle w:val="Lienhypertexte"/>
                  <w:szCs w:val="18"/>
                  <w:lang w:eastAsia="de-AT"/>
                </w:rPr>
                <w:t>http://diss.rm.ingv.it/diss/</w:t>
              </w:r>
            </w:hyperlink>
          </w:p>
        </w:tc>
      </w:tr>
      <w:tr w:rsidR="005830AD" w:rsidRPr="001D61E2" w:rsidTr="001D61E2">
        <w:trPr>
          <w:trHeight w:val="576"/>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eastAsia="de-AT"/>
              </w:rPr>
            </w:pPr>
            <w:r w:rsidRPr="001D61E2">
              <w:rPr>
                <w:color w:val="000000"/>
                <w:szCs w:val="18"/>
                <w:lang w:eastAsia="de-AT"/>
              </w:rPr>
              <w:t> </w:t>
            </w:r>
          </w:p>
        </w:tc>
        <w:tc>
          <w:tcPr>
            <w:tcW w:w="851"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 </w:t>
            </w:r>
          </w:p>
        </w:tc>
        <w:tc>
          <w:tcPr>
            <w:tcW w:w="1018"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CEDIT</w:t>
            </w:r>
          </w:p>
        </w:tc>
        <w:tc>
          <w:tcPr>
            <w:tcW w:w="5928" w:type="dxa"/>
            <w:tcBorders>
              <w:top w:val="nil"/>
              <w:left w:val="single" w:sz="4" w:space="0" w:color="auto"/>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 xml:space="preserve">Italian Catalogue of Earthquake-Induced Groudn-Failures (Fortunato et al. 2012) </w:t>
            </w:r>
            <w:hyperlink r:id="rId59" w:history="1">
              <w:r w:rsidRPr="001D61E2">
                <w:rPr>
                  <w:rStyle w:val="Lienhypertexte"/>
                  <w:szCs w:val="18"/>
                  <w:lang w:eastAsia="de-AT"/>
                </w:rPr>
                <w:t>http://www.ceri.uniroma1.it/</w:t>
              </w:r>
            </w:hyperlink>
          </w:p>
        </w:tc>
      </w:tr>
      <w:tr w:rsidR="00554522" w:rsidRPr="001D61E2" w:rsidTr="001D61E2">
        <w:trPr>
          <w:trHeight w:val="288"/>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Lithuania</w:t>
            </w:r>
          </w:p>
        </w:tc>
        <w:tc>
          <w:tcPr>
            <w:tcW w:w="851" w:type="dxa"/>
            <w:tcBorders>
              <w:top w:val="single" w:sz="4" w:space="0" w:color="auto"/>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single" w:sz="4" w:space="0" w:color="auto"/>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single" w:sz="4" w:space="0" w:color="auto"/>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Netherlands</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vertAlign w:val="superscript"/>
                <w:lang w:val="de-AT" w:eastAsia="de-AT"/>
              </w:rPr>
            </w:pP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xml:space="preserve">Lower Rhine Graben (Vanneste et al., 2013) </w:t>
            </w:r>
            <w:r w:rsidRPr="001D61E2">
              <w:rPr>
                <w:color w:val="000000"/>
                <w:szCs w:val="18"/>
                <w:vertAlign w:val="superscript"/>
                <w:lang w:val="de-AT" w:eastAsia="de-AT"/>
              </w:rPr>
              <w:t>2</w:t>
            </w:r>
          </w:p>
        </w:tc>
      </w:tr>
      <w:tr w:rsidR="00554522" w:rsidRPr="001D61E2" w:rsidTr="001D61E2">
        <w:trPr>
          <w:trHeight w:val="576"/>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Portugal</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Active Fault Databsae of Portugal (included in Spanish database QAFI) (Nemsa et al., 2012)</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Romania</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1E6D92" w:rsidP="001E6D92">
            <w:pPr>
              <w:spacing w:line="240" w:lineRule="auto"/>
              <w:rPr>
                <w:color w:val="000000"/>
                <w:szCs w:val="18"/>
                <w:lang w:val="de-AT" w:eastAsia="de-AT"/>
              </w:rPr>
            </w:pPr>
            <w:r w:rsidRPr="001D61E2">
              <w:rPr>
                <w:color w:val="000000"/>
                <w:szCs w:val="18"/>
                <w:lang w:val="de-AT" w:eastAsia="de-AT"/>
              </w:rPr>
              <w:t>Slovakia</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2C67A0">
            <w:pPr>
              <w:spacing w:line="240" w:lineRule="auto"/>
              <w:jc w:val="left"/>
              <w:rPr>
                <w:color w:val="000000"/>
                <w:szCs w:val="18"/>
                <w:lang w:val="de-AT" w:eastAsia="de-AT"/>
              </w:rPr>
            </w:pPr>
            <w:r w:rsidRPr="001D61E2">
              <w:rPr>
                <w:color w:val="000000"/>
                <w:szCs w:val="18"/>
                <w:lang w:val="de-AT" w:eastAsia="de-AT"/>
              </w:rPr>
              <w:t xml:space="preserve">No </w:t>
            </w:r>
            <w:r w:rsidR="002C67A0">
              <w:rPr>
                <w:color w:val="000000"/>
                <w:szCs w:val="18"/>
                <w:lang w:val="de-AT" w:eastAsia="de-AT"/>
              </w:rPr>
              <w:t>²</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576"/>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Slovenia</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 xml:space="preserve">In preperation (Geological Survey of Slovenia) </w:t>
            </w:r>
          </w:p>
          <w:p w:rsidR="00554522" w:rsidRPr="001D61E2" w:rsidRDefault="00554522" w:rsidP="00554522">
            <w:pPr>
              <w:spacing w:line="240" w:lineRule="auto"/>
              <w:jc w:val="left"/>
              <w:rPr>
                <w:color w:val="000000"/>
                <w:szCs w:val="18"/>
                <w:lang w:eastAsia="de-AT"/>
              </w:rPr>
            </w:pPr>
            <w:r w:rsidRPr="001D61E2">
              <w:rPr>
                <w:color w:val="000000"/>
                <w:szCs w:val="18"/>
                <w:lang w:eastAsia="de-AT"/>
              </w:rPr>
              <w:t>(Jamsek-Rupnik et al., 2015)</w:t>
            </w:r>
          </w:p>
        </w:tc>
      </w:tr>
      <w:tr w:rsidR="00554522" w:rsidRPr="001D61E2" w:rsidTr="001D61E2">
        <w:trPr>
          <w:trHeight w:val="576"/>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Spain</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Yes</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QAFI</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eastAsia="de-AT"/>
              </w:rPr>
            </w:pPr>
            <w:r w:rsidRPr="001D61E2">
              <w:rPr>
                <w:color w:val="000000"/>
                <w:szCs w:val="18"/>
                <w:lang w:eastAsia="de-AT"/>
              </w:rPr>
              <w:t xml:space="preserve">Quaternary Active Faults Database of Iberia (Garcia-Mayordomo et al., 2012)  </w:t>
            </w:r>
            <w:hyperlink r:id="rId60" w:history="1">
              <w:r w:rsidRPr="001D61E2">
                <w:rPr>
                  <w:rStyle w:val="Lienhypertexte"/>
                  <w:szCs w:val="18"/>
                  <w:lang w:eastAsia="de-AT"/>
                </w:rPr>
                <w:t>http://www.igme.es/infoigme/aplicaciones/qafi/</w:t>
              </w:r>
            </w:hyperlink>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Sweden</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Switzerland</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2C67A0">
            <w:pPr>
              <w:spacing w:line="240" w:lineRule="auto"/>
              <w:jc w:val="left"/>
              <w:rPr>
                <w:color w:val="000000"/>
                <w:szCs w:val="18"/>
                <w:lang w:val="de-AT" w:eastAsia="de-AT"/>
              </w:rPr>
            </w:pPr>
            <w:r w:rsidRPr="001D61E2">
              <w:rPr>
                <w:color w:val="000000"/>
                <w:szCs w:val="18"/>
                <w:lang w:val="de-AT" w:eastAsia="de-AT"/>
              </w:rPr>
              <w:t xml:space="preserve">No </w:t>
            </w:r>
            <w:r w:rsidR="002C67A0">
              <w:rPr>
                <w:color w:val="000000"/>
                <w:szCs w:val="18"/>
                <w:lang w:val="de-AT" w:eastAsia="de-AT"/>
              </w:rPr>
              <w:t>²</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Ukraine</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r w:rsidR="00554522" w:rsidRPr="001D61E2" w:rsidTr="001D61E2">
        <w:trPr>
          <w:trHeight w:val="288"/>
        </w:trPr>
        <w:tc>
          <w:tcPr>
            <w:tcW w:w="1559" w:type="dxa"/>
            <w:tcBorders>
              <w:top w:val="nil"/>
              <w:left w:val="single" w:sz="4" w:space="0" w:color="auto"/>
              <w:bottom w:val="single" w:sz="4" w:space="0" w:color="auto"/>
              <w:right w:val="single" w:sz="4" w:space="0" w:color="auto"/>
            </w:tcBorders>
            <w:shd w:val="clear" w:color="auto" w:fill="auto"/>
            <w:noWrap/>
            <w:hideMark/>
          </w:tcPr>
          <w:p w:rsidR="00554522" w:rsidRPr="001D61E2" w:rsidRDefault="00554522" w:rsidP="001D61E2">
            <w:pPr>
              <w:spacing w:line="240" w:lineRule="auto"/>
              <w:jc w:val="left"/>
              <w:rPr>
                <w:color w:val="000000"/>
                <w:szCs w:val="18"/>
                <w:lang w:val="de-AT" w:eastAsia="de-AT"/>
              </w:rPr>
            </w:pPr>
            <w:r w:rsidRPr="001D61E2">
              <w:rPr>
                <w:color w:val="000000"/>
                <w:szCs w:val="18"/>
                <w:lang w:val="de-AT" w:eastAsia="de-AT"/>
              </w:rPr>
              <w:t>United Kingdom</w:t>
            </w:r>
          </w:p>
        </w:tc>
        <w:tc>
          <w:tcPr>
            <w:tcW w:w="851"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No</w:t>
            </w:r>
          </w:p>
        </w:tc>
        <w:tc>
          <w:tcPr>
            <w:tcW w:w="1018" w:type="dxa"/>
            <w:tcBorders>
              <w:top w:val="nil"/>
              <w:left w:val="nil"/>
              <w:bottom w:val="single" w:sz="4" w:space="0" w:color="auto"/>
              <w:right w:val="single" w:sz="4" w:space="0" w:color="auto"/>
            </w:tcBorders>
            <w:shd w:val="clear" w:color="auto" w:fill="auto"/>
            <w:noWrap/>
            <w:hideMark/>
          </w:tcPr>
          <w:p w:rsidR="00554522" w:rsidRPr="001D61E2" w:rsidRDefault="00554522" w:rsidP="00554522">
            <w:pPr>
              <w:spacing w:line="240" w:lineRule="auto"/>
              <w:rPr>
                <w:color w:val="000000"/>
                <w:szCs w:val="18"/>
                <w:lang w:val="de-AT" w:eastAsia="de-AT"/>
              </w:rPr>
            </w:pPr>
            <w:r w:rsidRPr="001D61E2">
              <w:rPr>
                <w:color w:val="000000"/>
                <w:szCs w:val="18"/>
                <w:lang w:val="de-AT" w:eastAsia="de-AT"/>
              </w:rPr>
              <w:t> </w:t>
            </w:r>
          </w:p>
        </w:tc>
        <w:tc>
          <w:tcPr>
            <w:tcW w:w="5928" w:type="dxa"/>
            <w:tcBorders>
              <w:top w:val="nil"/>
              <w:left w:val="nil"/>
              <w:bottom w:val="single" w:sz="4" w:space="0" w:color="auto"/>
              <w:right w:val="single" w:sz="4" w:space="0" w:color="auto"/>
            </w:tcBorders>
            <w:shd w:val="clear" w:color="auto" w:fill="auto"/>
            <w:hideMark/>
          </w:tcPr>
          <w:p w:rsidR="00554522" w:rsidRPr="001D61E2" w:rsidRDefault="00554522" w:rsidP="00554522">
            <w:pPr>
              <w:spacing w:line="240" w:lineRule="auto"/>
              <w:jc w:val="left"/>
              <w:rPr>
                <w:color w:val="000000"/>
                <w:szCs w:val="18"/>
                <w:lang w:val="de-AT" w:eastAsia="de-AT"/>
              </w:rPr>
            </w:pPr>
            <w:r w:rsidRPr="001D61E2">
              <w:rPr>
                <w:color w:val="000000"/>
                <w:szCs w:val="18"/>
                <w:lang w:val="de-AT" w:eastAsia="de-AT"/>
              </w:rPr>
              <w:t> </w:t>
            </w:r>
          </w:p>
        </w:tc>
      </w:tr>
    </w:tbl>
    <w:p w:rsidR="005F4B2B" w:rsidRPr="00CC0B38" w:rsidRDefault="00554522" w:rsidP="00103F85">
      <w:pPr>
        <w:ind w:left="120"/>
        <w:rPr>
          <w:szCs w:val="18"/>
        </w:rPr>
      </w:pPr>
      <w:r w:rsidRPr="00CC0B38">
        <w:rPr>
          <w:szCs w:val="18"/>
        </w:rPr>
        <w:t>1 SHARE 2013: http://diss.rm.ingv.it/share-edsf/SHARE_WP3.2_Database.html</w:t>
      </w:r>
    </w:p>
    <w:p w:rsidR="005F4B2B" w:rsidRPr="00CC0B38" w:rsidRDefault="00554522" w:rsidP="00103F85">
      <w:pPr>
        <w:ind w:left="120"/>
        <w:rPr>
          <w:szCs w:val="18"/>
        </w:rPr>
      </w:pPr>
      <w:r w:rsidRPr="00CC0B38">
        <w:rPr>
          <w:szCs w:val="18"/>
        </w:rPr>
        <w:t>2 Only single faults included in database</w:t>
      </w:r>
    </w:p>
    <w:p w:rsidR="00554522" w:rsidRPr="00CC0B38" w:rsidRDefault="00554522" w:rsidP="00103F85">
      <w:pPr>
        <w:ind w:left="120"/>
        <w:rPr>
          <w:szCs w:val="18"/>
        </w:rPr>
      </w:pPr>
      <w:r w:rsidRPr="00CC0B38">
        <w:rPr>
          <w:szCs w:val="18"/>
        </w:rPr>
        <w:t>3 Database of geomorphic evidence for active tectonics; no fault data</w:t>
      </w:r>
    </w:p>
    <w:p w:rsidR="003F0A61" w:rsidRPr="00554522" w:rsidRDefault="003F0A61" w:rsidP="00103F85">
      <w:pPr>
        <w:ind w:left="120"/>
      </w:pPr>
    </w:p>
    <w:p w:rsidR="005F4B2B" w:rsidRDefault="005F4B2B" w:rsidP="005F4B2B">
      <w:pPr>
        <w:pStyle w:val="ASAMPSAtable"/>
        <w:numPr>
          <w:ilvl w:val="0"/>
          <w:numId w:val="0"/>
        </w:numPr>
        <w:ind w:left="720" w:hanging="360"/>
        <w:jc w:val="left"/>
      </w:pPr>
      <w:bookmarkStart w:id="92" w:name="_Ref432406188"/>
      <w:bookmarkStart w:id="93" w:name="_Toc456012030"/>
      <w:r>
        <w:t xml:space="preserve">Table </w:t>
      </w:r>
      <w:r>
        <w:fldChar w:fldCharType="begin"/>
      </w:r>
      <w:r>
        <w:instrText xml:space="preserve"> SEQ Table \* ARABIC </w:instrText>
      </w:r>
      <w:r>
        <w:fldChar w:fldCharType="separate"/>
      </w:r>
      <w:r w:rsidR="00173034">
        <w:rPr>
          <w:noProof/>
        </w:rPr>
        <w:t>6</w:t>
      </w:r>
      <w:r>
        <w:fldChar w:fldCharType="end"/>
      </w:r>
      <w:bookmarkEnd w:id="92"/>
      <w:r w:rsidR="007A4071">
        <w:t xml:space="preserve">.  </w:t>
      </w:r>
      <w:r>
        <w:t xml:space="preserve">List of </w:t>
      </w:r>
      <w:r w:rsidR="003F0A61">
        <w:t>active and capable fault database</w:t>
      </w:r>
      <w:r w:rsidR="00CC0B38">
        <w:t>s available for European countri</w:t>
      </w:r>
      <w:r w:rsidR="003F0A61">
        <w:t>es.</w:t>
      </w:r>
      <w:bookmarkEnd w:id="93"/>
    </w:p>
    <w:p w:rsidR="009C33ED" w:rsidRDefault="009C33ED" w:rsidP="00AF61C4">
      <w:pPr>
        <w:rPr>
          <w:lang w:val="en-US" w:eastAsia="ko-KR"/>
        </w:rPr>
      </w:pPr>
      <w:r>
        <w:rPr>
          <w:lang w:val="en-US" w:eastAsia="ko-KR"/>
        </w:rPr>
        <w:lastRenderedPageBreak/>
        <w:t>Comparison of the active fault databases in the U.S. and Japan with the available databases in Europe shows that the U.S. and Japanese databases fulfill significantly higher quality standards with respect to</w:t>
      </w:r>
      <w:r w:rsidR="00CC0B38">
        <w:rPr>
          <w:lang w:val="en-US" w:eastAsia="ko-KR"/>
        </w:rPr>
        <w:t xml:space="preserve"> completeness and data quality.</w:t>
      </w:r>
    </w:p>
    <w:p w:rsidR="009C33ED" w:rsidRDefault="009C33ED" w:rsidP="00AF61C4">
      <w:pPr>
        <w:rPr>
          <w:lang w:val="en-US" w:eastAsia="ko-KR"/>
        </w:rPr>
      </w:pPr>
    </w:p>
    <w:p w:rsidR="00FB37A7" w:rsidRDefault="009C33ED" w:rsidP="00AF61C4">
      <w:pPr>
        <w:rPr>
          <w:lang w:val="en-US" w:eastAsia="ko-KR"/>
        </w:rPr>
      </w:pPr>
      <w:r>
        <w:rPr>
          <w:lang w:val="en-US" w:eastAsia="ko-KR"/>
        </w:rPr>
        <w:t xml:space="preserve">The main reasons for these differences appear to result from the different scientific approaches to seismic hazard. </w:t>
      </w:r>
      <w:r w:rsidR="00FB37A7">
        <w:rPr>
          <w:lang w:val="en-US" w:eastAsia="ko-KR"/>
        </w:rPr>
        <w:t xml:space="preserve">The high quality and detailedness of the Japanese fault database clearly reflects the high level of seismic hazard and the need to </w:t>
      </w:r>
      <w:r w:rsidR="00CC0B38">
        <w:rPr>
          <w:lang w:val="en-US" w:eastAsia="ko-KR"/>
        </w:rPr>
        <w:t>develop adequate hazard levels.</w:t>
      </w:r>
    </w:p>
    <w:p w:rsidR="00FB37A7" w:rsidRDefault="00FB37A7" w:rsidP="00AF61C4">
      <w:pPr>
        <w:rPr>
          <w:lang w:val="en-US" w:eastAsia="ko-KR"/>
        </w:rPr>
      </w:pPr>
    </w:p>
    <w:p w:rsidR="009C33ED" w:rsidRDefault="00B75B33" w:rsidP="00AF61C4">
      <w:pPr>
        <w:rPr>
          <w:lang w:val="en-US" w:eastAsia="ko-KR"/>
        </w:rPr>
      </w:pPr>
      <w:r>
        <w:rPr>
          <w:lang w:val="en-US" w:eastAsia="ko-KR"/>
        </w:rPr>
        <w:t>In the U.S. seismic hazard assessment is a common target of seismological and geological sciences, probably stim</w:t>
      </w:r>
      <w:r>
        <w:rPr>
          <w:lang w:val="en-US" w:eastAsia="ko-KR"/>
        </w:rPr>
        <w:t>u</w:t>
      </w:r>
      <w:r>
        <w:rPr>
          <w:lang w:val="en-US" w:eastAsia="ko-KR"/>
        </w:rPr>
        <w:t>lated by shortness of historical earthquake records which led to the study of active faults and implementation of paleoseismological techniques already during the early 1970ies. In contrast, s</w:t>
      </w:r>
      <w:r w:rsidR="009C33ED">
        <w:rPr>
          <w:lang w:val="en-US" w:eastAsia="ko-KR"/>
        </w:rPr>
        <w:t xml:space="preserve">eismic hazard assessments in Europe </w:t>
      </w:r>
      <w:r w:rsidR="00E73535">
        <w:rPr>
          <w:lang w:val="en-US" w:eastAsia="ko-KR"/>
        </w:rPr>
        <w:t>were</w:t>
      </w:r>
      <w:r w:rsidR="009C33ED">
        <w:rPr>
          <w:lang w:val="en-US" w:eastAsia="ko-KR"/>
        </w:rPr>
        <w:t xml:space="preserve"> traditionally almost exclusively performed by seismologists </w:t>
      </w:r>
      <w:r>
        <w:rPr>
          <w:lang w:val="en-US" w:eastAsia="ko-KR"/>
        </w:rPr>
        <w:t xml:space="preserve">who relied heavily </w:t>
      </w:r>
      <w:r w:rsidR="00E73535">
        <w:rPr>
          <w:lang w:val="en-US" w:eastAsia="ko-KR"/>
        </w:rPr>
        <w:t xml:space="preserve">(or exclusively) </w:t>
      </w:r>
      <w:r>
        <w:rPr>
          <w:lang w:val="en-US" w:eastAsia="ko-KR"/>
        </w:rPr>
        <w:t xml:space="preserve">on earthquake records. The first paleoseismological studies in Europe were consequently only made in the </w:t>
      </w:r>
      <w:r w:rsidR="00E73535">
        <w:rPr>
          <w:lang w:val="en-US" w:eastAsia="ko-KR"/>
        </w:rPr>
        <w:t xml:space="preserve">late </w:t>
      </w:r>
      <w:r>
        <w:rPr>
          <w:lang w:val="en-US" w:eastAsia="ko-KR"/>
        </w:rPr>
        <w:t>1990ies (</w:t>
      </w:r>
      <w:r w:rsidR="00E73535">
        <w:rPr>
          <w:lang w:val="en-US" w:eastAsia="ko-KR"/>
        </w:rPr>
        <w:t xml:space="preserve">e.g., </w:t>
      </w:r>
      <w:r>
        <w:rPr>
          <w:lang w:val="en-US" w:eastAsia="ko-KR"/>
        </w:rPr>
        <w:t xml:space="preserve">Camelbeek &amp; Meghraoui, 1998) and </w:t>
      </w:r>
      <w:r w:rsidR="00FB37A7">
        <w:rPr>
          <w:lang w:val="en-US" w:eastAsia="ko-KR"/>
        </w:rPr>
        <w:t>systematic collections of fault data only commenced in the last years. Also, and different from the U.S., no national or Europe-wide research programs exist for a systematic effort to ident</w:t>
      </w:r>
      <w:r w:rsidR="00FB37A7">
        <w:rPr>
          <w:lang w:val="en-US" w:eastAsia="ko-KR"/>
        </w:rPr>
        <w:t>i</w:t>
      </w:r>
      <w:r w:rsidR="00FB37A7">
        <w:rPr>
          <w:lang w:val="en-US" w:eastAsia="ko-KR"/>
        </w:rPr>
        <w:t>fy, map, and parameterize active fault. Such dedicated efforts, however, would be required to develop a Europ</w:t>
      </w:r>
      <w:r w:rsidR="00FB37A7">
        <w:rPr>
          <w:lang w:val="en-US" w:eastAsia="ko-KR"/>
        </w:rPr>
        <w:t>e</w:t>
      </w:r>
      <w:r w:rsidR="00FB37A7">
        <w:rPr>
          <w:lang w:val="en-US" w:eastAsia="ko-KR"/>
        </w:rPr>
        <w:t>an fault database which is comparabl</w:t>
      </w:r>
      <w:r w:rsidR="00CC0B38">
        <w:rPr>
          <w:lang w:val="en-US" w:eastAsia="ko-KR"/>
        </w:rPr>
        <w:t>e to the U.S. or Japanese ones.</w:t>
      </w:r>
    </w:p>
    <w:p w:rsidR="009C33ED" w:rsidRDefault="009C33ED" w:rsidP="00AF61C4">
      <w:pPr>
        <w:rPr>
          <w:lang w:val="en-US" w:eastAsia="ko-KR"/>
        </w:rPr>
      </w:pPr>
    </w:p>
    <w:p w:rsidR="00AF61C4" w:rsidRPr="00103F85" w:rsidRDefault="00AF61C4" w:rsidP="00AF61C4">
      <w:pPr>
        <w:pStyle w:val="Titre3"/>
        <w:rPr>
          <w:lang w:val="en-US"/>
        </w:rPr>
      </w:pPr>
      <w:bookmarkStart w:id="94" w:name="_Toc456011894"/>
      <w:r>
        <w:rPr>
          <w:lang w:val="en-US"/>
        </w:rPr>
        <w:t>Geological</w:t>
      </w:r>
      <w:r w:rsidR="00534653">
        <w:rPr>
          <w:lang w:val="en-US"/>
        </w:rPr>
        <w:t>, topographical</w:t>
      </w:r>
      <w:r>
        <w:rPr>
          <w:lang w:val="en-US"/>
        </w:rPr>
        <w:t xml:space="preserve"> and geophysical data other than earthquakes</w:t>
      </w:r>
      <w:bookmarkEnd w:id="94"/>
    </w:p>
    <w:p w:rsidR="00AF61C4" w:rsidRPr="001D61E2" w:rsidRDefault="00534653" w:rsidP="001D61E2">
      <w:pPr>
        <w:ind w:left="120"/>
        <w:rPr>
          <w:lang w:val="en-US"/>
        </w:rPr>
      </w:pPr>
      <w:r w:rsidRPr="001D61E2">
        <w:rPr>
          <w:lang w:val="en-US"/>
        </w:rPr>
        <w:t xml:space="preserve">Geological, </w:t>
      </w:r>
      <w:r w:rsidR="00654B96" w:rsidRPr="001D61E2">
        <w:rPr>
          <w:lang w:val="en-US"/>
        </w:rPr>
        <w:t>topographical and geopohysical data</w:t>
      </w:r>
      <w:r w:rsidRPr="001D61E2">
        <w:rPr>
          <w:lang w:val="en-US"/>
        </w:rPr>
        <w:t xml:space="preserve"> are </w:t>
      </w:r>
      <w:r w:rsidR="00654B96" w:rsidRPr="001D61E2">
        <w:rPr>
          <w:lang w:val="en-US"/>
        </w:rPr>
        <w:t>generally</w:t>
      </w:r>
      <w:r w:rsidR="00CC0B38">
        <w:rPr>
          <w:lang w:val="en-US"/>
        </w:rPr>
        <w:t xml:space="preserve"> available from :</w:t>
      </w:r>
    </w:p>
    <w:p w:rsidR="00534653" w:rsidRDefault="009552CE" w:rsidP="00860D1D">
      <w:pPr>
        <w:numPr>
          <w:ilvl w:val="0"/>
          <w:numId w:val="22"/>
        </w:numPr>
        <w:rPr>
          <w:lang w:val="en-US" w:eastAsia="ko-KR"/>
        </w:rPr>
      </w:pPr>
      <w:r>
        <w:rPr>
          <w:lang w:val="en-US" w:eastAsia="ko-KR"/>
        </w:rPr>
        <w:t>n</w:t>
      </w:r>
      <w:r w:rsidR="00534653">
        <w:rPr>
          <w:lang w:val="en-US" w:eastAsia="ko-KR"/>
        </w:rPr>
        <w:t>ational geological surveys, geological departments of local goverments and districts or municipal administration: geological maps, tectonic maps,</w:t>
      </w:r>
      <w:r w:rsidR="00654B96">
        <w:rPr>
          <w:lang w:val="en-US" w:eastAsia="ko-KR"/>
        </w:rPr>
        <w:t xml:space="preserve"> geological cross-sections, thematic geophysical maps, </w:t>
      </w:r>
      <w:r w:rsidR="00534653">
        <w:rPr>
          <w:lang w:val="en-US" w:eastAsia="ko-KR"/>
        </w:rPr>
        <w:t>borehole data etc.</w:t>
      </w:r>
      <w:r>
        <w:rPr>
          <w:lang w:val="en-US" w:eastAsia="ko-KR"/>
        </w:rPr>
        <w:t>,</w:t>
      </w:r>
    </w:p>
    <w:p w:rsidR="00534653" w:rsidRDefault="009552CE" w:rsidP="00860D1D">
      <w:pPr>
        <w:numPr>
          <w:ilvl w:val="0"/>
          <w:numId w:val="22"/>
        </w:numPr>
        <w:rPr>
          <w:lang w:val="en-US" w:eastAsia="ko-KR"/>
        </w:rPr>
      </w:pPr>
      <w:r>
        <w:rPr>
          <w:lang w:val="en-US" w:eastAsia="ko-KR"/>
        </w:rPr>
        <w:t>n</w:t>
      </w:r>
      <w:r w:rsidR="00534653">
        <w:rPr>
          <w:lang w:val="en-US" w:eastAsia="ko-KR"/>
        </w:rPr>
        <w:t>ational geodetic surveys, geodetic departments of local goverments and districts or municipial a</w:t>
      </w:r>
      <w:r w:rsidR="00534653">
        <w:rPr>
          <w:lang w:val="en-US" w:eastAsia="ko-KR"/>
        </w:rPr>
        <w:t>d</w:t>
      </w:r>
      <w:r w:rsidR="00534653">
        <w:rPr>
          <w:lang w:val="en-US" w:eastAsia="ko-KR"/>
        </w:rPr>
        <w:t>ministration : topographic data, digital elevation data, digital topographic contour lines (to be used for griding to produce digital elevation data), LIDAR digital elevation data</w:t>
      </w:r>
      <w:r>
        <w:rPr>
          <w:lang w:val="en-US" w:eastAsia="ko-KR"/>
        </w:rPr>
        <w:t>,</w:t>
      </w:r>
    </w:p>
    <w:p w:rsidR="00654B96" w:rsidRDefault="009552CE" w:rsidP="00860D1D">
      <w:pPr>
        <w:numPr>
          <w:ilvl w:val="0"/>
          <w:numId w:val="22"/>
        </w:numPr>
        <w:rPr>
          <w:lang w:val="en-US" w:eastAsia="ko-KR"/>
        </w:rPr>
      </w:pPr>
      <w:r>
        <w:rPr>
          <w:lang w:val="en-US" w:eastAsia="ko-KR"/>
        </w:rPr>
        <w:t>n</w:t>
      </w:r>
      <w:r w:rsidR="00654B96">
        <w:rPr>
          <w:lang w:val="en-US" w:eastAsia="ko-KR"/>
        </w:rPr>
        <w:t>ational geophysical surveys: various types of geophysical data, maps and cross-sections etc.</w:t>
      </w:r>
    </w:p>
    <w:p w:rsidR="00654B96" w:rsidRDefault="009552CE" w:rsidP="00860D1D">
      <w:pPr>
        <w:numPr>
          <w:ilvl w:val="0"/>
          <w:numId w:val="22"/>
        </w:numPr>
        <w:rPr>
          <w:lang w:val="en-US" w:eastAsia="ko-KR"/>
        </w:rPr>
      </w:pPr>
      <w:r>
        <w:rPr>
          <w:lang w:val="en-US" w:eastAsia="ko-KR"/>
        </w:rPr>
        <w:t>i</w:t>
      </w:r>
      <w:r w:rsidR="00654B96">
        <w:rPr>
          <w:lang w:val="en-US" w:eastAsia="ko-KR"/>
        </w:rPr>
        <w:t>ndustry data from hydrocarbon, mining, or geothermal exploration : borehole data, geophysical data (e.g., reflection seismic)</w:t>
      </w:r>
      <w:r>
        <w:rPr>
          <w:lang w:val="en-US" w:eastAsia="ko-KR"/>
        </w:rPr>
        <w:t>,</w:t>
      </w:r>
    </w:p>
    <w:p w:rsidR="00654B96" w:rsidRDefault="009552CE" w:rsidP="00860D1D">
      <w:pPr>
        <w:numPr>
          <w:ilvl w:val="0"/>
          <w:numId w:val="22"/>
        </w:numPr>
        <w:rPr>
          <w:lang w:val="en-US" w:eastAsia="ko-KR"/>
        </w:rPr>
      </w:pPr>
      <w:r>
        <w:rPr>
          <w:lang w:val="en-US" w:eastAsia="ko-KR"/>
        </w:rPr>
        <w:t>u</w:t>
      </w:r>
      <w:r w:rsidR="00654B96">
        <w:rPr>
          <w:lang w:val="en-US" w:eastAsia="ko-KR"/>
        </w:rPr>
        <w:t>niversities and other research institutes doing active geological / geophysical research in the are</w:t>
      </w:r>
      <w:r w:rsidR="00700DFD">
        <w:rPr>
          <w:lang w:val="en-US" w:eastAsia="ko-KR"/>
        </w:rPr>
        <w:t>a</w:t>
      </w:r>
      <w:r w:rsidR="00654B96">
        <w:rPr>
          <w:lang w:val="en-US" w:eastAsia="ko-KR"/>
        </w:rPr>
        <w:t xml:space="preserve"> of interest :  scientific and technical papers and data</w:t>
      </w:r>
      <w:r>
        <w:rPr>
          <w:lang w:val="en-US" w:eastAsia="ko-KR"/>
        </w:rPr>
        <w:t>.</w:t>
      </w:r>
    </w:p>
    <w:p w:rsidR="00E01D15" w:rsidRDefault="00E01D15" w:rsidP="00103F85">
      <w:pPr>
        <w:pStyle w:val="Titre3"/>
        <w:rPr>
          <w:lang w:val="en-US"/>
        </w:rPr>
      </w:pPr>
      <w:bookmarkStart w:id="95" w:name="_Ref432434603"/>
      <w:bookmarkStart w:id="96" w:name="_Ref432434606"/>
      <w:bookmarkStart w:id="97" w:name="_Toc456011895"/>
      <w:r w:rsidRPr="00103F85">
        <w:rPr>
          <w:lang w:val="en-US"/>
        </w:rPr>
        <w:t>Site-specific data including data from s</w:t>
      </w:r>
      <w:r w:rsidRPr="000735A8">
        <w:rPr>
          <w:lang w:val="en-US"/>
        </w:rPr>
        <w:t xml:space="preserve">ite-specific observation </w:t>
      </w:r>
      <w:r w:rsidRPr="00BF6E05">
        <w:rPr>
          <w:lang w:val="en-US"/>
        </w:rPr>
        <w:t>ne</w:t>
      </w:r>
      <w:r w:rsidRPr="00BF6E05">
        <w:rPr>
          <w:lang w:val="en-US"/>
        </w:rPr>
        <w:t>t</w:t>
      </w:r>
      <w:r w:rsidRPr="00BF6E05">
        <w:rPr>
          <w:lang w:val="en-US"/>
        </w:rPr>
        <w:t>works</w:t>
      </w:r>
      <w:bookmarkEnd w:id="95"/>
      <w:bookmarkEnd w:id="96"/>
      <w:bookmarkEnd w:id="97"/>
      <w:r w:rsidRPr="00BF6E05">
        <w:rPr>
          <w:lang w:val="en-US"/>
        </w:rPr>
        <w:t xml:space="preserve"> </w:t>
      </w:r>
    </w:p>
    <w:p w:rsidR="007A4071" w:rsidRPr="005F786B" w:rsidRDefault="00AF61C4" w:rsidP="005F786B">
      <w:pPr>
        <w:ind w:left="120"/>
        <w:rPr>
          <w:bCs/>
          <w:lang w:val="en-US"/>
        </w:rPr>
      </w:pPr>
      <w:r w:rsidRPr="005F786B">
        <w:rPr>
          <w:b/>
          <w:bCs/>
          <w:i/>
          <w:lang w:val="en-US"/>
        </w:rPr>
        <w:t>Earthquake data</w:t>
      </w:r>
      <w:r w:rsidR="00654B96">
        <w:rPr>
          <w:b/>
          <w:bCs/>
          <w:i/>
          <w:lang w:val="en-US"/>
        </w:rPr>
        <w:t xml:space="preserve">. </w:t>
      </w:r>
      <w:r w:rsidR="00654B96" w:rsidRPr="00E14482">
        <w:rPr>
          <w:bCs/>
          <w:lang w:val="en-US"/>
        </w:rPr>
        <w:t>At many nuclear sites s</w:t>
      </w:r>
      <w:r w:rsidRPr="00E14482">
        <w:rPr>
          <w:bCs/>
          <w:lang w:val="en-US"/>
        </w:rPr>
        <w:t>ite-specific monitoring networks</w:t>
      </w:r>
      <w:r w:rsidR="00654B96">
        <w:rPr>
          <w:b/>
          <w:bCs/>
          <w:i/>
          <w:lang w:val="en-US"/>
        </w:rPr>
        <w:t xml:space="preserve"> </w:t>
      </w:r>
      <w:r w:rsidR="00EB3457" w:rsidRPr="005F786B">
        <w:rPr>
          <w:bCs/>
          <w:lang w:val="en-US"/>
        </w:rPr>
        <w:t xml:space="preserve">have been established to monitor the </w:t>
      </w:r>
      <w:r w:rsidR="00654B96">
        <w:rPr>
          <w:bCs/>
          <w:lang w:val="en-US"/>
        </w:rPr>
        <w:t xml:space="preserve">seismic activity </w:t>
      </w:r>
      <w:r w:rsidR="00EB3457" w:rsidRPr="005F786B">
        <w:rPr>
          <w:bCs/>
          <w:lang w:val="en-US"/>
        </w:rPr>
        <w:t xml:space="preserve">region around nuclear power plants. Although the recording length of these networks </w:t>
      </w:r>
      <w:r w:rsidR="00654B96">
        <w:rPr>
          <w:bCs/>
          <w:lang w:val="en-US"/>
        </w:rPr>
        <w:t xml:space="preserve">may be </w:t>
      </w:r>
      <w:r w:rsidR="00EB3457" w:rsidRPr="005F786B">
        <w:rPr>
          <w:bCs/>
          <w:lang w:val="en-US"/>
        </w:rPr>
        <w:lastRenderedPageBreak/>
        <w:t xml:space="preserve">short (two decades or less) the data is of particular importance </w:t>
      </w:r>
      <w:r w:rsidR="00654B96">
        <w:rPr>
          <w:bCs/>
          <w:lang w:val="en-US"/>
        </w:rPr>
        <w:t xml:space="preserve">due to its high resolution with respect to both, the record threshold and accuracy. Data are of specific interest </w:t>
      </w:r>
      <w:r w:rsidR="00EB3457" w:rsidRPr="005F786B">
        <w:rPr>
          <w:bCs/>
          <w:lang w:val="en-US"/>
        </w:rPr>
        <w:t xml:space="preserve">for the seismotectonic characterization of the near-region and region </w:t>
      </w:r>
      <w:r w:rsidR="00654B96">
        <w:rPr>
          <w:bCs/>
          <w:lang w:val="en-US"/>
        </w:rPr>
        <w:t>of</w:t>
      </w:r>
      <w:r w:rsidR="00EB3457" w:rsidRPr="005F786B">
        <w:rPr>
          <w:bCs/>
          <w:lang w:val="en-US"/>
        </w:rPr>
        <w:t xml:space="preserve"> NPPs</w:t>
      </w:r>
      <w:r w:rsidR="00654B96">
        <w:rPr>
          <w:bCs/>
          <w:lang w:val="en-US"/>
        </w:rPr>
        <w:t xml:space="preserve">, </w:t>
      </w:r>
      <w:r w:rsidR="00EB3457" w:rsidRPr="005F786B">
        <w:rPr>
          <w:bCs/>
          <w:lang w:val="en-US"/>
        </w:rPr>
        <w:t xml:space="preserve">the </w:t>
      </w:r>
      <w:r w:rsidR="00E14482">
        <w:rPr>
          <w:bCs/>
          <w:lang w:val="en-US"/>
        </w:rPr>
        <w:t xml:space="preserve">construction of a seismotectonic model, the </w:t>
      </w:r>
      <w:r w:rsidR="00EB3457" w:rsidRPr="005F786B">
        <w:rPr>
          <w:bCs/>
          <w:lang w:val="en-US"/>
        </w:rPr>
        <w:t xml:space="preserve">identification of </w:t>
      </w:r>
      <w:r w:rsidR="00654B96">
        <w:rPr>
          <w:bCs/>
          <w:lang w:val="en-US"/>
        </w:rPr>
        <w:t xml:space="preserve">potential </w:t>
      </w:r>
      <w:r w:rsidR="00EB3457" w:rsidRPr="005F786B">
        <w:rPr>
          <w:bCs/>
          <w:lang w:val="en-US"/>
        </w:rPr>
        <w:t>sei</w:t>
      </w:r>
      <w:r w:rsidR="00EB3457" w:rsidRPr="005F786B">
        <w:rPr>
          <w:bCs/>
          <w:lang w:val="en-US"/>
        </w:rPr>
        <w:t>s</w:t>
      </w:r>
      <w:r w:rsidR="00EB3457" w:rsidRPr="005F786B">
        <w:rPr>
          <w:bCs/>
          <w:lang w:val="en-US"/>
        </w:rPr>
        <w:t>mogenic faults</w:t>
      </w:r>
      <w:r w:rsidR="00654B96">
        <w:rPr>
          <w:bCs/>
          <w:lang w:val="en-US"/>
        </w:rPr>
        <w:t>, and their assessment</w:t>
      </w:r>
      <w:r w:rsidR="00EB3457" w:rsidRPr="005F786B">
        <w:rPr>
          <w:bCs/>
          <w:lang w:val="en-US"/>
        </w:rPr>
        <w:t xml:space="preserve">. </w:t>
      </w:r>
      <w:r w:rsidRPr="005F786B">
        <w:rPr>
          <w:bCs/>
          <w:lang w:val="en-US"/>
        </w:rPr>
        <w:t>Data are mostly proprietary to the nuclear operators.</w:t>
      </w:r>
    </w:p>
    <w:p w:rsidR="00AF61C4" w:rsidRPr="005F786B" w:rsidRDefault="00AF61C4" w:rsidP="005F786B">
      <w:pPr>
        <w:ind w:left="120"/>
        <w:rPr>
          <w:bCs/>
          <w:lang w:val="en-US"/>
        </w:rPr>
      </w:pPr>
    </w:p>
    <w:p w:rsidR="00AF61C4" w:rsidRPr="005F786B" w:rsidRDefault="00DD3D6E" w:rsidP="005F786B">
      <w:pPr>
        <w:ind w:left="120"/>
        <w:rPr>
          <w:bCs/>
          <w:lang w:val="en-US"/>
        </w:rPr>
      </w:pPr>
      <w:r w:rsidRPr="005F786B">
        <w:rPr>
          <w:b/>
          <w:bCs/>
          <w:i/>
          <w:lang w:val="en-US"/>
        </w:rPr>
        <w:t>Site-specific geological and geophysical data.</w:t>
      </w:r>
      <w:r w:rsidRPr="005F786B">
        <w:rPr>
          <w:bCs/>
          <w:lang w:val="en-US"/>
        </w:rPr>
        <w:t xml:space="preserve"> </w:t>
      </w:r>
      <w:r w:rsidR="00E14482">
        <w:rPr>
          <w:bCs/>
          <w:lang w:val="en-US"/>
        </w:rPr>
        <w:t>Detailed data on the site are expected to be available f</w:t>
      </w:r>
      <w:r w:rsidRPr="005F786B">
        <w:rPr>
          <w:bCs/>
          <w:lang w:val="en-US"/>
        </w:rPr>
        <w:t>rom the siting process</w:t>
      </w:r>
      <w:r w:rsidR="00E14482">
        <w:rPr>
          <w:bCs/>
          <w:lang w:val="en-US"/>
        </w:rPr>
        <w:t xml:space="preserve"> and construction period of the facilities. Data should be used to assess site conditions with respect to the geological and soil profile below the facilities for the assessment of vibratory ground motion, fault cap</w:t>
      </w:r>
      <w:r w:rsidR="00E14482">
        <w:rPr>
          <w:bCs/>
          <w:lang w:val="en-US"/>
        </w:rPr>
        <w:t>a</w:t>
      </w:r>
      <w:r w:rsidR="00E14482">
        <w:rPr>
          <w:bCs/>
          <w:lang w:val="en-US"/>
        </w:rPr>
        <w:t>bility, liquefaction, and dynamic compaction hazards.</w:t>
      </w:r>
    </w:p>
    <w:p w:rsidR="001A21F1" w:rsidRPr="00103F85" w:rsidRDefault="00E01D15" w:rsidP="00103F85">
      <w:pPr>
        <w:pStyle w:val="Titre3"/>
        <w:rPr>
          <w:lang w:val="en-US"/>
        </w:rPr>
      </w:pPr>
      <w:bookmarkStart w:id="98" w:name="_Toc456011896"/>
      <w:r w:rsidRPr="00103F85">
        <w:rPr>
          <w:lang w:val="en-US"/>
        </w:rPr>
        <w:t>Operational event database of plants</w:t>
      </w:r>
      <w:bookmarkEnd w:id="98"/>
    </w:p>
    <w:p w:rsidR="00103F85" w:rsidRDefault="00D75303" w:rsidP="00752D77">
      <w:pPr>
        <w:ind w:left="120"/>
        <w:rPr>
          <w:lang w:val="en-US"/>
        </w:rPr>
      </w:pPr>
      <w:r>
        <w:rPr>
          <w:bCs/>
          <w:lang w:val="en-US"/>
        </w:rPr>
        <w:t>I</w:t>
      </w:r>
      <w:r w:rsidR="00C95E28" w:rsidRPr="00C95E28">
        <w:rPr>
          <w:bCs/>
          <w:lang w:val="en-US"/>
        </w:rPr>
        <w:t xml:space="preserve">nformation </w:t>
      </w:r>
      <w:r w:rsidR="00C95E28">
        <w:rPr>
          <w:bCs/>
          <w:lang w:val="en-US"/>
        </w:rPr>
        <w:t xml:space="preserve">on observed earthquake effects on NPPs is </w:t>
      </w:r>
      <w:r>
        <w:rPr>
          <w:bCs/>
          <w:lang w:val="en-US"/>
        </w:rPr>
        <w:t xml:space="preserve">collected </w:t>
      </w:r>
      <w:r w:rsidR="00C95E28">
        <w:rPr>
          <w:bCs/>
          <w:lang w:val="en-US"/>
        </w:rPr>
        <w:t>in the ASAMPSA_E Report D10.3. The report pr</w:t>
      </w:r>
      <w:r w:rsidR="00C95E28">
        <w:rPr>
          <w:bCs/>
          <w:lang w:val="en-US"/>
        </w:rPr>
        <w:t>o</w:t>
      </w:r>
      <w:r w:rsidR="00C95E28">
        <w:rPr>
          <w:bCs/>
          <w:lang w:val="en-US"/>
        </w:rPr>
        <w:t>vides references to detailed assessments.</w:t>
      </w:r>
      <w:r w:rsidR="00B96479">
        <w:rPr>
          <w:bCs/>
          <w:lang w:val="en-US"/>
        </w:rPr>
        <w:t xml:space="preserve"> </w:t>
      </w:r>
      <w:r w:rsidR="00C95E28">
        <w:rPr>
          <w:bCs/>
          <w:lang w:val="en-US"/>
        </w:rPr>
        <w:t>Additional information on selected occurrences of eart</w:t>
      </w:r>
      <w:r w:rsidR="00C95E28">
        <w:rPr>
          <w:bCs/>
          <w:lang w:val="en-US"/>
        </w:rPr>
        <w:t>h</w:t>
      </w:r>
      <w:r w:rsidR="00C95E28">
        <w:rPr>
          <w:bCs/>
          <w:lang w:val="en-US"/>
        </w:rPr>
        <w:t xml:space="preserve">quakes at 10 NPPs is included in chapter </w:t>
      </w:r>
      <w:r w:rsidR="00C95E28">
        <w:rPr>
          <w:bCs/>
          <w:lang w:val="en-US"/>
        </w:rPr>
        <w:fldChar w:fldCharType="begin"/>
      </w:r>
      <w:r w:rsidR="00C95E28">
        <w:rPr>
          <w:bCs/>
          <w:lang w:val="en-US"/>
        </w:rPr>
        <w:instrText xml:space="preserve"> REF _Ref450577600 \r \h </w:instrText>
      </w:r>
      <w:r w:rsidR="00C95E28">
        <w:rPr>
          <w:bCs/>
          <w:lang w:val="en-US"/>
        </w:rPr>
      </w:r>
      <w:r w:rsidR="00C95E28">
        <w:rPr>
          <w:bCs/>
          <w:lang w:val="en-US"/>
        </w:rPr>
        <w:fldChar w:fldCharType="separate"/>
      </w:r>
      <w:r w:rsidR="00173034">
        <w:rPr>
          <w:bCs/>
          <w:lang w:val="en-US"/>
        </w:rPr>
        <w:t>1.3</w:t>
      </w:r>
      <w:r w:rsidR="00C95E28">
        <w:rPr>
          <w:bCs/>
          <w:lang w:val="en-US"/>
        </w:rPr>
        <w:fldChar w:fldCharType="end"/>
      </w:r>
      <w:r w:rsidR="00C95E28">
        <w:rPr>
          <w:bCs/>
          <w:lang w:val="en-US"/>
        </w:rPr>
        <w:t xml:space="preserve"> of this report.</w:t>
      </w:r>
    </w:p>
    <w:p w:rsidR="00C95E28" w:rsidRDefault="00C95E28" w:rsidP="00752D77">
      <w:pPr>
        <w:ind w:left="120"/>
        <w:rPr>
          <w:lang w:val="en-US"/>
        </w:rPr>
      </w:pPr>
    </w:p>
    <w:p w:rsidR="00510E95" w:rsidRPr="00B96479" w:rsidRDefault="00B96479" w:rsidP="00510E95">
      <w:pPr>
        <w:ind w:left="120"/>
        <w:rPr>
          <w:lang w:val="en-US"/>
        </w:rPr>
      </w:pPr>
      <w:r>
        <w:rPr>
          <w:lang w:val="en-US"/>
        </w:rPr>
        <w:t>Comprehensive information on incidents relat</w:t>
      </w:r>
      <w:r w:rsidR="00510E95">
        <w:rPr>
          <w:lang w:val="en-US"/>
        </w:rPr>
        <w:t xml:space="preserve">ed to earthquakes can be found </w:t>
      </w:r>
      <w:r>
        <w:rPr>
          <w:lang w:val="en-US"/>
        </w:rPr>
        <w:t>in the</w:t>
      </w:r>
      <w:r>
        <w:t xml:space="preserve"> </w:t>
      </w:r>
      <w:r w:rsidRPr="00B96479">
        <w:t>international Incident R</w:t>
      </w:r>
      <w:r w:rsidRPr="00B96479">
        <w:t>e</w:t>
      </w:r>
      <w:r w:rsidRPr="00B96479">
        <w:t>porting System</w:t>
      </w:r>
      <w:r>
        <w:t xml:space="preserve"> (IRS</w:t>
      </w:r>
      <w:r w:rsidRPr="00B96479">
        <w:t xml:space="preserve">) </w:t>
      </w:r>
      <w:r>
        <w:t>D</w:t>
      </w:r>
      <w:r w:rsidRPr="00B96479">
        <w:t xml:space="preserve">atabase </w:t>
      </w:r>
      <w:r w:rsidR="00510E95">
        <w:t>of</w:t>
      </w:r>
      <w:r>
        <w:t xml:space="preserve"> </w:t>
      </w:r>
      <w:r w:rsidRPr="00B96479">
        <w:t>IAEA</w:t>
      </w:r>
      <w:r w:rsidR="00510E95">
        <w:t xml:space="preserve"> (</w:t>
      </w:r>
      <w:r w:rsidR="00510E95" w:rsidRPr="00510E95">
        <w:t>http://www-ns.iaea.org/reviews/op-safety-reviews.asp?s=7&amp;l=49#irs</w:t>
      </w:r>
      <w:r w:rsidRPr="00B96479">
        <w:t>)</w:t>
      </w:r>
      <w:r>
        <w:t>.</w:t>
      </w:r>
      <w:r w:rsidRPr="00B96479">
        <w:rPr>
          <w:lang w:val="en-US"/>
        </w:rPr>
        <w:t xml:space="preserve"> The IRS is an international system jointly operated by IAEA and the Nuclear Energy Agency of the Organisation for Economic Cooperation and Development (OECD/NEA)</w:t>
      </w:r>
      <w:r>
        <w:rPr>
          <w:lang w:val="en-US"/>
        </w:rPr>
        <w:t xml:space="preserve">. The database contains reports on </w:t>
      </w:r>
      <w:r w:rsidRPr="00B96479">
        <w:rPr>
          <w:lang w:val="en-US"/>
        </w:rPr>
        <w:t>unusual events consi</w:t>
      </w:r>
      <w:r w:rsidRPr="00B96479">
        <w:rPr>
          <w:lang w:val="en-US"/>
        </w:rPr>
        <w:t>d</w:t>
      </w:r>
      <w:r w:rsidRPr="00B96479">
        <w:rPr>
          <w:lang w:val="en-US"/>
        </w:rPr>
        <w:t>ered important for safety</w:t>
      </w:r>
      <w:r>
        <w:rPr>
          <w:lang w:val="en-US"/>
        </w:rPr>
        <w:t xml:space="preserve"> submitted by </w:t>
      </w:r>
      <w:r w:rsidRPr="00B96479">
        <w:rPr>
          <w:lang w:val="en-US"/>
        </w:rPr>
        <w:t xml:space="preserve">thirty-one participating countries. </w:t>
      </w:r>
      <w:r w:rsidR="00510E95">
        <w:rPr>
          <w:lang w:val="en-US"/>
        </w:rPr>
        <w:t>Access to the database is r</w:t>
      </w:r>
      <w:r w:rsidR="00510E95" w:rsidRPr="00B96479">
        <w:rPr>
          <w:lang w:val="en-US"/>
        </w:rPr>
        <w:t>estricted</w:t>
      </w:r>
      <w:r w:rsidR="00510E95">
        <w:rPr>
          <w:lang w:val="en-US"/>
        </w:rPr>
        <w:t xml:space="preserve"> to I</w:t>
      </w:r>
      <w:r w:rsidR="00510E95" w:rsidRPr="00B96479">
        <w:rPr>
          <w:lang w:val="en-US"/>
        </w:rPr>
        <w:t xml:space="preserve">AEA Staff, IRS National Coordinators, NPPs, Utilities, </w:t>
      </w:r>
      <w:r w:rsidR="00510E95">
        <w:rPr>
          <w:lang w:val="en-US"/>
        </w:rPr>
        <w:t xml:space="preserve">and </w:t>
      </w:r>
      <w:r w:rsidR="00510E95" w:rsidRPr="00B96479">
        <w:rPr>
          <w:lang w:val="en-US"/>
        </w:rPr>
        <w:t>TSOs</w:t>
      </w:r>
      <w:r w:rsidR="00510E95">
        <w:rPr>
          <w:lang w:val="en-US"/>
        </w:rPr>
        <w:t>. Its contents (or parts of its contents) can ther</w:t>
      </w:r>
      <w:r w:rsidR="00510E95">
        <w:rPr>
          <w:lang w:val="en-US"/>
        </w:rPr>
        <w:t>e</w:t>
      </w:r>
      <w:r w:rsidR="00510E95">
        <w:rPr>
          <w:lang w:val="en-US"/>
        </w:rPr>
        <w:t>fore not be reproduced or cited in ASAMPSA_E Reports.</w:t>
      </w:r>
    </w:p>
    <w:p w:rsidR="00B96479" w:rsidRDefault="00B96479" w:rsidP="00B96479">
      <w:pPr>
        <w:ind w:left="120"/>
      </w:pPr>
    </w:p>
    <w:p w:rsidR="00CC0921" w:rsidRPr="00B96479" w:rsidRDefault="00CC0921" w:rsidP="00B96479">
      <w:pPr>
        <w:ind w:left="120"/>
      </w:pPr>
      <w:r>
        <w:t>Further information external hazards related events at NPPs can be obtained from the European Clearinghouse Topical Operational Report (Ramos &amp; Zerger, 2012). The report, however, is not open to use in ASAMPSA_E.</w:t>
      </w:r>
    </w:p>
    <w:p w:rsidR="001A21F1" w:rsidRDefault="00C95E28" w:rsidP="00103F85">
      <w:pPr>
        <w:pStyle w:val="Titre2"/>
        <w:rPr>
          <w:lang w:val="en-US"/>
        </w:rPr>
      </w:pPr>
      <w:r w:rsidRPr="00CC0921">
        <w:rPr>
          <w:lang w:val="en-GB"/>
        </w:rPr>
        <w:t xml:space="preserve"> </w:t>
      </w:r>
      <w:bookmarkStart w:id="99" w:name="_Toc456011897"/>
      <w:r w:rsidR="00E01D15" w:rsidRPr="00152AB4">
        <w:rPr>
          <w:lang w:val="en-US"/>
        </w:rPr>
        <w:t>Data completeness and quality assessment</w:t>
      </w:r>
      <w:bookmarkEnd w:id="99"/>
      <w:r w:rsidR="00E01D15">
        <w:rPr>
          <w:lang w:val="en-US"/>
        </w:rPr>
        <w:t xml:space="preserve"> </w:t>
      </w:r>
    </w:p>
    <w:p w:rsidR="00E44C22" w:rsidRPr="00103F85" w:rsidRDefault="00A51FEF" w:rsidP="00E44C22">
      <w:pPr>
        <w:pStyle w:val="Titre3"/>
        <w:rPr>
          <w:lang w:val="en-US"/>
        </w:rPr>
      </w:pPr>
      <w:bookmarkStart w:id="100" w:name="_Ref450905152"/>
      <w:bookmarkStart w:id="101" w:name="_Toc456011898"/>
      <w:r>
        <w:rPr>
          <w:lang w:val="en-US"/>
        </w:rPr>
        <w:t xml:space="preserve">Completeness of </w:t>
      </w:r>
      <w:r w:rsidR="00E44C22">
        <w:rPr>
          <w:lang w:val="en-US"/>
        </w:rPr>
        <w:t>Earthquake data</w:t>
      </w:r>
      <w:bookmarkEnd w:id="100"/>
      <w:bookmarkEnd w:id="101"/>
    </w:p>
    <w:p w:rsidR="000F6266" w:rsidRPr="00974BEB" w:rsidRDefault="00D75303" w:rsidP="000F6266">
      <w:pPr>
        <w:spacing w:line="360" w:lineRule="auto"/>
        <w:ind w:left="120"/>
        <w:rPr>
          <w:szCs w:val="18"/>
          <w:lang w:val="en-US"/>
        </w:rPr>
      </w:pPr>
      <w:r>
        <w:rPr>
          <w:szCs w:val="18"/>
          <w:lang w:val="en-US"/>
        </w:rPr>
        <w:t>E</w:t>
      </w:r>
      <w:r w:rsidR="00E44C22" w:rsidRPr="00E44C22">
        <w:rPr>
          <w:szCs w:val="18"/>
          <w:lang w:val="en-US"/>
        </w:rPr>
        <w:t xml:space="preserve">arthquake catalogues are </w:t>
      </w:r>
      <w:r w:rsidR="00974BEB">
        <w:rPr>
          <w:szCs w:val="18"/>
          <w:lang w:val="en-US"/>
        </w:rPr>
        <w:t xml:space="preserve">key data </w:t>
      </w:r>
      <w:r w:rsidR="00974BEB" w:rsidRPr="00E44C22">
        <w:rPr>
          <w:szCs w:val="18"/>
          <w:lang w:val="en-US"/>
        </w:rPr>
        <w:t xml:space="preserve">used for </w:t>
      </w:r>
      <w:r w:rsidR="00974BEB">
        <w:rPr>
          <w:szCs w:val="18"/>
          <w:lang w:val="en-US"/>
        </w:rPr>
        <w:t xml:space="preserve">estimating </w:t>
      </w:r>
      <w:r w:rsidR="00974BEB" w:rsidRPr="00E44C22">
        <w:rPr>
          <w:szCs w:val="18"/>
          <w:lang w:val="en-US"/>
        </w:rPr>
        <w:t>the mean annual rate of</w:t>
      </w:r>
      <w:r w:rsidR="00974BEB">
        <w:rPr>
          <w:szCs w:val="18"/>
          <w:lang w:val="en-US"/>
        </w:rPr>
        <w:t xml:space="preserve"> </w:t>
      </w:r>
      <w:r w:rsidR="00974BEB" w:rsidRPr="00E44C22">
        <w:rPr>
          <w:szCs w:val="18"/>
          <w:lang w:val="en-US"/>
        </w:rPr>
        <w:t>seismic activity and magnitude-fr</w:t>
      </w:r>
      <w:r w:rsidR="00974BEB">
        <w:rPr>
          <w:szCs w:val="18"/>
          <w:lang w:val="en-US"/>
        </w:rPr>
        <w:t xml:space="preserve">equency relations using the </w:t>
      </w:r>
      <w:r w:rsidR="00974BEB" w:rsidRPr="00E44C22">
        <w:rPr>
          <w:szCs w:val="18"/>
          <w:lang w:val="en-US"/>
        </w:rPr>
        <w:t>Gutenberg-Richter relation.</w:t>
      </w:r>
      <w:r w:rsidR="00974BEB">
        <w:rPr>
          <w:szCs w:val="18"/>
          <w:lang w:val="en-US"/>
        </w:rPr>
        <w:t xml:space="preserve"> </w:t>
      </w:r>
      <w:r w:rsidR="000F6266">
        <w:rPr>
          <w:szCs w:val="18"/>
          <w:lang w:val="en-US"/>
        </w:rPr>
        <w:t>A thorough assessment of</w:t>
      </w:r>
      <w:r w:rsidR="000F6266" w:rsidRPr="00974BEB">
        <w:rPr>
          <w:szCs w:val="18"/>
          <w:lang w:val="en-US"/>
        </w:rPr>
        <w:t xml:space="preserve"> data completeness is ther</w:t>
      </w:r>
      <w:r w:rsidR="000F6266" w:rsidRPr="00974BEB">
        <w:rPr>
          <w:szCs w:val="18"/>
          <w:lang w:val="en-US"/>
        </w:rPr>
        <w:t>e</w:t>
      </w:r>
      <w:r w:rsidR="000F6266" w:rsidRPr="00974BEB">
        <w:rPr>
          <w:szCs w:val="18"/>
          <w:lang w:val="en-US"/>
        </w:rPr>
        <w:t>fore a prime prerequisite for</w:t>
      </w:r>
      <w:r w:rsidR="000F6266">
        <w:rPr>
          <w:szCs w:val="18"/>
          <w:lang w:val="en-US"/>
        </w:rPr>
        <w:t xml:space="preserve"> </w:t>
      </w:r>
      <w:r>
        <w:rPr>
          <w:szCs w:val="18"/>
          <w:lang w:val="en-US"/>
        </w:rPr>
        <w:t>SHA</w:t>
      </w:r>
      <w:r w:rsidR="000F6266" w:rsidRPr="00974BEB">
        <w:rPr>
          <w:szCs w:val="18"/>
          <w:lang w:val="en-US"/>
        </w:rPr>
        <w:t>.</w:t>
      </w:r>
    </w:p>
    <w:p w:rsidR="00974BEB" w:rsidRDefault="00974BEB" w:rsidP="00E44C22">
      <w:pPr>
        <w:spacing w:line="360" w:lineRule="auto"/>
        <w:ind w:left="120"/>
        <w:rPr>
          <w:szCs w:val="18"/>
          <w:lang w:val="en-US"/>
        </w:rPr>
      </w:pPr>
    </w:p>
    <w:p w:rsidR="00EA037C" w:rsidRDefault="00EA037C" w:rsidP="000F6266">
      <w:pPr>
        <w:spacing w:line="360" w:lineRule="auto"/>
        <w:ind w:left="120"/>
        <w:rPr>
          <w:szCs w:val="18"/>
          <w:lang w:val="en-US"/>
        </w:rPr>
      </w:pPr>
      <w:r>
        <w:rPr>
          <w:szCs w:val="18"/>
          <w:lang w:val="en-US"/>
        </w:rPr>
        <w:t>H</w:t>
      </w:r>
      <w:r w:rsidR="00E44C22" w:rsidRPr="00E44C22">
        <w:rPr>
          <w:szCs w:val="18"/>
          <w:lang w:val="en-US"/>
        </w:rPr>
        <w:t xml:space="preserve">istorical and instrumental </w:t>
      </w:r>
      <w:r w:rsidR="00974BEB">
        <w:rPr>
          <w:szCs w:val="18"/>
          <w:lang w:val="en-US"/>
        </w:rPr>
        <w:t xml:space="preserve">earthquake </w:t>
      </w:r>
      <w:r>
        <w:rPr>
          <w:szCs w:val="18"/>
          <w:lang w:val="en-US"/>
        </w:rPr>
        <w:t>records</w:t>
      </w:r>
      <w:r w:rsidR="00974BEB">
        <w:rPr>
          <w:szCs w:val="18"/>
          <w:lang w:val="en-US"/>
        </w:rPr>
        <w:t xml:space="preserve"> </w:t>
      </w:r>
      <w:r w:rsidR="00E44C22" w:rsidRPr="00E44C22">
        <w:rPr>
          <w:szCs w:val="18"/>
          <w:lang w:val="en-US"/>
        </w:rPr>
        <w:t xml:space="preserve">are incomplete. </w:t>
      </w:r>
      <w:r>
        <w:rPr>
          <w:szCs w:val="18"/>
          <w:lang w:val="en-US"/>
        </w:rPr>
        <w:t>The main sources for incomple</w:t>
      </w:r>
      <w:r>
        <w:rPr>
          <w:szCs w:val="18"/>
          <w:lang w:val="en-US"/>
        </w:rPr>
        <w:t>t</w:t>
      </w:r>
      <w:r>
        <w:rPr>
          <w:szCs w:val="18"/>
          <w:lang w:val="en-US"/>
        </w:rPr>
        <w:t xml:space="preserve">ness of </w:t>
      </w:r>
      <w:r w:rsidR="00974BEB">
        <w:rPr>
          <w:szCs w:val="18"/>
          <w:lang w:val="en-US"/>
        </w:rPr>
        <w:t xml:space="preserve">historical data </w:t>
      </w:r>
      <w:r>
        <w:rPr>
          <w:szCs w:val="18"/>
          <w:lang w:val="en-US"/>
        </w:rPr>
        <w:t>are:</w:t>
      </w:r>
    </w:p>
    <w:p w:rsidR="005D3AD5" w:rsidRDefault="005D3AD5" w:rsidP="00860D1D">
      <w:pPr>
        <w:numPr>
          <w:ilvl w:val="0"/>
          <w:numId w:val="22"/>
        </w:numPr>
        <w:spacing w:line="360" w:lineRule="auto"/>
        <w:rPr>
          <w:szCs w:val="18"/>
          <w:lang w:val="en-US"/>
        </w:rPr>
      </w:pPr>
      <w:r>
        <w:rPr>
          <w:szCs w:val="18"/>
          <w:lang w:val="en-US"/>
        </w:rPr>
        <w:t>L</w:t>
      </w:r>
      <w:r w:rsidR="000F6266">
        <w:rPr>
          <w:szCs w:val="18"/>
          <w:lang w:val="en-US"/>
        </w:rPr>
        <w:t xml:space="preserve">ack of historical records </w:t>
      </w:r>
      <w:r w:rsidR="00EA037C">
        <w:rPr>
          <w:szCs w:val="18"/>
          <w:lang w:val="en-US"/>
        </w:rPr>
        <w:t xml:space="preserve">(e.g., due to low </w:t>
      </w:r>
      <w:r w:rsidR="00EA037C" w:rsidRPr="00974BEB">
        <w:rPr>
          <w:szCs w:val="18"/>
          <w:lang w:val="en-US"/>
        </w:rPr>
        <w:t>past population density</w:t>
      </w:r>
      <w:r w:rsidR="007D5BDD">
        <w:rPr>
          <w:szCs w:val="18"/>
          <w:lang w:val="en-US"/>
        </w:rPr>
        <w:t>;</w:t>
      </w:r>
      <w:r w:rsidR="00EA037C" w:rsidRPr="00974BEB">
        <w:rPr>
          <w:szCs w:val="18"/>
          <w:lang w:val="en-US"/>
        </w:rPr>
        <w:t xml:space="preserve"> </w:t>
      </w:r>
      <w:r w:rsidR="00EA037C">
        <w:rPr>
          <w:szCs w:val="18"/>
          <w:lang w:val="en-US"/>
        </w:rPr>
        <w:t xml:space="preserve">absence of </w:t>
      </w:r>
      <w:r w:rsidR="00EA037C" w:rsidRPr="00974BEB">
        <w:rPr>
          <w:szCs w:val="18"/>
          <w:lang w:val="en-US"/>
        </w:rPr>
        <w:t>chronologists</w:t>
      </w:r>
      <w:r w:rsidR="007D5BDD">
        <w:rPr>
          <w:szCs w:val="18"/>
          <w:lang w:val="en-US"/>
        </w:rPr>
        <w:t>;</w:t>
      </w:r>
      <w:r w:rsidR="00EA037C">
        <w:rPr>
          <w:szCs w:val="18"/>
          <w:lang w:val="en-US"/>
        </w:rPr>
        <w:t xml:space="preserve"> lack of</w:t>
      </w:r>
      <w:r w:rsidR="00EA037C" w:rsidRPr="00974BEB">
        <w:rPr>
          <w:szCs w:val="18"/>
          <w:lang w:val="en-US"/>
        </w:rPr>
        <w:t xml:space="preserve"> interest</w:t>
      </w:r>
      <w:r w:rsidR="007D5BDD">
        <w:rPr>
          <w:szCs w:val="18"/>
          <w:lang w:val="en-US"/>
        </w:rPr>
        <w:t>;</w:t>
      </w:r>
      <w:r w:rsidR="00EA037C" w:rsidRPr="00974BEB">
        <w:rPr>
          <w:szCs w:val="18"/>
          <w:lang w:val="en-US"/>
        </w:rPr>
        <w:t xml:space="preserve"> </w:t>
      </w:r>
      <w:r w:rsidR="00EA037C">
        <w:rPr>
          <w:szCs w:val="18"/>
          <w:lang w:val="en-US"/>
        </w:rPr>
        <w:t xml:space="preserve">intensities </w:t>
      </w:r>
      <w:r>
        <w:rPr>
          <w:szCs w:val="18"/>
          <w:lang w:val="en-US"/>
        </w:rPr>
        <w:t xml:space="preserve">not reaching </w:t>
      </w:r>
      <w:r w:rsidR="007D5BDD">
        <w:rPr>
          <w:szCs w:val="18"/>
          <w:lang w:val="en-US"/>
        </w:rPr>
        <w:t xml:space="preserve">a </w:t>
      </w:r>
      <w:r>
        <w:rPr>
          <w:szCs w:val="18"/>
          <w:lang w:val="en-US"/>
        </w:rPr>
        <w:t>record</w:t>
      </w:r>
      <w:r w:rsidR="00EA037C">
        <w:rPr>
          <w:szCs w:val="18"/>
          <w:lang w:val="en-US"/>
        </w:rPr>
        <w:t xml:space="preserve"> threshold</w:t>
      </w:r>
      <w:r>
        <w:rPr>
          <w:szCs w:val="18"/>
          <w:lang w:val="en-US"/>
        </w:rPr>
        <w:t xml:space="preserve"> [</w:t>
      </w:r>
      <w:r w:rsidRPr="00E44C22">
        <w:rPr>
          <w:szCs w:val="18"/>
          <w:lang w:val="en-US"/>
        </w:rPr>
        <w:t>Gutdeutsch an</w:t>
      </w:r>
      <w:r>
        <w:rPr>
          <w:szCs w:val="18"/>
          <w:lang w:val="en-US"/>
        </w:rPr>
        <w:t>d Hammerl, 1999]</w:t>
      </w:r>
      <w:r w:rsidR="007D5BDD">
        <w:rPr>
          <w:szCs w:val="18"/>
          <w:lang w:val="en-US"/>
        </w:rPr>
        <w:t>;</w:t>
      </w:r>
      <w:r>
        <w:rPr>
          <w:szCs w:val="18"/>
          <w:lang w:val="en-US"/>
        </w:rPr>
        <w:t xml:space="preserve"> </w:t>
      </w:r>
      <w:r w:rsidR="007D5BDD">
        <w:rPr>
          <w:szCs w:val="18"/>
          <w:lang w:val="en-US"/>
        </w:rPr>
        <w:t xml:space="preserve">other </w:t>
      </w:r>
      <w:r>
        <w:rPr>
          <w:szCs w:val="18"/>
          <w:lang w:val="en-US"/>
        </w:rPr>
        <w:t>events distract</w:t>
      </w:r>
      <w:r w:rsidR="007D5BDD">
        <w:rPr>
          <w:szCs w:val="18"/>
          <w:lang w:val="en-US"/>
        </w:rPr>
        <w:t>ing</w:t>
      </w:r>
      <w:r>
        <w:rPr>
          <w:szCs w:val="18"/>
          <w:lang w:val="en-US"/>
        </w:rPr>
        <w:t xml:space="preserve"> from earthquakes [e.g., war, </w:t>
      </w:r>
      <w:r w:rsidRPr="00974BEB">
        <w:rPr>
          <w:szCs w:val="18"/>
          <w:lang w:val="en-US"/>
        </w:rPr>
        <w:t>social and political circumstances</w:t>
      </w:r>
      <w:r>
        <w:rPr>
          <w:szCs w:val="18"/>
          <w:lang w:val="en-US"/>
        </w:rPr>
        <w:t xml:space="preserve">, </w:t>
      </w:r>
      <w:r w:rsidRPr="00974BEB">
        <w:rPr>
          <w:szCs w:val="18"/>
          <w:lang w:val="en-US"/>
        </w:rPr>
        <w:t>other natural</w:t>
      </w:r>
      <w:r>
        <w:rPr>
          <w:szCs w:val="18"/>
          <w:lang w:val="en-US"/>
        </w:rPr>
        <w:t xml:space="preserve"> </w:t>
      </w:r>
      <w:r w:rsidRPr="00974BEB">
        <w:rPr>
          <w:szCs w:val="18"/>
          <w:lang w:val="en-US"/>
        </w:rPr>
        <w:t>disasters</w:t>
      </w:r>
      <w:r>
        <w:rPr>
          <w:szCs w:val="18"/>
          <w:lang w:val="en-US"/>
        </w:rPr>
        <w:t>])</w:t>
      </w:r>
      <w:r w:rsidR="00D75303">
        <w:rPr>
          <w:szCs w:val="18"/>
          <w:lang w:val="en-US"/>
        </w:rPr>
        <w:t>;</w:t>
      </w:r>
    </w:p>
    <w:p w:rsidR="00EA037C" w:rsidRDefault="005D3AD5" w:rsidP="00860D1D">
      <w:pPr>
        <w:numPr>
          <w:ilvl w:val="0"/>
          <w:numId w:val="22"/>
        </w:numPr>
        <w:spacing w:line="360" w:lineRule="auto"/>
        <w:rPr>
          <w:szCs w:val="18"/>
          <w:lang w:val="en-US"/>
        </w:rPr>
      </w:pPr>
      <w:r>
        <w:rPr>
          <w:szCs w:val="18"/>
          <w:lang w:val="en-US"/>
        </w:rPr>
        <w:t>A</w:t>
      </w:r>
      <w:r w:rsidR="000F6266">
        <w:rPr>
          <w:szCs w:val="18"/>
          <w:lang w:val="en-US"/>
        </w:rPr>
        <w:t>mbiguity of descr</w:t>
      </w:r>
      <w:r>
        <w:rPr>
          <w:szCs w:val="18"/>
          <w:lang w:val="en-US"/>
        </w:rPr>
        <w:t>i</w:t>
      </w:r>
      <w:r w:rsidR="000F6266">
        <w:rPr>
          <w:szCs w:val="18"/>
          <w:lang w:val="en-US"/>
        </w:rPr>
        <w:t xml:space="preserve">ptions </w:t>
      </w:r>
      <w:r>
        <w:rPr>
          <w:szCs w:val="18"/>
          <w:lang w:val="en-US"/>
        </w:rPr>
        <w:t xml:space="preserve">that do not allow </w:t>
      </w:r>
      <w:r w:rsidR="007D5BDD">
        <w:rPr>
          <w:szCs w:val="18"/>
          <w:lang w:val="en-US"/>
        </w:rPr>
        <w:t xml:space="preserve">parameterize </w:t>
      </w:r>
      <w:r>
        <w:rPr>
          <w:szCs w:val="18"/>
          <w:lang w:val="en-US"/>
        </w:rPr>
        <w:t>earthquake</w:t>
      </w:r>
      <w:r w:rsidR="007D5BDD">
        <w:rPr>
          <w:szCs w:val="18"/>
          <w:lang w:val="en-US"/>
        </w:rPr>
        <w:t>s</w:t>
      </w:r>
      <w:r>
        <w:rPr>
          <w:szCs w:val="18"/>
          <w:lang w:val="en-US"/>
        </w:rPr>
        <w:t xml:space="preserve"> (time, intensity, location)</w:t>
      </w:r>
      <w:r w:rsidR="00D75303">
        <w:rPr>
          <w:szCs w:val="18"/>
          <w:lang w:val="en-US"/>
        </w:rPr>
        <w:t>;</w:t>
      </w:r>
    </w:p>
    <w:p w:rsidR="00EA037C" w:rsidRDefault="005D3AD5" w:rsidP="00860D1D">
      <w:pPr>
        <w:numPr>
          <w:ilvl w:val="0"/>
          <w:numId w:val="22"/>
        </w:numPr>
        <w:spacing w:line="360" w:lineRule="auto"/>
        <w:rPr>
          <w:szCs w:val="18"/>
          <w:lang w:val="en-US"/>
        </w:rPr>
      </w:pPr>
      <w:r>
        <w:rPr>
          <w:szCs w:val="18"/>
          <w:lang w:val="en-US"/>
        </w:rPr>
        <w:t xml:space="preserve">Lack </w:t>
      </w:r>
      <w:r w:rsidR="005F55EC">
        <w:rPr>
          <w:szCs w:val="18"/>
          <w:lang w:val="en-US"/>
        </w:rPr>
        <w:t>or insufficient</w:t>
      </w:r>
      <w:r>
        <w:rPr>
          <w:szCs w:val="18"/>
          <w:lang w:val="en-US"/>
        </w:rPr>
        <w:t xml:space="preserve"> historical earthquake research</w:t>
      </w:r>
      <w:r w:rsidR="007D5BDD">
        <w:rPr>
          <w:szCs w:val="18"/>
          <w:lang w:val="en-US"/>
        </w:rPr>
        <w:t>.</w:t>
      </w:r>
    </w:p>
    <w:p w:rsidR="005D3AD5" w:rsidRDefault="005D3AD5" w:rsidP="000F6266">
      <w:pPr>
        <w:spacing w:line="360" w:lineRule="auto"/>
        <w:ind w:left="120"/>
        <w:rPr>
          <w:szCs w:val="18"/>
          <w:lang w:val="en-US"/>
        </w:rPr>
      </w:pPr>
    </w:p>
    <w:p w:rsidR="005D3AD5" w:rsidRDefault="000F6266" w:rsidP="000F6266">
      <w:pPr>
        <w:spacing w:line="360" w:lineRule="auto"/>
        <w:ind w:left="120"/>
        <w:rPr>
          <w:szCs w:val="18"/>
          <w:lang w:val="en-US"/>
        </w:rPr>
      </w:pPr>
      <w:r>
        <w:rPr>
          <w:szCs w:val="18"/>
          <w:lang w:val="en-US"/>
        </w:rPr>
        <w:t>The completeness of instrumental data depends on</w:t>
      </w:r>
      <w:r w:rsidR="005D3AD5">
        <w:rPr>
          <w:szCs w:val="18"/>
          <w:lang w:val="en-US"/>
        </w:rPr>
        <w:t>:</w:t>
      </w:r>
    </w:p>
    <w:p w:rsidR="005D3AD5" w:rsidRDefault="005D3AD5" w:rsidP="00860D1D">
      <w:pPr>
        <w:numPr>
          <w:ilvl w:val="0"/>
          <w:numId w:val="27"/>
        </w:numPr>
        <w:spacing w:line="360" w:lineRule="auto"/>
        <w:rPr>
          <w:szCs w:val="18"/>
          <w:lang w:val="en-US"/>
        </w:rPr>
      </w:pPr>
      <w:r>
        <w:rPr>
          <w:szCs w:val="18"/>
          <w:lang w:val="en-US"/>
        </w:rPr>
        <w:t>T</w:t>
      </w:r>
      <w:r w:rsidR="000F6266">
        <w:rPr>
          <w:szCs w:val="18"/>
          <w:lang w:val="en-US"/>
        </w:rPr>
        <w:t xml:space="preserve">he timing of the implementation of seismic networks </w:t>
      </w:r>
      <w:r>
        <w:rPr>
          <w:szCs w:val="18"/>
          <w:lang w:val="en-US"/>
        </w:rPr>
        <w:t>(</w:t>
      </w:r>
      <w:r w:rsidR="000F6266">
        <w:rPr>
          <w:szCs w:val="18"/>
          <w:lang w:val="en-US"/>
        </w:rPr>
        <w:t xml:space="preserve">in Europe </w:t>
      </w:r>
      <w:r>
        <w:rPr>
          <w:szCs w:val="18"/>
          <w:lang w:val="en-US"/>
        </w:rPr>
        <w:t xml:space="preserve">generally starting </w:t>
      </w:r>
      <w:r w:rsidR="000F6266">
        <w:rPr>
          <w:szCs w:val="18"/>
          <w:lang w:val="en-US"/>
        </w:rPr>
        <w:t xml:space="preserve">during </w:t>
      </w:r>
      <w:r>
        <w:rPr>
          <w:szCs w:val="18"/>
          <w:lang w:val="en-US"/>
        </w:rPr>
        <w:t xml:space="preserve">at the </w:t>
      </w:r>
      <w:r w:rsidR="000F6266">
        <w:rPr>
          <w:szCs w:val="18"/>
          <w:lang w:val="en-US"/>
        </w:rPr>
        <w:t>begi</w:t>
      </w:r>
      <w:r w:rsidR="000F6266">
        <w:rPr>
          <w:szCs w:val="18"/>
          <w:lang w:val="en-US"/>
        </w:rPr>
        <w:t>n</w:t>
      </w:r>
      <w:r w:rsidR="000F6266">
        <w:rPr>
          <w:szCs w:val="18"/>
          <w:lang w:val="en-US"/>
        </w:rPr>
        <w:t>ning of the 20</w:t>
      </w:r>
      <w:r w:rsidR="000F6266" w:rsidRPr="000F6266">
        <w:rPr>
          <w:szCs w:val="18"/>
          <w:vertAlign w:val="superscript"/>
          <w:lang w:val="en-US"/>
        </w:rPr>
        <w:t>th</w:t>
      </w:r>
      <w:r w:rsidR="000F6266">
        <w:rPr>
          <w:szCs w:val="18"/>
          <w:lang w:val="en-US"/>
        </w:rPr>
        <w:t xml:space="preserve"> century</w:t>
      </w:r>
      <w:r>
        <w:rPr>
          <w:szCs w:val="18"/>
          <w:lang w:val="en-US"/>
        </w:rPr>
        <w:t>)</w:t>
      </w:r>
      <w:r w:rsidR="00D75303">
        <w:rPr>
          <w:szCs w:val="18"/>
          <w:lang w:val="en-US"/>
        </w:rPr>
        <w:t>;</w:t>
      </w:r>
    </w:p>
    <w:p w:rsidR="005D3AD5" w:rsidRDefault="00D75303" w:rsidP="00860D1D">
      <w:pPr>
        <w:numPr>
          <w:ilvl w:val="0"/>
          <w:numId w:val="27"/>
        </w:numPr>
        <w:spacing w:line="360" w:lineRule="auto"/>
        <w:rPr>
          <w:szCs w:val="18"/>
          <w:lang w:val="en-US"/>
        </w:rPr>
      </w:pPr>
      <w:r>
        <w:rPr>
          <w:szCs w:val="18"/>
          <w:lang w:val="en-US"/>
        </w:rPr>
        <w:t>The</w:t>
      </w:r>
      <w:r w:rsidR="000F6266">
        <w:rPr>
          <w:szCs w:val="18"/>
          <w:lang w:val="en-US"/>
        </w:rPr>
        <w:t xml:space="preserve"> </w:t>
      </w:r>
      <w:r w:rsidR="000F6266" w:rsidRPr="00974BEB">
        <w:rPr>
          <w:szCs w:val="18"/>
          <w:lang w:val="en-US"/>
        </w:rPr>
        <w:t>geometry</w:t>
      </w:r>
      <w:r>
        <w:rPr>
          <w:szCs w:val="18"/>
          <w:lang w:val="en-US"/>
        </w:rPr>
        <w:t xml:space="preserve">, density, and </w:t>
      </w:r>
      <w:r w:rsidR="000F6266" w:rsidRPr="00974BEB">
        <w:rPr>
          <w:szCs w:val="18"/>
          <w:lang w:val="en-US"/>
        </w:rPr>
        <w:t>coverage of the seismic network</w:t>
      </w:r>
      <w:r>
        <w:rPr>
          <w:szCs w:val="18"/>
          <w:lang w:val="en-US"/>
        </w:rPr>
        <w:t>;</w:t>
      </w:r>
    </w:p>
    <w:p w:rsidR="005D3AD5" w:rsidRDefault="005D3AD5" w:rsidP="00860D1D">
      <w:pPr>
        <w:numPr>
          <w:ilvl w:val="0"/>
          <w:numId w:val="27"/>
        </w:numPr>
        <w:spacing w:line="360" w:lineRule="auto"/>
        <w:rPr>
          <w:szCs w:val="18"/>
          <w:lang w:val="en-US"/>
        </w:rPr>
      </w:pPr>
      <w:r>
        <w:rPr>
          <w:szCs w:val="18"/>
          <w:lang w:val="en-US"/>
        </w:rPr>
        <w:t>Sensitivity of the instrumentation</w:t>
      </w:r>
      <w:r w:rsidR="00D75303">
        <w:rPr>
          <w:szCs w:val="18"/>
          <w:lang w:val="en-US"/>
        </w:rPr>
        <w:t>;</w:t>
      </w:r>
    </w:p>
    <w:p w:rsidR="000F6266" w:rsidRDefault="005D3AD5" w:rsidP="00860D1D">
      <w:pPr>
        <w:numPr>
          <w:ilvl w:val="0"/>
          <w:numId w:val="27"/>
        </w:numPr>
        <w:spacing w:line="360" w:lineRule="auto"/>
        <w:rPr>
          <w:szCs w:val="18"/>
          <w:lang w:val="en-US"/>
        </w:rPr>
      </w:pPr>
      <w:r>
        <w:rPr>
          <w:szCs w:val="18"/>
          <w:lang w:val="en-US"/>
        </w:rPr>
        <w:t>M</w:t>
      </w:r>
      <w:r w:rsidR="000F6266" w:rsidRPr="00974BEB">
        <w:rPr>
          <w:szCs w:val="18"/>
          <w:lang w:val="en-US"/>
        </w:rPr>
        <w:t>alfunction of seismic</w:t>
      </w:r>
      <w:r w:rsidR="000F6266">
        <w:rPr>
          <w:szCs w:val="18"/>
          <w:lang w:val="en-US"/>
        </w:rPr>
        <w:t xml:space="preserve"> </w:t>
      </w:r>
      <w:r w:rsidR="000F6266" w:rsidRPr="00974BEB">
        <w:rPr>
          <w:szCs w:val="18"/>
          <w:lang w:val="en-US"/>
        </w:rPr>
        <w:t>stations</w:t>
      </w:r>
      <w:r>
        <w:rPr>
          <w:szCs w:val="18"/>
          <w:lang w:val="en-US"/>
        </w:rPr>
        <w:t xml:space="preserve"> </w:t>
      </w:r>
      <w:r w:rsidR="005F55EC">
        <w:rPr>
          <w:szCs w:val="18"/>
          <w:lang w:val="en-US"/>
        </w:rPr>
        <w:t xml:space="preserve">over longer periods of time </w:t>
      </w:r>
      <w:r>
        <w:rPr>
          <w:szCs w:val="18"/>
          <w:lang w:val="en-US"/>
        </w:rPr>
        <w:t>(</w:t>
      </w:r>
      <w:r w:rsidR="000F6266">
        <w:rPr>
          <w:szCs w:val="18"/>
          <w:lang w:val="en-US"/>
        </w:rPr>
        <w:t>e.g., due to war action</w:t>
      </w:r>
      <w:r>
        <w:rPr>
          <w:szCs w:val="18"/>
          <w:lang w:val="en-US"/>
        </w:rPr>
        <w:t>;</w:t>
      </w:r>
      <w:r w:rsidR="000F6266">
        <w:rPr>
          <w:szCs w:val="18"/>
          <w:lang w:val="en-US"/>
        </w:rPr>
        <w:t xml:space="preserve"> </w:t>
      </w:r>
      <w:r>
        <w:rPr>
          <w:szCs w:val="18"/>
          <w:lang w:val="en-US"/>
        </w:rPr>
        <w:t>Hammerl et al., 2001)</w:t>
      </w:r>
      <w:r w:rsidR="007D5BDD">
        <w:rPr>
          <w:szCs w:val="18"/>
          <w:lang w:val="en-US"/>
        </w:rPr>
        <w:t>.</w:t>
      </w:r>
    </w:p>
    <w:p w:rsidR="005D3AD5" w:rsidRDefault="005D3AD5" w:rsidP="005D3AD5">
      <w:pPr>
        <w:spacing w:line="360" w:lineRule="auto"/>
        <w:rPr>
          <w:szCs w:val="18"/>
          <w:lang w:val="en-US"/>
        </w:rPr>
      </w:pPr>
    </w:p>
    <w:p w:rsidR="00103F85" w:rsidRDefault="007C7CBD" w:rsidP="000C3A42">
      <w:pPr>
        <w:spacing w:line="360" w:lineRule="auto"/>
        <w:ind w:left="120"/>
        <w:rPr>
          <w:szCs w:val="18"/>
          <w:lang w:val="en-US"/>
        </w:rPr>
      </w:pPr>
      <w:r>
        <w:rPr>
          <w:szCs w:val="18"/>
          <w:lang w:val="en-US"/>
        </w:rPr>
        <w:t>A</w:t>
      </w:r>
      <w:r w:rsidR="00974BEB" w:rsidRPr="00974BEB">
        <w:rPr>
          <w:szCs w:val="18"/>
          <w:lang w:val="en-US"/>
        </w:rPr>
        <w:t>ssess</w:t>
      </w:r>
      <w:r>
        <w:rPr>
          <w:szCs w:val="18"/>
          <w:lang w:val="en-US"/>
        </w:rPr>
        <w:t xml:space="preserve">ments of </w:t>
      </w:r>
      <w:r w:rsidR="00093025">
        <w:rPr>
          <w:szCs w:val="18"/>
          <w:lang w:val="en-US"/>
        </w:rPr>
        <w:t xml:space="preserve">earthquake catalogue </w:t>
      </w:r>
      <w:r>
        <w:rPr>
          <w:szCs w:val="18"/>
          <w:lang w:val="en-US"/>
        </w:rPr>
        <w:t xml:space="preserve">completeness </w:t>
      </w:r>
      <w:r w:rsidR="00D72271">
        <w:rPr>
          <w:szCs w:val="18"/>
          <w:lang w:val="en-US"/>
        </w:rPr>
        <w:t xml:space="preserve">determine the </w:t>
      </w:r>
      <w:r w:rsidR="00D72271" w:rsidRPr="00974BEB">
        <w:rPr>
          <w:szCs w:val="18"/>
          <w:lang w:val="en-US"/>
        </w:rPr>
        <w:t>time interva</w:t>
      </w:r>
      <w:r w:rsidR="00093025">
        <w:rPr>
          <w:szCs w:val="18"/>
          <w:lang w:val="en-US"/>
        </w:rPr>
        <w:t xml:space="preserve">ls in which a certain intensity or </w:t>
      </w:r>
      <w:r w:rsidR="00D72271" w:rsidRPr="00974BEB">
        <w:rPr>
          <w:szCs w:val="18"/>
          <w:lang w:val="en-US"/>
        </w:rPr>
        <w:t xml:space="preserve">magnitude </w:t>
      </w:r>
      <w:r w:rsidR="00D72271">
        <w:rPr>
          <w:szCs w:val="18"/>
          <w:lang w:val="en-US"/>
        </w:rPr>
        <w:t>class</w:t>
      </w:r>
      <w:r w:rsidR="00D72271" w:rsidRPr="00D72271">
        <w:rPr>
          <w:szCs w:val="18"/>
          <w:lang w:val="en-US"/>
        </w:rPr>
        <w:t xml:space="preserve"> </w:t>
      </w:r>
      <w:r w:rsidR="00D72271" w:rsidRPr="00974BEB">
        <w:rPr>
          <w:szCs w:val="18"/>
          <w:lang w:val="en-US"/>
        </w:rPr>
        <w:t>can be</w:t>
      </w:r>
      <w:r w:rsidR="00D72271">
        <w:rPr>
          <w:szCs w:val="18"/>
          <w:lang w:val="en-US"/>
        </w:rPr>
        <w:t xml:space="preserve"> </w:t>
      </w:r>
      <w:r w:rsidR="00D72271" w:rsidRPr="00974BEB">
        <w:rPr>
          <w:szCs w:val="18"/>
          <w:lang w:val="en-US"/>
        </w:rPr>
        <w:t>considered to be completely reported</w:t>
      </w:r>
      <w:r w:rsidR="00D72271">
        <w:rPr>
          <w:szCs w:val="18"/>
          <w:lang w:val="en-US"/>
        </w:rPr>
        <w:t xml:space="preserve">. Different approaches for such assessments have been proposed </w:t>
      </w:r>
      <w:r w:rsidR="00974BEB" w:rsidRPr="00974BEB">
        <w:rPr>
          <w:szCs w:val="18"/>
          <w:lang w:val="en-US"/>
        </w:rPr>
        <w:t>(Stepp, 1972; Mulargia and</w:t>
      </w:r>
      <w:r w:rsidR="009B48B9">
        <w:rPr>
          <w:szCs w:val="18"/>
          <w:lang w:val="en-US"/>
        </w:rPr>
        <w:t xml:space="preserve"> </w:t>
      </w:r>
      <w:r w:rsidR="00974BEB" w:rsidRPr="000F6266">
        <w:rPr>
          <w:szCs w:val="18"/>
        </w:rPr>
        <w:t>Tinti, 1987; Grünthal et al., 1</w:t>
      </w:r>
      <w:r w:rsidR="000F6266" w:rsidRPr="000F6266">
        <w:rPr>
          <w:szCs w:val="18"/>
        </w:rPr>
        <w:t xml:space="preserve">998; Stucchi et al., 2004; Wössner </w:t>
      </w:r>
      <w:r w:rsidR="005D3AD5">
        <w:rPr>
          <w:szCs w:val="18"/>
        </w:rPr>
        <w:t>&amp;</w:t>
      </w:r>
      <w:r w:rsidR="000F6266" w:rsidRPr="000F6266">
        <w:rPr>
          <w:szCs w:val="18"/>
        </w:rPr>
        <w:t xml:space="preserve"> Wiemer, 2005)</w:t>
      </w:r>
      <w:r w:rsidR="00D72271">
        <w:rPr>
          <w:szCs w:val="18"/>
        </w:rPr>
        <w:t xml:space="preserve">. </w:t>
      </w:r>
      <w:r w:rsidR="00D72271">
        <w:rPr>
          <w:szCs w:val="18"/>
          <w:lang w:val="en-US"/>
        </w:rPr>
        <w:t>Among</w:t>
      </w:r>
      <w:r w:rsidR="00D72271">
        <w:rPr>
          <w:szCs w:val="18"/>
        </w:rPr>
        <w:t xml:space="preserve"> these the </w:t>
      </w:r>
      <w:r w:rsidR="00870297">
        <w:rPr>
          <w:szCs w:val="18"/>
        </w:rPr>
        <w:t xml:space="preserve">approaches </w:t>
      </w:r>
      <w:r w:rsidR="00D72271">
        <w:rPr>
          <w:szCs w:val="18"/>
        </w:rPr>
        <w:t>which are based on Stepp</w:t>
      </w:r>
      <w:r w:rsidR="00870297">
        <w:rPr>
          <w:szCs w:val="18"/>
        </w:rPr>
        <w:t>’s</w:t>
      </w:r>
      <w:r w:rsidR="00D72271">
        <w:rPr>
          <w:szCs w:val="18"/>
        </w:rPr>
        <w:t xml:space="preserve"> (1972) </w:t>
      </w:r>
      <w:r w:rsidR="00870297">
        <w:rPr>
          <w:szCs w:val="18"/>
        </w:rPr>
        <w:t>method and on the analysis of time-frequency plots are most commonly used (</w:t>
      </w:r>
      <w:r w:rsidR="00103F85">
        <w:rPr>
          <w:szCs w:val="18"/>
          <w:lang w:val="en-US"/>
        </w:rPr>
        <w:t>Nasir et al.</w:t>
      </w:r>
      <w:r w:rsidR="00870297">
        <w:rPr>
          <w:szCs w:val="18"/>
          <w:lang w:val="en-US"/>
        </w:rPr>
        <w:t>, 2013</w:t>
      </w:r>
      <w:r w:rsidR="006567F1">
        <w:rPr>
          <w:szCs w:val="18"/>
          <w:lang w:val="en-US"/>
        </w:rPr>
        <w:t>; USNRC, 2012a, vol. 1</w:t>
      </w:r>
      <w:r w:rsidR="00103F85">
        <w:rPr>
          <w:szCs w:val="18"/>
          <w:lang w:val="en-US"/>
        </w:rPr>
        <w:t>)</w:t>
      </w:r>
      <w:r w:rsidR="00093025">
        <w:rPr>
          <w:szCs w:val="18"/>
          <w:lang w:val="en-US"/>
        </w:rPr>
        <w:t>. Both approaches r</w:t>
      </w:r>
      <w:r w:rsidR="00093025">
        <w:rPr>
          <w:szCs w:val="18"/>
          <w:lang w:val="en-US"/>
        </w:rPr>
        <w:t>e</w:t>
      </w:r>
      <w:r w:rsidR="00093025">
        <w:rPr>
          <w:szCs w:val="18"/>
          <w:lang w:val="en-US"/>
        </w:rPr>
        <w:t xml:space="preserve">quire </w:t>
      </w:r>
      <w:r w:rsidR="00D75303">
        <w:rPr>
          <w:szCs w:val="18"/>
          <w:lang w:val="en-US"/>
        </w:rPr>
        <w:t xml:space="preserve">the </w:t>
      </w:r>
      <w:r w:rsidR="00093025">
        <w:rPr>
          <w:szCs w:val="18"/>
          <w:lang w:val="en-US"/>
        </w:rPr>
        <w:t>decluster</w:t>
      </w:r>
      <w:r w:rsidR="00D75303">
        <w:rPr>
          <w:szCs w:val="18"/>
          <w:lang w:val="en-US"/>
        </w:rPr>
        <w:t xml:space="preserve">ing of </w:t>
      </w:r>
      <w:r w:rsidR="00093025">
        <w:rPr>
          <w:szCs w:val="18"/>
          <w:lang w:val="en-US"/>
        </w:rPr>
        <w:t>eart</w:t>
      </w:r>
      <w:r w:rsidR="00093025">
        <w:rPr>
          <w:szCs w:val="18"/>
          <w:lang w:val="en-US"/>
        </w:rPr>
        <w:t>h</w:t>
      </w:r>
      <w:r w:rsidR="00093025">
        <w:rPr>
          <w:szCs w:val="18"/>
          <w:lang w:val="en-US"/>
        </w:rPr>
        <w:t>quake catalogues.</w:t>
      </w:r>
    </w:p>
    <w:p w:rsidR="009B48B9" w:rsidRPr="00705EEC" w:rsidRDefault="00103F85" w:rsidP="00ED493A">
      <w:pPr>
        <w:numPr>
          <w:ilvl w:val="0"/>
          <w:numId w:val="20"/>
        </w:numPr>
        <w:spacing w:line="360" w:lineRule="auto"/>
        <w:ind w:left="709" w:hanging="227"/>
        <w:rPr>
          <w:szCs w:val="18"/>
          <w:lang w:val="en-US"/>
        </w:rPr>
      </w:pPr>
      <w:r w:rsidRPr="00705EEC">
        <w:rPr>
          <w:szCs w:val="18"/>
          <w:lang w:val="en-US"/>
        </w:rPr>
        <w:t>Time-frequency plots</w:t>
      </w:r>
      <w:r w:rsidR="009B48B9" w:rsidRPr="00705EEC">
        <w:rPr>
          <w:szCs w:val="18"/>
          <w:lang w:val="en-US"/>
        </w:rPr>
        <w:t>: TCEF (</w:t>
      </w:r>
      <w:r w:rsidR="009B48B9" w:rsidRPr="00BD6598">
        <w:rPr>
          <w:szCs w:val="18"/>
          <w:lang w:val="en-US"/>
        </w:rPr>
        <w:t>Temp</w:t>
      </w:r>
      <w:r w:rsidR="006904E9" w:rsidRPr="00BD6598">
        <w:rPr>
          <w:szCs w:val="18"/>
          <w:lang w:val="en-US"/>
        </w:rPr>
        <w:t>o</w:t>
      </w:r>
      <w:r w:rsidR="009B48B9" w:rsidRPr="00BD6598">
        <w:rPr>
          <w:szCs w:val="18"/>
          <w:lang w:val="en-US"/>
        </w:rPr>
        <w:t>ral</w:t>
      </w:r>
      <w:r w:rsidR="006904E9">
        <w:rPr>
          <w:szCs w:val="18"/>
          <w:lang w:val="en-US"/>
        </w:rPr>
        <w:t xml:space="preserve"> </w:t>
      </w:r>
      <w:r w:rsidR="009B48B9" w:rsidRPr="00705EEC">
        <w:rPr>
          <w:szCs w:val="18"/>
          <w:lang w:val="en-US"/>
        </w:rPr>
        <w:t>Course of Earthquake Frequency</w:t>
      </w:r>
      <w:r w:rsidR="0042382F">
        <w:rPr>
          <w:szCs w:val="18"/>
          <w:lang w:val="en-US"/>
        </w:rPr>
        <w:t xml:space="preserve">, </w:t>
      </w:r>
      <w:r w:rsidR="0042382F">
        <w:rPr>
          <w:szCs w:val="18"/>
          <w:lang w:val="en-US"/>
        </w:rPr>
        <w:fldChar w:fldCharType="begin"/>
      </w:r>
      <w:r w:rsidR="0042382F">
        <w:rPr>
          <w:szCs w:val="18"/>
          <w:lang w:val="en-US"/>
        </w:rPr>
        <w:instrText xml:space="preserve"> REF _Ref451164864 \h </w:instrText>
      </w:r>
      <w:r w:rsidR="0042382F">
        <w:rPr>
          <w:szCs w:val="18"/>
          <w:lang w:val="en-US"/>
        </w:rPr>
      </w:r>
      <w:r w:rsidR="0042382F">
        <w:rPr>
          <w:szCs w:val="18"/>
          <w:lang w:val="en-US"/>
        </w:rPr>
        <w:fldChar w:fldCharType="separate"/>
      </w:r>
      <w:r w:rsidR="00173034">
        <w:t xml:space="preserve">Figure </w:t>
      </w:r>
      <w:r w:rsidR="00173034">
        <w:rPr>
          <w:noProof/>
        </w:rPr>
        <w:t>5</w:t>
      </w:r>
      <w:r w:rsidR="0042382F">
        <w:rPr>
          <w:szCs w:val="18"/>
          <w:lang w:val="en-US"/>
        </w:rPr>
        <w:fldChar w:fldCharType="end"/>
      </w:r>
      <w:r w:rsidR="009B48B9" w:rsidRPr="00705EEC">
        <w:rPr>
          <w:szCs w:val="18"/>
          <w:lang w:val="en-US"/>
        </w:rPr>
        <w:t xml:space="preserve">) </w:t>
      </w:r>
      <w:r w:rsidR="00705EEC">
        <w:rPr>
          <w:szCs w:val="18"/>
          <w:lang w:val="en-US"/>
        </w:rPr>
        <w:t xml:space="preserve">estimates the </w:t>
      </w:r>
      <w:r w:rsidR="00550035" w:rsidRPr="00705EEC">
        <w:rPr>
          <w:szCs w:val="18"/>
          <w:lang w:val="en-US"/>
        </w:rPr>
        <w:t>co</w:t>
      </w:r>
      <w:r w:rsidR="00550035" w:rsidRPr="00705EEC">
        <w:rPr>
          <w:szCs w:val="18"/>
          <w:lang w:val="en-US"/>
        </w:rPr>
        <w:t>m</w:t>
      </w:r>
      <w:r w:rsidR="00550035" w:rsidRPr="00705EEC">
        <w:rPr>
          <w:szCs w:val="18"/>
          <w:lang w:val="en-US"/>
        </w:rPr>
        <w:t xml:space="preserve">pleteness of records for single intensity </w:t>
      </w:r>
      <w:r w:rsidR="00093025">
        <w:rPr>
          <w:szCs w:val="18"/>
          <w:lang w:val="en-US"/>
        </w:rPr>
        <w:t xml:space="preserve">or magnitude </w:t>
      </w:r>
      <w:r w:rsidR="00550035" w:rsidRPr="00705EEC">
        <w:rPr>
          <w:szCs w:val="18"/>
          <w:lang w:val="en-US"/>
        </w:rPr>
        <w:t>classes by plotting the cumulative number of events of a</w:t>
      </w:r>
      <w:r w:rsidR="00093025">
        <w:rPr>
          <w:szCs w:val="18"/>
          <w:lang w:val="en-US"/>
        </w:rPr>
        <w:t xml:space="preserve"> </w:t>
      </w:r>
      <w:r w:rsidR="00550035" w:rsidRPr="00705EEC">
        <w:rPr>
          <w:szCs w:val="18"/>
          <w:lang w:val="en-US"/>
        </w:rPr>
        <w:t xml:space="preserve">class versus time. </w:t>
      </w:r>
      <w:r w:rsidR="00705EEC" w:rsidRPr="00705EEC">
        <w:rPr>
          <w:szCs w:val="18"/>
          <w:lang w:val="en-US"/>
        </w:rPr>
        <w:t>The basic assumption</w:t>
      </w:r>
      <w:r w:rsidR="00550035" w:rsidRPr="00705EEC">
        <w:rPr>
          <w:szCs w:val="18"/>
          <w:lang w:val="en-US"/>
        </w:rPr>
        <w:t xml:space="preserve"> is </w:t>
      </w:r>
      <w:r w:rsidR="00705EEC" w:rsidRPr="00705EEC">
        <w:rPr>
          <w:szCs w:val="18"/>
          <w:lang w:val="en-US"/>
        </w:rPr>
        <w:t xml:space="preserve">that earthquakes occur at constant average frequencies through history, and that </w:t>
      </w:r>
      <w:r w:rsidR="00705EEC">
        <w:rPr>
          <w:szCs w:val="18"/>
          <w:lang w:val="en-US"/>
        </w:rPr>
        <w:t xml:space="preserve">apparent frequency increases </w:t>
      </w:r>
      <w:r w:rsidR="00705EEC" w:rsidRPr="00705EEC">
        <w:rPr>
          <w:szCs w:val="18"/>
          <w:lang w:val="en-US"/>
        </w:rPr>
        <w:t>are due to more complete records</w:t>
      </w:r>
      <w:r w:rsidR="00705EEC">
        <w:rPr>
          <w:szCs w:val="18"/>
          <w:lang w:val="en-US"/>
        </w:rPr>
        <w:t xml:space="preserve"> </w:t>
      </w:r>
      <w:r w:rsidR="00550035" w:rsidRPr="00705EEC">
        <w:rPr>
          <w:szCs w:val="18"/>
          <w:lang w:val="en-US"/>
        </w:rPr>
        <w:t>(Gasperini and Ferrari, 2000).</w:t>
      </w:r>
      <w:r w:rsidR="00705EEC" w:rsidRPr="00705EEC">
        <w:rPr>
          <w:szCs w:val="18"/>
          <w:lang w:val="en-US"/>
        </w:rPr>
        <w:t xml:space="preserve"> The method is commonly used in </w:t>
      </w:r>
      <w:r w:rsidR="009B48B9" w:rsidRPr="00705EEC">
        <w:rPr>
          <w:szCs w:val="18"/>
          <w:lang w:val="en-US"/>
        </w:rPr>
        <w:t xml:space="preserve">Central Europe (e.g. </w:t>
      </w:r>
      <w:r w:rsidR="00705EEC">
        <w:rPr>
          <w:szCs w:val="18"/>
          <w:lang w:val="en-US"/>
        </w:rPr>
        <w:t xml:space="preserve">Lenhardt, 1996; Decker et al., 2011 </w:t>
      </w:r>
      <w:r w:rsidR="00705EEC" w:rsidRPr="0019142E">
        <w:rPr>
          <w:color w:val="2E74B5"/>
          <w:szCs w:val="18"/>
          <w:lang w:val="en-US"/>
        </w:rPr>
        <w:t>AIP Final</w:t>
      </w:r>
      <w:r w:rsidR="00705EEC" w:rsidRPr="00705EEC">
        <w:rPr>
          <w:szCs w:val="18"/>
          <w:lang w:val="en-US"/>
        </w:rPr>
        <w:t>; Nasir et al., 2013</w:t>
      </w:r>
      <w:r w:rsidR="00705EEC">
        <w:rPr>
          <w:szCs w:val="18"/>
          <w:lang w:val="en-US"/>
        </w:rPr>
        <w:t>)</w:t>
      </w:r>
      <w:r w:rsidR="009B48B9" w:rsidRPr="00705EEC">
        <w:rPr>
          <w:szCs w:val="18"/>
          <w:lang w:val="en-US"/>
        </w:rPr>
        <w:t xml:space="preserve">. Recurrence intervals are computed for the time </w:t>
      </w:r>
      <w:r w:rsidR="00705EEC">
        <w:rPr>
          <w:szCs w:val="18"/>
          <w:lang w:val="en-US"/>
        </w:rPr>
        <w:t>for which</w:t>
      </w:r>
      <w:r w:rsidR="009B48B9" w:rsidRPr="00705EEC">
        <w:rPr>
          <w:szCs w:val="18"/>
          <w:lang w:val="en-US"/>
        </w:rPr>
        <w:t xml:space="preserve"> data are consi</w:t>
      </w:r>
      <w:r w:rsidR="009B48B9" w:rsidRPr="00705EEC">
        <w:rPr>
          <w:szCs w:val="18"/>
          <w:lang w:val="en-US"/>
        </w:rPr>
        <w:t>d</w:t>
      </w:r>
      <w:r w:rsidR="009B48B9" w:rsidRPr="00705EEC">
        <w:rPr>
          <w:szCs w:val="18"/>
          <w:lang w:val="en-US"/>
        </w:rPr>
        <w:t>ered complete.</w:t>
      </w:r>
    </w:p>
    <w:p w:rsidR="00103F85" w:rsidRPr="00705EEC" w:rsidRDefault="00103F85" w:rsidP="00ED493A">
      <w:pPr>
        <w:numPr>
          <w:ilvl w:val="0"/>
          <w:numId w:val="20"/>
        </w:numPr>
        <w:spacing w:line="360" w:lineRule="auto"/>
        <w:ind w:left="709" w:hanging="227"/>
        <w:rPr>
          <w:szCs w:val="18"/>
          <w:lang w:val="en-US"/>
        </w:rPr>
      </w:pPr>
      <w:r w:rsidRPr="00705EEC">
        <w:rPr>
          <w:szCs w:val="18"/>
          <w:lang w:val="en-US"/>
        </w:rPr>
        <w:t>Stepp-type analysis</w:t>
      </w:r>
      <w:r w:rsidR="009B48B9" w:rsidRPr="00705EEC">
        <w:rPr>
          <w:szCs w:val="18"/>
          <w:lang w:val="en-US"/>
        </w:rPr>
        <w:t xml:space="preserve"> </w:t>
      </w:r>
      <w:r w:rsidR="00705EEC" w:rsidRPr="00705EEC">
        <w:rPr>
          <w:szCs w:val="18"/>
          <w:lang w:val="en-US"/>
        </w:rPr>
        <w:t>(</w:t>
      </w:r>
      <w:r w:rsidR="009B48B9" w:rsidRPr="00705EEC">
        <w:rPr>
          <w:szCs w:val="18"/>
          <w:lang w:val="en-US"/>
        </w:rPr>
        <w:t>Stepp Test</w:t>
      </w:r>
      <w:r w:rsidR="0042382F">
        <w:rPr>
          <w:szCs w:val="18"/>
          <w:lang w:val="en-US"/>
        </w:rPr>
        <w:t xml:space="preserve">, </w:t>
      </w:r>
      <w:r w:rsidR="0042382F">
        <w:rPr>
          <w:szCs w:val="18"/>
          <w:lang w:val="en-US"/>
        </w:rPr>
        <w:fldChar w:fldCharType="begin"/>
      </w:r>
      <w:r w:rsidR="0042382F">
        <w:rPr>
          <w:szCs w:val="18"/>
          <w:lang w:val="en-US"/>
        </w:rPr>
        <w:instrText xml:space="preserve"> REF _Ref451164864 \h </w:instrText>
      </w:r>
      <w:r w:rsidR="0042382F">
        <w:rPr>
          <w:szCs w:val="18"/>
          <w:lang w:val="en-US"/>
        </w:rPr>
      </w:r>
      <w:r w:rsidR="0042382F">
        <w:rPr>
          <w:szCs w:val="18"/>
          <w:lang w:val="en-US"/>
        </w:rPr>
        <w:fldChar w:fldCharType="separate"/>
      </w:r>
      <w:r w:rsidR="00173034">
        <w:t xml:space="preserve">Figure </w:t>
      </w:r>
      <w:r w:rsidR="00173034">
        <w:rPr>
          <w:noProof/>
        </w:rPr>
        <w:t>5</w:t>
      </w:r>
      <w:r w:rsidR="0042382F">
        <w:rPr>
          <w:szCs w:val="18"/>
          <w:lang w:val="en-US"/>
        </w:rPr>
        <w:fldChar w:fldCharType="end"/>
      </w:r>
      <w:r w:rsidR="00705EEC" w:rsidRPr="00705EEC">
        <w:rPr>
          <w:szCs w:val="18"/>
          <w:lang w:val="en-US"/>
        </w:rPr>
        <w:t xml:space="preserve">; </w:t>
      </w:r>
      <w:r w:rsidR="009B48B9" w:rsidRPr="00705EEC">
        <w:rPr>
          <w:szCs w:val="18"/>
          <w:lang w:val="en-US"/>
        </w:rPr>
        <w:t>Stepp, 1972</w:t>
      </w:r>
      <w:r w:rsidR="00705EEC" w:rsidRPr="00705EEC">
        <w:rPr>
          <w:szCs w:val="18"/>
          <w:lang w:val="en-US"/>
        </w:rPr>
        <w:t xml:space="preserve">; </w:t>
      </w:r>
      <w:r w:rsidR="009B48B9" w:rsidRPr="00705EEC">
        <w:rPr>
          <w:szCs w:val="18"/>
          <w:lang w:val="en-US"/>
        </w:rPr>
        <w:t>Bollinger, 1973; Cuthbertson, 2006; Bus et al., 2009)</w:t>
      </w:r>
      <w:r w:rsidR="00705EEC">
        <w:rPr>
          <w:szCs w:val="18"/>
          <w:lang w:val="en-US"/>
        </w:rPr>
        <w:t xml:space="preserve">: </w:t>
      </w:r>
      <w:r w:rsidR="00674320" w:rsidRPr="00674320">
        <w:rPr>
          <w:i/>
          <w:szCs w:val="18"/>
          <w:lang w:val="en-US"/>
        </w:rPr>
        <w:t>“</w:t>
      </w:r>
      <w:r w:rsidR="009B48B9" w:rsidRPr="00674320">
        <w:rPr>
          <w:i/>
          <w:szCs w:val="18"/>
          <w:lang w:val="en-US"/>
        </w:rPr>
        <w:t>The test relies on the statistical property of the Poisson distribution highlighting time intervals during which the recorded earthquake occurrence rate is uniform. Supposing that earthquake occurren</w:t>
      </w:r>
      <w:r w:rsidR="009B48B9" w:rsidRPr="00674320">
        <w:rPr>
          <w:i/>
          <w:szCs w:val="18"/>
          <w:lang w:val="en-US"/>
        </w:rPr>
        <w:t>c</w:t>
      </w:r>
      <w:r w:rsidR="009B48B9" w:rsidRPr="00674320">
        <w:rPr>
          <w:i/>
          <w:szCs w:val="18"/>
          <w:lang w:val="en-US"/>
        </w:rPr>
        <w:t xml:space="preserve">es follow a Poisson distribution, the </w:t>
      </w:r>
      <w:r w:rsidR="00674320" w:rsidRPr="00674320">
        <w:rPr>
          <w:i/>
          <w:szCs w:val="18"/>
          <w:lang w:val="en-US"/>
        </w:rPr>
        <w:t>t</w:t>
      </w:r>
      <w:r w:rsidR="009B48B9" w:rsidRPr="00674320">
        <w:rPr>
          <w:i/>
          <w:szCs w:val="18"/>
          <w:lang w:val="en-US"/>
        </w:rPr>
        <w:t>est evaluates the stability of the mean rate of occurrences (λ) of events which fall in a predefined intensity range in a series of time windows (T). If λ is constant, then the standard deviation (σ) varies as 1/√T. On the contrary, if λ is not stable, σ deviates from the straight line of the 1/√T slope. The length of the time interval at which no deviation from that straight line o</w:t>
      </w:r>
      <w:r w:rsidR="009B48B9" w:rsidRPr="00674320">
        <w:rPr>
          <w:i/>
          <w:szCs w:val="18"/>
          <w:lang w:val="en-US"/>
        </w:rPr>
        <w:t>c</w:t>
      </w:r>
      <w:r w:rsidR="009B48B9" w:rsidRPr="00674320">
        <w:rPr>
          <w:i/>
          <w:szCs w:val="18"/>
          <w:lang w:val="en-US"/>
        </w:rPr>
        <w:t>curs defines the completeness time interval for the given intensity range (Stepp, 1972). This interval is visually determined from the plots. The test further evaluates the minimum observations length needed for establishing reliable average recurrence intervals for events of a certain intensity class</w:t>
      </w:r>
      <w:r w:rsidR="00674320" w:rsidRPr="00674320">
        <w:rPr>
          <w:i/>
          <w:szCs w:val="18"/>
          <w:lang w:val="en-US"/>
        </w:rPr>
        <w:t xml:space="preserve">.” </w:t>
      </w:r>
      <w:r w:rsidR="00674320">
        <w:rPr>
          <w:szCs w:val="18"/>
          <w:lang w:val="en-US"/>
        </w:rPr>
        <w:t>(modified from Nasir et al., 2013)</w:t>
      </w:r>
      <w:r w:rsidR="006567F1">
        <w:rPr>
          <w:szCs w:val="18"/>
          <w:lang w:val="en-US"/>
        </w:rPr>
        <w:t>.</w:t>
      </w:r>
    </w:p>
    <w:p w:rsidR="00F903B2" w:rsidRDefault="00F903B2" w:rsidP="00093025">
      <w:pPr>
        <w:spacing w:line="360" w:lineRule="auto"/>
        <w:ind w:left="120"/>
        <w:rPr>
          <w:szCs w:val="18"/>
          <w:lang w:val="en-US"/>
        </w:rPr>
      </w:pPr>
    </w:p>
    <w:p w:rsidR="00F903B2" w:rsidRDefault="00CC0B38" w:rsidP="00093025">
      <w:pPr>
        <w:spacing w:line="360" w:lineRule="auto"/>
        <w:ind w:left="120"/>
        <w:rPr>
          <w:szCs w:val="18"/>
          <w:lang w:val="en-US"/>
        </w:rPr>
      </w:pPr>
      <w:r>
        <w:rPr>
          <w:szCs w:val="18"/>
          <w:lang w:val="en-US"/>
        </w:rPr>
        <w:br w:type="page"/>
      </w:r>
    </w:p>
    <w:p w:rsidR="00F903B2" w:rsidRDefault="00FA7DEE" w:rsidP="00093025">
      <w:pPr>
        <w:spacing w:line="360" w:lineRule="auto"/>
        <w:ind w:left="120"/>
        <w:rPr>
          <w:szCs w:val="18"/>
          <w:lang w:val="en-US"/>
        </w:rPr>
      </w:pPr>
      <w:r w:rsidRPr="00CC0B38">
        <w:pict>
          <v:shape id="_x0000_i1031" type="#_x0000_t75" style="width:467.7pt;height:231.95pt">
            <v:imagedata r:id="rId61" o:title=""/>
          </v:shape>
        </w:pict>
      </w:r>
    </w:p>
    <w:p w:rsidR="00F903B2" w:rsidRDefault="00F903B2" w:rsidP="00093025">
      <w:pPr>
        <w:spacing w:line="360" w:lineRule="auto"/>
        <w:ind w:left="120"/>
        <w:rPr>
          <w:szCs w:val="18"/>
          <w:lang w:val="en-US"/>
        </w:rPr>
      </w:pPr>
    </w:p>
    <w:p w:rsidR="00F903B2" w:rsidRPr="00923C7F" w:rsidRDefault="0042382F" w:rsidP="0042382F">
      <w:pPr>
        <w:pStyle w:val="Lgende"/>
        <w:jc w:val="center"/>
        <w:rPr>
          <w:i/>
        </w:rPr>
      </w:pPr>
      <w:bookmarkStart w:id="102" w:name="_Ref451164864"/>
      <w:bookmarkStart w:id="103" w:name="_Toc456012041"/>
      <w:r>
        <w:t xml:space="preserve">Figure </w:t>
      </w:r>
      <w:r>
        <w:fldChar w:fldCharType="begin"/>
      </w:r>
      <w:r>
        <w:instrText xml:space="preserve"> SEQ Figure \* ARABIC </w:instrText>
      </w:r>
      <w:r>
        <w:fldChar w:fldCharType="separate"/>
      </w:r>
      <w:r w:rsidR="00173034">
        <w:rPr>
          <w:noProof/>
        </w:rPr>
        <w:t>5</w:t>
      </w:r>
      <w:r>
        <w:fldChar w:fldCharType="end"/>
      </w:r>
      <w:bookmarkEnd w:id="102"/>
      <w:r>
        <w:t xml:space="preserve">. </w:t>
      </w:r>
      <w:r w:rsidR="00F903B2">
        <w:t xml:space="preserve">Explanation of completeness assessments of earthquake catalogues using the Stepp Test and the TCEF method for a single magnitude or intensity class. “Minimum observation period” in the Step Plot designates the time required for establishing reliable average recurrence intervals.   </w:t>
      </w:r>
      <w:r w:rsidR="00F903B2" w:rsidRPr="00923C7F">
        <w:rPr>
          <w:i/>
        </w:rPr>
        <w:t>[</w:t>
      </w:r>
      <w:r w:rsidR="00F903B2" w:rsidRPr="00F903B2">
        <w:rPr>
          <w:i/>
        </w:rPr>
        <w:t>Stepp_TCEF_explanation</w:t>
      </w:r>
      <w:r w:rsidR="00F903B2" w:rsidRPr="00923C7F">
        <w:rPr>
          <w:i/>
        </w:rPr>
        <w:t>.JPG]</w:t>
      </w:r>
      <w:bookmarkEnd w:id="103"/>
    </w:p>
    <w:p w:rsidR="00F903B2" w:rsidRDefault="00F903B2" w:rsidP="00093025">
      <w:pPr>
        <w:spacing w:line="360" w:lineRule="auto"/>
        <w:ind w:left="120"/>
        <w:rPr>
          <w:szCs w:val="18"/>
          <w:lang w:val="en-US"/>
        </w:rPr>
      </w:pPr>
    </w:p>
    <w:p w:rsidR="00F903B2" w:rsidRDefault="00F903B2" w:rsidP="00093025">
      <w:pPr>
        <w:spacing w:line="360" w:lineRule="auto"/>
        <w:ind w:left="120"/>
        <w:rPr>
          <w:szCs w:val="18"/>
          <w:lang w:val="en-US"/>
        </w:rPr>
      </w:pPr>
    </w:p>
    <w:p w:rsidR="007D5BDD" w:rsidRDefault="007D5BDD" w:rsidP="00093025">
      <w:pPr>
        <w:spacing w:line="360" w:lineRule="auto"/>
        <w:ind w:left="120"/>
        <w:rPr>
          <w:szCs w:val="18"/>
          <w:lang w:val="en-US"/>
        </w:rPr>
      </w:pPr>
      <w:r>
        <w:rPr>
          <w:szCs w:val="18"/>
          <w:lang w:val="en-US"/>
        </w:rPr>
        <w:t>An alternative approach to determine magnitude completeness thresholds and/or the year of beginning of co</w:t>
      </w:r>
      <w:r>
        <w:rPr>
          <w:szCs w:val="18"/>
          <w:lang w:val="en-US"/>
        </w:rPr>
        <w:t>m</w:t>
      </w:r>
      <w:r>
        <w:rPr>
          <w:szCs w:val="18"/>
          <w:lang w:val="en-US"/>
        </w:rPr>
        <w:t>plete reporting of earthquakes of a certain magnitude of mainly instrumental data is de</w:t>
      </w:r>
      <w:r w:rsidR="00CC0B38">
        <w:rPr>
          <w:szCs w:val="18"/>
          <w:lang w:val="en-US"/>
        </w:rPr>
        <w:t>scribed by Herak et al. (2008).</w:t>
      </w:r>
    </w:p>
    <w:p w:rsidR="001C52BE" w:rsidRDefault="001C52BE" w:rsidP="00093025">
      <w:pPr>
        <w:spacing w:line="360" w:lineRule="auto"/>
        <w:ind w:left="120"/>
        <w:rPr>
          <w:szCs w:val="18"/>
          <w:lang w:val="en-US"/>
        </w:rPr>
      </w:pPr>
    </w:p>
    <w:p w:rsidR="001C52BE" w:rsidRDefault="00F903B2" w:rsidP="001C52BE">
      <w:pPr>
        <w:spacing w:line="360" w:lineRule="auto"/>
        <w:ind w:left="120"/>
        <w:rPr>
          <w:szCs w:val="18"/>
          <w:lang w:val="en-US"/>
        </w:rPr>
      </w:pPr>
      <w:r>
        <w:rPr>
          <w:szCs w:val="18"/>
          <w:lang w:val="en-US"/>
        </w:rPr>
        <w:br w:type="page"/>
      </w:r>
      <w:r w:rsidR="0042382F">
        <w:rPr>
          <w:szCs w:val="18"/>
          <w:lang w:val="en-US"/>
        </w:rPr>
        <w:lastRenderedPageBreak/>
        <w:fldChar w:fldCharType="begin"/>
      </w:r>
      <w:r w:rsidR="0042382F">
        <w:rPr>
          <w:szCs w:val="18"/>
          <w:lang w:val="en-US"/>
        </w:rPr>
        <w:instrText xml:space="preserve"> REF _Ref451164976 \h </w:instrText>
      </w:r>
      <w:r w:rsidR="0042382F">
        <w:rPr>
          <w:szCs w:val="18"/>
          <w:lang w:val="en-US"/>
        </w:rPr>
      </w:r>
      <w:r w:rsidR="0042382F">
        <w:rPr>
          <w:szCs w:val="18"/>
          <w:lang w:val="en-US"/>
        </w:rPr>
        <w:fldChar w:fldCharType="separate"/>
      </w:r>
      <w:r w:rsidR="00173034">
        <w:t xml:space="preserve">Figure </w:t>
      </w:r>
      <w:r w:rsidR="00173034">
        <w:rPr>
          <w:noProof/>
        </w:rPr>
        <w:t>6</w:t>
      </w:r>
      <w:r w:rsidR="0042382F">
        <w:rPr>
          <w:szCs w:val="18"/>
          <w:lang w:val="en-US"/>
        </w:rPr>
        <w:fldChar w:fldCharType="end"/>
      </w:r>
      <w:r w:rsidR="0042382F">
        <w:rPr>
          <w:szCs w:val="18"/>
          <w:lang w:val="en-US"/>
        </w:rPr>
        <w:t xml:space="preserve"> </w:t>
      </w:r>
      <w:r w:rsidR="001C52BE">
        <w:rPr>
          <w:szCs w:val="18"/>
          <w:lang w:val="en-US"/>
        </w:rPr>
        <w:t xml:space="preserve">to </w:t>
      </w:r>
      <w:r w:rsidR="0042382F">
        <w:rPr>
          <w:szCs w:val="18"/>
          <w:lang w:val="en-US"/>
        </w:rPr>
        <w:fldChar w:fldCharType="begin"/>
      </w:r>
      <w:r w:rsidR="0042382F">
        <w:rPr>
          <w:szCs w:val="18"/>
          <w:lang w:val="en-US"/>
        </w:rPr>
        <w:instrText xml:space="preserve"> REF _Ref451164982 \h </w:instrText>
      </w:r>
      <w:r w:rsidR="0042382F">
        <w:rPr>
          <w:szCs w:val="18"/>
          <w:lang w:val="en-US"/>
        </w:rPr>
      </w:r>
      <w:r w:rsidR="0042382F">
        <w:rPr>
          <w:szCs w:val="18"/>
          <w:lang w:val="en-US"/>
        </w:rPr>
        <w:fldChar w:fldCharType="separate"/>
      </w:r>
      <w:r w:rsidR="00173034">
        <w:t xml:space="preserve">Figure </w:t>
      </w:r>
      <w:r w:rsidR="00173034">
        <w:rPr>
          <w:noProof/>
        </w:rPr>
        <w:t>10</w:t>
      </w:r>
      <w:r w:rsidR="0042382F">
        <w:rPr>
          <w:szCs w:val="18"/>
          <w:lang w:val="en-US"/>
        </w:rPr>
        <w:fldChar w:fldCharType="end"/>
      </w:r>
      <w:r w:rsidR="0042382F">
        <w:rPr>
          <w:szCs w:val="18"/>
          <w:lang w:val="en-US"/>
        </w:rPr>
        <w:t xml:space="preserve"> </w:t>
      </w:r>
      <w:r w:rsidR="001C52BE">
        <w:rPr>
          <w:szCs w:val="18"/>
          <w:lang w:val="en-US"/>
        </w:rPr>
        <w:t>show the results of completeness assessments of typical European earthquake catalogues that were performed with with the Stepp Test and the TCEF method.</w:t>
      </w:r>
      <w:r w:rsidR="0070606F">
        <w:rPr>
          <w:szCs w:val="18"/>
          <w:lang w:val="en-US"/>
        </w:rPr>
        <w:t xml:space="preserve"> </w:t>
      </w:r>
      <w:r w:rsidR="00025D79">
        <w:rPr>
          <w:szCs w:val="18"/>
          <w:lang w:val="en-US"/>
        </w:rPr>
        <w:t>The assessments are performed for a r</w:t>
      </w:r>
      <w:r w:rsidR="00025D79">
        <w:rPr>
          <w:szCs w:val="18"/>
          <w:lang w:val="en-US"/>
        </w:rPr>
        <w:t>e</w:t>
      </w:r>
      <w:r w:rsidR="00025D79">
        <w:rPr>
          <w:szCs w:val="18"/>
          <w:lang w:val="en-US"/>
        </w:rPr>
        <w:t>gional European catalogue (CENEC, 2009; Grünthal et al., 2009) and four countries which were selected as exa</w:t>
      </w:r>
      <w:r w:rsidR="00025D79">
        <w:rPr>
          <w:szCs w:val="18"/>
          <w:lang w:val="en-US"/>
        </w:rPr>
        <w:t>m</w:t>
      </w:r>
      <w:r w:rsidR="00025D79">
        <w:rPr>
          <w:szCs w:val="18"/>
          <w:lang w:val="en-US"/>
        </w:rPr>
        <w:t>ples for low seismicity (Finnland), moderate seismicity (Germany), moderate seismicity with extensive historical eart</w:t>
      </w:r>
      <w:r w:rsidR="00025D79">
        <w:rPr>
          <w:szCs w:val="18"/>
          <w:lang w:val="en-US"/>
        </w:rPr>
        <w:t>h</w:t>
      </w:r>
      <w:r w:rsidR="00025D79">
        <w:rPr>
          <w:szCs w:val="18"/>
          <w:lang w:val="en-US"/>
        </w:rPr>
        <w:t xml:space="preserve">quake research performed (France), and increased seismicity (Spain). </w:t>
      </w:r>
      <w:r w:rsidR="0070606F">
        <w:rPr>
          <w:szCs w:val="18"/>
          <w:lang w:val="en-US"/>
        </w:rPr>
        <w:t xml:space="preserve">The assesments </w:t>
      </w:r>
      <w:r w:rsidR="005F55EC">
        <w:rPr>
          <w:szCs w:val="18"/>
          <w:lang w:val="en-US"/>
        </w:rPr>
        <w:t xml:space="preserve">generally </w:t>
      </w:r>
      <w:r w:rsidR="0070606F">
        <w:rPr>
          <w:szCs w:val="18"/>
          <w:lang w:val="en-US"/>
        </w:rPr>
        <w:t>show that:</w:t>
      </w:r>
    </w:p>
    <w:p w:rsidR="0070606F" w:rsidRDefault="009552CE" w:rsidP="00B21047">
      <w:pPr>
        <w:numPr>
          <w:ilvl w:val="0"/>
          <w:numId w:val="28"/>
        </w:numPr>
        <w:spacing w:line="360" w:lineRule="auto"/>
        <w:ind w:left="709" w:hanging="227"/>
        <w:rPr>
          <w:szCs w:val="18"/>
          <w:lang w:val="en-US"/>
        </w:rPr>
      </w:pPr>
      <w:r>
        <w:rPr>
          <w:szCs w:val="18"/>
          <w:lang w:val="en-US"/>
        </w:rPr>
        <w:t>t</w:t>
      </w:r>
      <w:r w:rsidR="0070606F">
        <w:rPr>
          <w:szCs w:val="18"/>
          <w:lang w:val="en-US"/>
        </w:rPr>
        <w:t>he time windows of reasonably complete records increase with increasing earthquake magnitude / inte</w:t>
      </w:r>
      <w:r w:rsidR="0070606F">
        <w:rPr>
          <w:szCs w:val="18"/>
          <w:lang w:val="en-US"/>
        </w:rPr>
        <w:t>n</w:t>
      </w:r>
      <w:r w:rsidR="0070606F">
        <w:rPr>
          <w:szCs w:val="18"/>
          <w:lang w:val="en-US"/>
        </w:rPr>
        <w:t>sity</w:t>
      </w:r>
      <w:r>
        <w:rPr>
          <w:szCs w:val="18"/>
          <w:lang w:val="en-US"/>
        </w:rPr>
        <w:t>,</w:t>
      </w:r>
    </w:p>
    <w:p w:rsidR="008D6E2F" w:rsidRDefault="009552CE" w:rsidP="00B21047">
      <w:pPr>
        <w:numPr>
          <w:ilvl w:val="0"/>
          <w:numId w:val="28"/>
        </w:numPr>
        <w:spacing w:line="360" w:lineRule="auto"/>
        <w:ind w:left="709" w:hanging="227"/>
        <w:rPr>
          <w:szCs w:val="18"/>
          <w:lang w:val="en-US"/>
        </w:rPr>
      </w:pPr>
      <w:r>
        <w:rPr>
          <w:szCs w:val="18"/>
          <w:lang w:val="en-US"/>
        </w:rPr>
        <w:t>t</w:t>
      </w:r>
      <w:r w:rsidR="008D6E2F">
        <w:rPr>
          <w:szCs w:val="18"/>
          <w:lang w:val="en-US"/>
        </w:rPr>
        <w:t>he number of earthquake records increases sharply at about 1900 AD due to the implementation of sei</w:t>
      </w:r>
      <w:r w:rsidR="008D6E2F">
        <w:rPr>
          <w:szCs w:val="18"/>
          <w:lang w:val="en-US"/>
        </w:rPr>
        <w:t>s</w:t>
      </w:r>
      <w:r w:rsidR="008D6E2F">
        <w:rPr>
          <w:szCs w:val="18"/>
          <w:lang w:val="en-US"/>
        </w:rPr>
        <w:t>mographs</w:t>
      </w:r>
      <w:r>
        <w:rPr>
          <w:szCs w:val="18"/>
          <w:lang w:val="en-US"/>
        </w:rPr>
        <w:t>,</w:t>
      </w:r>
    </w:p>
    <w:p w:rsidR="0070606F" w:rsidRDefault="009552CE" w:rsidP="00B21047">
      <w:pPr>
        <w:numPr>
          <w:ilvl w:val="0"/>
          <w:numId w:val="28"/>
        </w:numPr>
        <w:spacing w:line="360" w:lineRule="auto"/>
        <w:ind w:left="709" w:hanging="227"/>
        <w:rPr>
          <w:szCs w:val="18"/>
          <w:lang w:val="en-US"/>
        </w:rPr>
      </w:pPr>
      <w:r>
        <w:rPr>
          <w:szCs w:val="18"/>
          <w:lang w:val="en-US"/>
        </w:rPr>
        <w:t>r</w:t>
      </w:r>
      <w:r w:rsidR="0070606F">
        <w:rPr>
          <w:szCs w:val="18"/>
          <w:lang w:val="en-US"/>
        </w:rPr>
        <w:t xml:space="preserve">ecords for “strong” </w:t>
      </w:r>
      <w:r w:rsidR="00025D79">
        <w:rPr>
          <w:szCs w:val="18"/>
          <w:lang w:val="en-US"/>
        </w:rPr>
        <w:t xml:space="preserve">to “heavily damaging” </w:t>
      </w:r>
      <w:r w:rsidR="0070606F">
        <w:rPr>
          <w:szCs w:val="18"/>
          <w:lang w:val="en-US"/>
        </w:rPr>
        <w:t xml:space="preserve">earthquakes (intensity class </w:t>
      </w:r>
      <w:r w:rsidR="0070606F" w:rsidRPr="0070606F">
        <w:rPr>
          <w:szCs w:val="18"/>
          <w:lang w:val="en-US"/>
        </w:rPr>
        <w:t>5</w:t>
      </w:r>
      <w:r w:rsidR="0070606F">
        <w:rPr>
          <w:szCs w:val="18"/>
          <w:lang w:val="en-US"/>
        </w:rPr>
        <w:t xml:space="preserve"> </w:t>
      </w:r>
      <w:r w:rsidR="0070606F" w:rsidRPr="0070606F">
        <w:rPr>
          <w:szCs w:val="18"/>
          <w:lang w:val="en-US"/>
        </w:rPr>
        <w:t>&lt;</w:t>
      </w:r>
      <w:r w:rsidR="0070606F">
        <w:rPr>
          <w:szCs w:val="18"/>
          <w:lang w:val="en-US"/>
        </w:rPr>
        <w:t xml:space="preserve"> </w:t>
      </w:r>
      <w:r w:rsidR="0070606F" w:rsidRPr="0070606F">
        <w:rPr>
          <w:szCs w:val="18"/>
          <w:lang w:val="en-US"/>
        </w:rPr>
        <w:t>I</w:t>
      </w:r>
      <w:r w:rsidR="0070606F" w:rsidRPr="0070606F">
        <w:rPr>
          <w:szCs w:val="18"/>
          <w:vertAlign w:val="subscript"/>
          <w:lang w:val="en-US"/>
        </w:rPr>
        <w:t>0</w:t>
      </w:r>
      <w:r w:rsidR="0070606F">
        <w:rPr>
          <w:szCs w:val="18"/>
          <w:lang w:val="en-US"/>
        </w:rPr>
        <w:t xml:space="preserve"> </w:t>
      </w:r>
      <w:r w:rsidR="0070606F" w:rsidRPr="0070606F">
        <w:rPr>
          <w:szCs w:val="18"/>
          <w:lang w:val="en-US"/>
        </w:rPr>
        <w:t>≤</w:t>
      </w:r>
      <w:r w:rsidR="0070606F">
        <w:rPr>
          <w:szCs w:val="18"/>
          <w:lang w:val="en-US"/>
        </w:rPr>
        <w:t xml:space="preserve"> </w:t>
      </w:r>
      <w:r w:rsidR="00025D79">
        <w:rPr>
          <w:szCs w:val="18"/>
          <w:lang w:val="en-US"/>
        </w:rPr>
        <w:t>8; approximately corr</w:t>
      </w:r>
      <w:r w:rsidR="00025D79">
        <w:rPr>
          <w:szCs w:val="18"/>
          <w:lang w:val="en-US"/>
        </w:rPr>
        <w:t>e</w:t>
      </w:r>
      <w:r w:rsidR="00025D79">
        <w:rPr>
          <w:szCs w:val="18"/>
          <w:lang w:val="en-US"/>
        </w:rPr>
        <w:t>sponding to magnitude M &lt; 6</w:t>
      </w:r>
      <w:r w:rsidR="0070606F">
        <w:rPr>
          <w:szCs w:val="18"/>
          <w:lang w:val="en-US"/>
        </w:rPr>
        <w:t xml:space="preserve">) are </w:t>
      </w:r>
      <w:r w:rsidR="00025D79">
        <w:rPr>
          <w:szCs w:val="18"/>
          <w:lang w:val="en-US"/>
        </w:rPr>
        <w:t>only complete for the last 200 - 300 years</w:t>
      </w:r>
      <w:r>
        <w:rPr>
          <w:szCs w:val="18"/>
          <w:lang w:val="en-US"/>
        </w:rPr>
        <w:t>,</w:t>
      </w:r>
    </w:p>
    <w:p w:rsidR="00025D79" w:rsidRDefault="009552CE" w:rsidP="00B21047">
      <w:pPr>
        <w:numPr>
          <w:ilvl w:val="0"/>
          <w:numId w:val="28"/>
        </w:numPr>
        <w:spacing w:line="360" w:lineRule="auto"/>
        <w:ind w:left="709" w:hanging="227"/>
        <w:rPr>
          <w:szCs w:val="18"/>
          <w:lang w:val="en-US"/>
        </w:rPr>
      </w:pPr>
      <w:r>
        <w:rPr>
          <w:szCs w:val="18"/>
          <w:lang w:val="en-US"/>
        </w:rPr>
        <w:t>r</w:t>
      </w:r>
      <w:r w:rsidR="00025D79">
        <w:rPr>
          <w:szCs w:val="18"/>
          <w:lang w:val="en-US"/>
        </w:rPr>
        <w:t xml:space="preserve">ecords for “destructive” earthquakes (intensity class 9 and higher; </w:t>
      </w:r>
      <w:r w:rsidR="008D6E2F">
        <w:rPr>
          <w:szCs w:val="18"/>
          <w:lang w:val="en-US"/>
        </w:rPr>
        <w:t>approximately corresponding to ma</w:t>
      </w:r>
      <w:r w:rsidR="008D6E2F">
        <w:rPr>
          <w:szCs w:val="18"/>
          <w:lang w:val="en-US"/>
        </w:rPr>
        <w:t>g</w:t>
      </w:r>
      <w:r w:rsidR="008D6E2F">
        <w:rPr>
          <w:szCs w:val="18"/>
          <w:lang w:val="en-US"/>
        </w:rPr>
        <w:t>nitude M ~ 6 to 7</w:t>
      </w:r>
      <w:r w:rsidR="00025D79">
        <w:rPr>
          <w:szCs w:val="18"/>
          <w:lang w:val="en-US"/>
        </w:rPr>
        <w:t xml:space="preserve">) are only complete for the last </w:t>
      </w:r>
      <w:r w:rsidR="008D6E2F">
        <w:rPr>
          <w:szCs w:val="18"/>
          <w:lang w:val="en-US"/>
        </w:rPr>
        <w:t>300 - 500</w:t>
      </w:r>
      <w:r w:rsidR="00025D79">
        <w:rPr>
          <w:szCs w:val="18"/>
          <w:lang w:val="en-US"/>
        </w:rPr>
        <w:t xml:space="preserve"> years</w:t>
      </w:r>
      <w:r>
        <w:rPr>
          <w:szCs w:val="18"/>
          <w:lang w:val="en-US"/>
        </w:rPr>
        <w:t>,</w:t>
      </w:r>
    </w:p>
    <w:p w:rsidR="008D6E2F" w:rsidRDefault="009552CE" w:rsidP="00B21047">
      <w:pPr>
        <w:numPr>
          <w:ilvl w:val="0"/>
          <w:numId w:val="28"/>
        </w:numPr>
        <w:spacing w:line="360" w:lineRule="auto"/>
        <w:ind w:left="709" w:hanging="227"/>
        <w:rPr>
          <w:szCs w:val="18"/>
          <w:lang w:val="en-US"/>
        </w:rPr>
      </w:pPr>
      <w:r>
        <w:rPr>
          <w:szCs w:val="18"/>
          <w:lang w:val="en-US"/>
        </w:rPr>
        <w:t>r</w:t>
      </w:r>
      <w:r w:rsidR="008D6E2F">
        <w:rPr>
          <w:szCs w:val="18"/>
          <w:lang w:val="en-US"/>
        </w:rPr>
        <w:t>eliable recurrence interval for the strongest events can</w:t>
      </w:r>
      <w:r w:rsidR="001C3B78">
        <w:rPr>
          <w:szCs w:val="18"/>
          <w:lang w:val="en-US"/>
        </w:rPr>
        <w:t xml:space="preserve"> mostly</w:t>
      </w:r>
      <w:r w:rsidR="008D6E2F">
        <w:rPr>
          <w:szCs w:val="18"/>
          <w:lang w:val="en-US"/>
        </w:rPr>
        <w:t xml:space="preserve"> </w:t>
      </w:r>
      <w:r w:rsidR="001C3B78">
        <w:rPr>
          <w:szCs w:val="18"/>
          <w:lang w:val="en-US"/>
        </w:rPr>
        <w:t xml:space="preserve">not </w:t>
      </w:r>
      <w:r w:rsidR="008D6E2F">
        <w:rPr>
          <w:szCs w:val="18"/>
          <w:lang w:val="en-US"/>
        </w:rPr>
        <w:t>be established due to the reareness of these events</w:t>
      </w:r>
      <w:r w:rsidR="008D6E2F" w:rsidRPr="008D6E2F">
        <w:rPr>
          <w:szCs w:val="18"/>
          <w:lang w:val="en-US"/>
        </w:rPr>
        <w:t xml:space="preserve"> </w:t>
      </w:r>
      <w:r w:rsidR="008D6E2F">
        <w:rPr>
          <w:szCs w:val="18"/>
          <w:lang w:val="en-US"/>
        </w:rPr>
        <w:t xml:space="preserve">in </w:t>
      </w:r>
      <w:r w:rsidR="001C3B78">
        <w:rPr>
          <w:szCs w:val="18"/>
          <w:lang w:val="en-US"/>
        </w:rPr>
        <w:t>the</w:t>
      </w:r>
      <w:r w:rsidR="008D6E2F">
        <w:rPr>
          <w:szCs w:val="18"/>
          <w:lang w:val="en-US"/>
        </w:rPr>
        <w:t xml:space="preserve"> </w:t>
      </w:r>
      <w:r w:rsidR="001C3B78">
        <w:rPr>
          <w:szCs w:val="18"/>
          <w:lang w:val="en-US"/>
        </w:rPr>
        <w:t>analysed</w:t>
      </w:r>
      <w:r w:rsidR="008D6E2F">
        <w:rPr>
          <w:szCs w:val="18"/>
          <w:lang w:val="en-US"/>
        </w:rPr>
        <w:t xml:space="preserve"> catalogues</w:t>
      </w:r>
      <w:r w:rsidR="005F55EC">
        <w:rPr>
          <w:szCs w:val="18"/>
          <w:lang w:val="en-US"/>
        </w:rPr>
        <w:t xml:space="preserve"> (i.e., the </w:t>
      </w:r>
      <w:r w:rsidR="005F55EC" w:rsidRPr="005F55EC">
        <w:rPr>
          <w:szCs w:val="18"/>
          <w:lang w:val="en-US"/>
        </w:rPr>
        <w:t xml:space="preserve">minimum observations </w:t>
      </w:r>
      <w:r w:rsidR="005E0286">
        <w:rPr>
          <w:szCs w:val="18"/>
          <w:lang w:val="en-US"/>
        </w:rPr>
        <w:t>perio</w:t>
      </w:r>
      <w:r w:rsidR="00C83EFB">
        <w:rPr>
          <w:szCs w:val="18"/>
          <w:lang w:val="en-US"/>
        </w:rPr>
        <w:t>d</w:t>
      </w:r>
      <w:r w:rsidR="005E0286">
        <w:rPr>
          <w:szCs w:val="18"/>
          <w:lang w:val="en-US"/>
        </w:rPr>
        <w:t>s</w:t>
      </w:r>
      <w:r w:rsidR="005F55EC" w:rsidRPr="005F55EC">
        <w:rPr>
          <w:szCs w:val="18"/>
          <w:lang w:val="en-US"/>
        </w:rPr>
        <w:t xml:space="preserve"> needed for establishing reliable average recurrence intervals for events</w:t>
      </w:r>
      <w:r w:rsidR="005F55EC">
        <w:rPr>
          <w:szCs w:val="18"/>
          <w:lang w:val="en-US"/>
        </w:rPr>
        <w:t xml:space="preserve"> is longer than the period of historical observations)</w:t>
      </w:r>
      <w:r w:rsidR="008D6E2F">
        <w:rPr>
          <w:szCs w:val="18"/>
          <w:lang w:val="en-US"/>
        </w:rPr>
        <w:t>.</w:t>
      </w:r>
    </w:p>
    <w:p w:rsidR="008D6E2F" w:rsidRDefault="008D6E2F" w:rsidP="00B21047">
      <w:pPr>
        <w:spacing w:line="360" w:lineRule="auto"/>
        <w:ind w:left="709" w:hanging="227"/>
        <w:rPr>
          <w:szCs w:val="18"/>
          <w:lang w:val="en-US"/>
        </w:rPr>
      </w:pPr>
    </w:p>
    <w:p w:rsidR="001C3B78" w:rsidRDefault="008D6E2F" w:rsidP="00025D79">
      <w:pPr>
        <w:spacing w:line="360" w:lineRule="auto"/>
        <w:ind w:left="120"/>
        <w:rPr>
          <w:szCs w:val="18"/>
          <w:lang w:val="en-US"/>
        </w:rPr>
      </w:pPr>
      <w:r>
        <w:rPr>
          <w:szCs w:val="18"/>
          <w:lang w:val="en-US"/>
        </w:rPr>
        <w:t>A</w:t>
      </w:r>
      <w:r w:rsidR="00A33966">
        <w:rPr>
          <w:szCs w:val="18"/>
          <w:lang w:val="en-US"/>
        </w:rPr>
        <w:t>n</w:t>
      </w:r>
      <w:r>
        <w:rPr>
          <w:szCs w:val="18"/>
          <w:lang w:val="en-US"/>
        </w:rPr>
        <w:t xml:space="preserve"> interpretative summary of the completeness intervals is shown in </w:t>
      </w:r>
      <w:r w:rsidR="001C3B78">
        <w:rPr>
          <w:szCs w:val="18"/>
          <w:lang w:val="en-US"/>
        </w:rPr>
        <w:fldChar w:fldCharType="begin"/>
      </w:r>
      <w:r w:rsidR="001C3B78">
        <w:rPr>
          <w:szCs w:val="18"/>
          <w:lang w:val="en-US"/>
        </w:rPr>
        <w:instrText xml:space="preserve"> REF _Ref432770470 \h </w:instrText>
      </w:r>
      <w:r w:rsidR="001C3B78">
        <w:rPr>
          <w:szCs w:val="18"/>
          <w:lang w:val="en-US"/>
        </w:rPr>
      </w:r>
      <w:r w:rsidR="001C3B78">
        <w:rPr>
          <w:szCs w:val="18"/>
          <w:lang w:val="en-US"/>
        </w:rPr>
        <w:fldChar w:fldCharType="separate"/>
      </w:r>
      <w:r w:rsidR="00173034">
        <w:t xml:space="preserve">Table </w:t>
      </w:r>
      <w:r w:rsidR="00173034">
        <w:rPr>
          <w:noProof/>
        </w:rPr>
        <w:t>7</w:t>
      </w:r>
      <w:r w:rsidR="001C3B78">
        <w:rPr>
          <w:szCs w:val="18"/>
          <w:lang w:val="en-US"/>
        </w:rPr>
        <w:fldChar w:fldCharType="end"/>
      </w:r>
      <w:r>
        <w:rPr>
          <w:szCs w:val="18"/>
          <w:lang w:val="en-US"/>
        </w:rPr>
        <w:t>.</w:t>
      </w:r>
    </w:p>
    <w:p w:rsidR="001C3B78" w:rsidRDefault="001C3B78" w:rsidP="00025D79">
      <w:pPr>
        <w:spacing w:line="360" w:lineRule="auto"/>
        <w:ind w:left="120"/>
        <w:rPr>
          <w:szCs w:val="18"/>
          <w:lang w:val="en-US"/>
        </w:rPr>
      </w:pPr>
    </w:p>
    <w:tbl>
      <w:tblPr>
        <w:tblW w:w="0" w:type="auto"/>
        <w:tblInd w:w="120" w:type="dxa"/>
        <w:tblLook w:val="04A0" w:firstRow="1" w:lastRow="0" w:firstColumn="1" w:lastColumn="0" w:noHBand="0" w:noVBand="1"/>
      </w:tblPr>
      <w:tblGrid>
        <w:gridCol w:w="6367"/>
        <w:gridCol w:w="3084"/>
      </w:tblGrid>
      <w:tr w:rsidR="001C3B78" w:rsidRPr="00F174A9" w:rsidTr="00A33966">
        <w:trPr>
          <w:cantSplit/>
          <w:trHeight w:val="1134"/>
        </w:trPr>
        <w:tc>
          <w:tcPr>
            <w:tcW w:w="6367" w:type="dxa"/>
            <w:shd w:val="clear" w:color="auto" w:fill="auto"/>
          </w:tcPr>
          <w:p w:rsidR="001C3B78" w:rsidRPr="00F174A9" w:rsidRDefault="004E1319" w:rsidP="00F174A9">
            <w:pPr>
              <w:spacing w:line="360" w:lineRule="auto"/>
              <w:rPr>
                <w:szCs w:val="18"/>
                <w:lang w:val="en-US"/>
              </w:rPr>
            </w:pPr>
            <w:r>
              <w:rPr>
                <w:szCs w:val="18"/>
                <w:lang w:val="en-US"/>
              </w:rPr>
              <w:lastRenderedPageBreak/>
              <w:pict>
                <v:shape id="_x0000_i1032" type="#_x0000_t75" style="width:297.55pt;height:662.65pt">
                  <v:imagedata r:id="rId62" o:title="TAB_earthquake_catalogue_completeness_summary"/>
                </v:shape>
              </w:pict>
            </w:r>
          </w:p>
        </w:tc>
        <w:tc>
          <w:tcPr>
            <w:tcW w:w="3084" w:type="dxa"/>
            <w:shd w:val="clear" w:color="auto" w:fill="auto"/>
            <w:textDirection w:val="btLr"/>
          </w:tcPr>
          <w:p w:rsidR="001C3B78" w:rsidRPr="001C3B78" w:rsidRDefault="001C3B78" w:rsidP="005A1CA8">
            <w:pPr>
              <w:ind w:left="113" w:right="113"/>
            </w:pPr>
            <w:bookmarkStart w:id="104" w:name="_Ref432770470"/>
            <w:bookmarkStart w:id="105" w:name="_Toc456012031"/>
            <w:r>
              <w:t xml:space="preserve">Table </w:t>
            </w:r>
            <w:r>
              <w:fldChar w:fldCharType="begin"/>
            </w:r>
            <w:r>
              <w:instrText xml:space="preserve"> SEQ Table \* ARABIC </w:instrText>
            </w:r>
            <w:r>
              <w:fldChar w:fldCharType="separate"/>
            </w:r>
            <w:r w:rsidR="00173034">
              <w:rPr>
                <w:noProof/>
              </w:rPr>
              <w:t>7</w:t>
            </w:r>
            <w:r>
              <w:fldChar w:fldCharType="end"/>
            </w:r>
            <w:bookmarkEnd w:id="104"/>
            <w:r>
              <w:t xml:space="preserve">.  Completeness intervals estimated from European earthquake catalogues using the Step Test and the TCEF method.  Data sources: EU: </w:t>
            </w:r>
            <w:r w:rsidRPr="001C3B78">
              <w:t xml:space="preserve">Grünthal et al., 2009; FI: </w:t>
            </w:r>
            <w:r w:rsidR="005A1CA8">
              <w:t xml:space="preserve">and </w:t>
            </w:r>
            <w:r w:rsidRPr="001C3B78">
              <w:t xml:space="preserve">ES: </w:t>
            </w:r>
            <w:r w:rsidR="005A1CA8">
              <w:t xml:space="preserve">see </w:t>
            </w:r>
            <w:r w:rsidR="005A1CA8">
              <w:fldChar w:fldCharType="begin"/>
            </w:r>
            <w:r w:rsidR="005A1CA8">
              <w:instrText xml:space="preserve"> REF _Ref432431094 \h </w:instrText>
            </w:r>
            <w:r w:rsidR="005A1CA8">
              <w:fldChar w:fldCharType="separate"/>
            </w:r>
            <w:r w:rsidR="00173034">
              <w:t xml:space="preserve">Table </w:t>
            </w:r>
            <w:r w:rsidR="00173034">
              <w:rPr>
                <w:noProof/>
              </w:rPr>
              <w:t>3</w:t>
            </w:r>
            <w:r w:rsidR="005A1CA8">
              <w:fldChar w:fldCharType="end"/>
            </w:r>
            <w:r w:rsidR="005A1CA8">
              <w:t xml:space="preserve">and </w:t>
            </w:r>
            <w:r w:rsidR="005A1CA8">
              <w:fldChar w:fldCharType="begin"/>
            </w:r>
            <w:r w:rsidR="005A1CA8">
              <w:instrText xml:space="preserve"> REF _Ref432435555 \h </w:instrText>
            </w:r>
            <w:r w:rsidR="005A1CA8">
              <w:fldChar w:fldCharType="separate"/>
            </w:r>
            <w:r w:rsidR="00173034">
              <w:t xml:space="preserve">Table </w:t>
            </w:r>
            <w:r w:rsidR="00173034">
              <w:rPr>
                <w:noProof/>
              </w:rPr>
              <w:t>4</w:t>
            </w:r>
            <w:r w:rsidR="005A1CA8">
              <w:fldChar w:fldCharType="end"/>
            </w:r>
            <w:r w:rsidR="005A1CA8">
              <w:t xml:space="preserve"> for reference</w:t>
            </w:r>
            <w:r w:rsidRPr="001C3B78">
              <w:t xml:space="preserve"> (magnitude-intesnsity conversion after Me</w:t>
            </w:r>
            <w:r w:rsidRPr="001C3B78">
              <w:t>z</w:t>
            </w:r>
            <w:r w:rsidRPr="001C3B78">
              <w:t xml:space="preserve">cua et al., 2011); FR: Baumont &amp; Scotti, 2011; DE: </w:t>
            </w:r>
            <w:r w:rsidR="005A1CA8">
              <w:t>Leydecker, 2011</w:t>
            </w:r>
            <w:r w:rsidRPr="001C3B78">
              <w:t>.</w:t>
            </w:r>
            <w:bookmarkEnd w:id="105"/>
          </w:p>
        </w:tc>
      </w:tr>
    </w:tbl>
    <w:p w:rsidR="00674320" w:rsidRDefault="00674320" w:rsidP="00093025">
      <w:pPr>
        <w:spacing w:line="360" w:lineRule="auto"/>
        <w:ind w:left="120"/>
        <w:rPr>
          <w:szCs w:val="18"/>
          <w:lang w:val="en-US"/>
        </w:rPr>
      </w:pPr>
    </w:p>
    <w:tbl>
      <w:tblPr>
        <w:tblW w:w="0" w:type="auto"/>
        <w:tblInd w:w="120" w:type="dxa"/>
        <w:tblLook w:val="04A0" w:firstRow="1" w:lastRow="0" w:firstColumn="1" w:lastColumn="0" w:noHBand="0" w:noVBand="1"/>
      </w:tblPr>
      <w:tblGrid>
        <w:gridCol w:w="9451"/>
      </w:tblGrid>
      <w:tr w:rsidR="0091266D" w:rsidRPr="0019142E" w:rsidTr="001C52BE">
        <w:tc>
          <w:tcPr>
            <w:tcW w:w="9495" w:type="dxa"/>
            <w:shd w:val="clear" w:color="auto" w:fill="auto"/>
          </w:tcPr>
          <w:p w:rsidR="0091266D" w:rsidRPr="0019142E" w:rsidRDefault="00CC0B38" w:rsidP="0086487E">
            <w:pPr>
              <w:spacing w:line="360" w:lineRule="auto"/>
              <w:jc w:val="center"/>
              <w:rPr>
                <w:szCs w:val="18"/>
                <w:lang w:val="en-US"/>
              </w:rPr>
            </w:pPr>
            <w:r w:rsidRPr="00CC0B38">
              <w:rPr>
                <w:szCs w:val="18"/>
                <w:lang w:val="en-US"/>
              </w:rPr>
              <w:lastRenderedPageBreak/>
              <w:pict>
                <v:shape id="_x0000_i1033" type="#_x0000_t75" style="width:269.5pt;height:221.1pt">
                  <v:imagedata r:id="rId63" o:title=""/>
                </v:shape>
              </w:pict>
            </w:r>
          </w:p>
        </w:tc>
      </w:tr>
      <w:tr w:rsidR="0091266D" w:rsidRPr="0019142E" w:rsidTr="001C52BE">
        <w:tc>
          <w:tcPr>
            <w:tcW w:w="9495" w:type="dxa"/>
            <w:shd w:val="clear" w:color="auto" w:fill="auto"/>
          </w:tcPr>
          <w:p w:rsidR="001C52BE" w:rsidRDefault="001C52BE" w:rsidP="0019142E">
            <w:pPr>
              <w:spacing w:line="360" w:lineRule="auto"/>
              <w:jc w:val="center"/>
              <w:rPr>
                <w:szCs w:val="18"/>
                <w:lang w:val="en-US"/>
              </w:rPr>
            </w:pPr>
          </w:p>
          <w:p w:rsidR="0091266D" w:rsidRPr="0019142E" w:rsidRDefault="00CC0B38" w:rsidP="0086487E">
            <w:pPr>
              <w:spacing w:line="360" w:lineRule="auto"/>
              <w:jc w:val="center"/>
              <w:rPr>
                <w:szCs w:val="18"/>
                <w:lang w:val="en-US"/>
              </w:rPr>
            </w:pPr>
            <w:r w:rsidRPr="00CC0B38">
              <w:rPr>
                <w:szCs w:val="18"/>
                <w:lang w:val="en-US"/>
              </w:rPr>
              <w:pict>
                <v:shape id="_x0000_i1034" type="#_x0000_t75" style="width:270.8pt;height:231.95pt">
                  <v:imagedata r:id="rId64" o:title=""/>
                </v:shape>
              </w:pict>
            </w:r>
          </w:p>
        </w:tc>
      </w:tr>
    </w:tbl>
    <w:p w:rsidR="00674320" w:rsidRPr="00923C7F" w:rsidRDefault="0042382F" w:rsidP="00674320">
      <w:pPr>
        <w:pStyle w:val="Lgende"/>
        <w:jc w:val="center"/>
        <w:rPr>
          <w:i/>
        </w:rPr>
      </w:pPr>
      <w:bookmarkStart w:id="106" w:name="_Ref451164976"/>
      <w:bookmarkStart w:id="107" w:name="_Toc456012042"/>
      <w:r>
        <w:t xml:space="preserve">Figure </w:t>
      </w:r>
      <w:r>
        <w:fldChar w:fldCharType="begin"/>
      </w:r>
      <w:r>
        <w:instrText xml:space="preserve"> SEQ Figure \* ARABIC </w:instrText>
      </w:r>
      <w:r>
        <w:fldChar w:fldCharType="separate"/>
      </w:r>
      <w:r w:rsidR="00173034">
        <w:rPr>
          <w:noProof/>
        </w:rPr>
        <w:t>6</w:t>
      </w:r>
      <w:r>
        <w:fldChar w:fldCharType="end"/>
      </w:r>
      <w:bookmarkEnd w:id="106"/>
      <w:r>
        <w:t xml:space="preserve">. </w:t>
      </w:r>
      <w:r w:rsidR="00093025">
        <w:t xml:space="preserve">Completeness assessment of </w:t>
      </w:r>
      <w:r w:rsidR="001C52BE">
        <w:t>the earthquake catalogue for Central, Western and Nort</w:t>
      </w:r>
      <w:r w:rsidR="001C52BE">
        <w:t>h</w:t>
      </w:r>
      <w:r w:rsidR="00CC0B38">
        <w:t>W</w:t>
      </w:r>
      <w:r w:rsidR="001C52BE">
        <w:t xml:space="preserve">estern </w:t>
      </w:r>
      <w:r w:rsidR="00093025">
        <w:t xml:space="preserve">Europe </w:t>
      </w:r>
      <w:r w:rsidR="001C52BE">
        <w:t xml:space="preserve">(CENEC, 2009; Günthal et al., 2009) </w:t>
      </w:r>
      <w:r w:rsidR="00093025">
        <w:t xml:space="preserve">using the Stepp Test </w:t>
      </w:r>
      <w:r w:rsidR="001C52BE">
        <w:t>and the TCEF met</w:t>
      </w:r>
      <w:r w:rsidR="00CC0B38">
        <w:t>h</w:t>
      </w:r>
      <w:r w:rsidR="001C52BE">
        <w:t>od</w:t>
      </w:r>
      <w:r w:rsidR="00674320">
        <w:t>.</w:t>
      </w:r>
      <w:r w:rsidR="00674320" w:rsidRPr="00923C7F">
        <w:rPr>
          <w:i/>
        </w:rPr>
        <w:t>[</w:t>
      </w:r>
      <w:r w:rsidR="00151B23">
        <w:rPr>
          <w:i/>
        </w:rPr>
        <w:t>CENEC_Stepp.</w:t>
      </w:r>
      <w:r w:rsidR="00674320" w:rsidRPr="00923C7F">
        <w:rPr>
          <w:i/>
        </w:rPr>
        <w:t>JPG</w:t>
      </w:r>
      <w:r w:rsidR="00151B23">
        <w:rPr>
          <w:i/>
        </w:rPr>
        <w:t xml:space="preserve">  CENEC_Tcef.JPG</w:t>
      </w:r>
      <w:r w:rsidR="00674320" w:rsidRPr="00923C7F">
        <w:rPr>
          <w:i/>
        </w:rPr>
        <w:t>]</w:t>
      </w:r>
      <w:bookmarkEnd w:id="107"/>
    </w:p>
    <w:p w:rsidR="00674320" w:rsidRPr="00524282" w:rsidRDefault="00674320" w:rsidP="00674320">
      <w:pPr>
        <w:pStyle w:val="Paragraphedeliste"/>
        <w:spacing w:after="0" w:line="240" w:lineRule="auto"/>
        <w:ind w:left="0"/>
        <w:contextualSpacing w:val="0"/>
      </w:pPr>
    </w:p>
    <w:p w:rsidR="00674320" w:rsidRDefault="00674320" w:rsidP="00674320">
      <w:pPr>
        <w:spacing w:line="360" w:lineRule="auto"/>
        <w:ind w:left="120"/>
        <w:rPr>
          <w:szCs w:val="18"/>
          <w:lang w:val="en-US"/>
        </w:rPr>
      </w:pPr>
    </w:p>
    <w:p w:rsidR="00CE3E14" w:rsidRDefault="00CE3E14" w:rsidP="00093025">
      <w:pPr>
        <w:pStyle w:val="Lgende"/>
        <w:jc w:val="center"/>
      </w:pPr>
      <w:bookmarkStart w:id="108" w:name="_Ref432081248"/>
    </w:p>
    <w:tbl>
      <w:tblPr>
        <w:tblW w:w="0" w:type="auto"/>
        <w:tblInd w:w="120" w:type="dxa"/>
        <w:tblLook w:val="04A0" w:firstRow="1" w:lastRow="0" w:firstColumn="1" w:lastColumn="0" w:noHBand="0" w:noVBand="1"/>
      </w:tblPr>
      <w:tblGrid>
        <w:gridCol w:w="9451"/>
      </w:tblGrid>
      <w:tr w:rsidR="00CE3E14" w:rsidRPr="0019142E" w:rsidTr="001C52BE">
        <w:tc>
          <w:tcPr>
            <w:tcW w:w="9495" w:type="dxa"/>
            <w:shd w:val="clear" w:color="auto" w:fill="auto"/>
          </w:tcPr>
          <w:p w:rsidR="00CE3E14" w:rsidRPr="0019142E" w:rsidRDefault="00CC0B38" w:rsidP="009D22B3">
            <w:pPr>
              <w:spacing w:line="360" w:lineRule="auto"/>
              <w:jc w:val="center"/>
              <w:rPr>
                <w:szCs w:val="18"/>
                <w:lang w:val="en-US"/>
              </w:rPr>
            </w:pPr>
            <w:r>
              <w:rPr>
                <w:noProof/>
              </w:rPr>
            </w:r>
            <w:r w:rsidR="0086487E">
              <w:rPr>
                <w:szCs w:val="18"/>
                <w:lang w:val="en-US"/>
              </w:rPr>
              <w:pict>
                <v:shape id="_x0000_s1026" type="#_x0000_t75" style="width:248.4pt;height:189.65pt;mso-position-horizontal-relative:char;mso-position-vertical-relative:line">
                  <v:imagedata r:id="rId65" o:title=""/>
                  <w10:wrap type="none"/>
                  <w10:anchorlock/>
                </v:shape>
              </w:pict>
            </w:r>
          </w:p>
        </w:tc>
      </w:tr>
      <w:tr w:rsidR="00CE3E14" w:rsidRPr="0019142E" w:rsidTr="001C52BE">
        <w:tc>
          <w:tcPr>
            <w:tcW w:w="9495" w:type="dxa"/>
            <w:shd w:val="clear" w:color="auto" w:fill="auto"/>
          </w:tcPr>
          <w:p w:rsidR="001C52BE" w:rsidRDefault="001C52BE" w:rsidP="009D22B3">
            <w:pPr>
              <w:spacing w:line="360" w:lineRule="auto"/>
              <w:jc w:val="center"/>
              <w:rPr>
                <w:szCs w:val="18"/>
                <w:lang w:val="en-US"/>
              </w:rPr>
            </w:pPr>
          </w:p>
          <w:p w:rsidR="00CE3E14" w:rsidRPr="0019142E" w:rsidRDefault="00C879FD" w:rsidP="009D22B3">
            <w:pPr>
              <w:spacing w:line="360" w:lineRule="auto"/>
              <w:jc w:val="center"/>
              <w:rPr>
                <w:szCs w:val="18"/>
                <w:lang w:val="en-US"/>
              </w:rPr>
            </w:pPr>
            <w:r w:rsidRPr="0086487E">
              <w:rPr>
                <w:szCs w:val="18"/>
                <w:lang w:val="en-US"/>
              </w:rPr>
              <w:pict>
                <v:shape id="_x0000_i1036" type="#_x0000_t75" style="width:275.9pt;height:230.65pt">
                  <v:imagedata r:id="rId66" o:title=""/>
                </v:shape>
              </w:pict>
            </w:r>
          </w:p>
        </w:tc>
      </w:tr>
    </w:tbl>
    <w:p w:rsidR="001C52BE" w:rsidRDefault="001C52BE" w:rsidP="00CE3E14">
      <w:pPr>
        <w:pStyle w:val="Lgende"/>
        <w:jc w:val="center"/>
      </w:pPr>
    </w:p>
    <w:p w:rsidR="00CE3E14" w:rsidRPr="00923C7F" w:rsidRDefault="0042382F" w:rsidP="0042382F">
      <w:pPr>
        <w:pStyle w:val="Lgende"/>
        <w:rPr>
          <w:i/>
        </w:rPr>
      </w:pPr>
      <w:bookmarkStart w:id="109" w:name="_Toc456012043"/>
      <w:r>
        <w:t xml:space="preserve">Figure </w:t>
      </w:r>
      <w:r>
        <w:fldChar w:fldCharType="begin"/>
      </w:r>
      <w:r>
        <w:instrText xml:space="preserve"> SEQ Figure \* ARABIC </w:instrText>
      </w:r>
      <w:r>
        <w:fldChar w:fldCharType="separate"/>
      </w:r>
      <w:r w:rsidR="00173034">
        <w:rPr>
          <w:noProof/>
        </w:rPr>
        <w:t>7</w:t>
      </w:r>
      <w:r>
        <w:fldChar w:fldCharType="end"/>
      </w:r>
      <w:r>
        <w:t xml:space="preserve">. </w:t>
      </w:r>
      <w:r w:rsidR="00CE3E14">
        <w:t xml:space="preserve">Completeness assessment of </w:t>
      </w:r>
      <w:r w:rsidR="001C52BE">
        <w:t xml:space="preserve">the Spanish </w:t>
      </w:r>
      <w:r w:rsidR="00CE3E14">
        <w:t>earthquake</w:t>
      </w:r>
      <w:r w:rsidR="00CE696A">
        <w:t xml:space="preserve"> catalogue</w:t>
      </w:r>
      <w:r w:rsidR="00CE3E14">
        <w:t xml:space="preserve"> </w:t>
      </w:r>
      <w:r w:rsidR="00CE696A">
        <w:t xml:space="preserve">(see </w:t>
      </w:r>
      <w:r w:rsidR="00CE696A">
        <w:fldChar w:fldCharType="begin"/>
      </w:r>
      <w:r w:rsidR="00CE696A">
        <w:instrText xml:space="preserve"> REF _Ref432431094 \h </w:instrText>
      </w:r>
      <w:r w:rsidR="00CE696A">
        <w:fldChar w:fldCharType="separate"/>
      </w:r>
      <w:r w:rsidR="00173034">
        <w:t xml:space="preserve">Table </w:t>
      </w:r>
      <w:r w:rsidR="00173034">
        <w:rPr>
          <w:noProof/>
        </w:rPr>
        <w:t>3</w:t>
      </w:r>
      <w:r w:rsidR="00CE696A">
        <w:fldChar w:fldCharType="end"/>
      </w:r>
      <w:r w:rsidR="00CE696A">
        <w:t xml:space="preserve">and </w:t>
      </w:r>
      <w:r w:rsidR="00CE696A">
        <w:fldChar w:fldCharType="begin"/>
      </w:r>
      <w:r w:rsidR="00CE696A">
        <w:instrText xml:space="preserve"> REF _Ref432435555 \h </w:instrText>
      </w:r>
      <w:r w:rsidR="00CE696A">
        <w:fldChar w:fldCharType="separate"/>
      </w:r>
      <w:r w:rsidR="00173034">
        <w:t xml:space="preserve">Table </w:t>
      </w:r>
      <w:r w:rsidR="00173034">
        <w:rPr>
          <w:noProof/>
        </w:rPr>
        <w:t>4</w:t>
      </w:r>
      <w:r w:rsidR="00CE696A">
        <w:fldChar w:fldCharType="end"/>
      </w:r>
      <w:r w:rsidR="00CE696A">
        <w:t xml:space="preserve"> for reference) </w:t>
      </w:r>
      <w:r w:rsidR="00CE3E14">
        <w:t xml:space="preserve">using the Stepp Test </w:t>
      </w:r>
      <w:r w:rsidR="001C52BE">
        <w:t>and TCEF method</w:t>
      </w:r>
      <w:r w:rsidR="00CE3E14">
        <w:t xml:space="preserve">.    </w:t>
      </w:r>
      <w:r w:rsidR="00151B23" w:rsidRPr="00923C7F">
        <w:rPr>
          <w:i/>
        </w:rPr>
        <w:t>[</w:t>
      </w:r>
      <w:r w:rsidR="00151B23">
        <w:rPr>
          <w:i/>
        </w:rPr>
        <w:t>ES_Stepp.</w:t>
      </w:r>
      <w:r w:rsidR="00151B23" w:rsidRPr="00923C7F">
        <w:rPr>
          <w:i/>
        </w:rPr>
        <w:t>JPG</w:t>
      </w:r>
      <w:r w:rsidR="00151B23">
        <w:rPr>
          <w:i/>
        </w:rPr>
        <w:t xml:space="preserve">  ES_Tcef.JPG</w:t>
      </w:r>
      <w:r w:rsidR="00151B23" w:rsidRPr="00923C7F">
        <w:rPr>
          <w:i/>
        </w:rPr>
        <w:t>]</w:t>
      </w:r>
      <w:bookmarkEnd w:id="109"/>
    </w:p>
    <w:p w:rsidR="00CE3E14" w:rsidRDefault="00CE3E14" w:rsidP="00093025">
      <w:pPr>
        <w:pStyle w:val="Lgende"/>
        <w:jc w:val="center"/>
      </w:pPr>
    </w:p>
    <w:tbl>
      <w:tblPr>
        <w:tblW w:w="0" w:type="auto"/>
        <w:tblInd w:w="120" w:type="dxa"/>
        <w:tblLook w:val="04A0" w:firstRow="1" w:lastRow="0" w:firstColumn="1" w:lastColumn="0" w:noHBand="0" w:noVBand="1"/>
      </w:tblPr>
      <w:tblGrid>
        <w:gridCol w:w="9451"/>
      </w:tblGrid>
      <w:tr w:rsidR="001C52BE" w:rsidRPr="0019142E" w:rsidTr="001C52BE">
        <w:tc>
          <w:tcPr>
            <w:tcW w:w="9495" w:type="dxa"/>
            <w:shd w:val="clear" w:color="auto" w:fill="auto"/>
          </w:tcPr>
          <w:p w:rsidR="001C52BE" w:rsidRPr="0019142E" w:rsidRDefault="00C879FD" w:rsidP="009D22B3">
            <w:pPr>
              <w:spacing w:line="360" w:lineRule="auto"/>
              <w:jc w:val="center"/>
              <w:rPr>
                <w:szCs w:val="18"/>
                <w:lang w:val="en-US"/>
              </w:rPr>
            </w:pPr>
            <w:r w:rsidRPr="00C879FD">
              <w:rPr>
                <w:szCs w:val="18"/>
                <w:lang w:val="en-US"/>
              </w:rPr>
              <w:lastRenderedPageBreak/>
              <w:pict>
                <v:shape id="_x0000_i1037" type="#_x0000_t75" style="width:271.45pt;height:226.2pt">
                  <v:imagedata r:id="rId67" o:title=""/>
                </v:shape>
              </w:pict>
            </w:r>
          </w:p>
        </w:tc>
      </w:tr>
      <w:tr w:rsidR="001C52BE" w:rsidRPr="0019142E" w:rsidTr="001C52BE">
        <w:tc>
          <w:tcPr>
            <w:tcW w:w="9495" w:type="dxa"/>
            <w:shd w:val="clear" w:color="auto" w:fill="auto"/>
          </w:tcPr>
          <w:p w:rsidR="001C52BE" w:rsidRDefault="001C52BE" w:rsidP="009D22B3">
            <w:pPr>
              <w:spacing w:line="360" w:lineRule="auto"/>
              <w:jc w:val="center"/>
              <w:rPr>
                <w:szCs w:val="18"/>
                <w:lang w:val="en-US"/>
              </w:rPr>
            </w:pPr>
          </w:p>
          <w:p w:rsidR="001C52BE" w:rsidRPr="0019142E" w:rsidRDefault="00C879FD" w:rsidP="009D22B3">
            <w:pPr>
              <w:spacing w:line="360" w:lineRule="auto"/>
              <w:jc w:val="center"/>
              <w:rPr>
                <w:szCs w:val="18"/>
                <w:lang w:val="en-US"/>
              </w:rPr>
            </w:pPr>
            <w:r w:rsidRPr="00C879FD">
              <w:rPr>
                <w:szCs w:val="18"/>
                <w:lang w:val="en-US"/>
              </w:rPr>
              <w:pict>
                <v:shape id="_x0000_i1038" type="#_x0000_t75" style="width:268.25pt;height:221.75pt">
                  <v:imagedata r:id="rId68" o:title=""/>
                </v:shape>
              </w:pict>
            </w:r>
          </w:p>
        </w:tc>
      </w:tr>
    </w:tbl>
    <w:p w:rsidR="001C52BE" w:rsidRPr="001C52BE" w:rsidRDefault="001C52BE" w:rsidP="001C52BE"/>
    <w:p w:rsidR="001C52BE" w:rsidRPr="00923C7F" w:rsidRDefault="0042382F" w:rsidP="001C52BE">
      <w:pPr>
        <w:pStyle w:val="Lgende"/>
        <w:jc w:val="center"/>
        <w:rPr>
          <w:i/>
        </w:rPr>
      </w:pPr>
      <w:bookmarkStart w:id="110" w:name="_Toc456012044"/>
      <w:bookmarkEnd w:id="108"/>
      <w:r>
        <w:t xml:space="preserve">Figure </w:t>
      </w:r>
      <w:r>
        <w:fldChar w:fldCharType="begin"/>
      </w:r>
      <w:r>
        <w:instrText xml:space="preserve"> SEQ Figure \* ARABIC </w:instrText>
      </w:r>
      <w:r>
        <w:fldChar w:fldCharType="separate"/>
      </w:r>
      <w:r w:rsidR="00173034">
        <w:rPr>
          <w:noProof/>
        </w:rPr>
        <w:t>8</w:t>
      </w:r>
      <w:r>
        <w:fldChar w:fldCharType="end"/>
      </w:r>
      <w:r>
        <w:t xml:space="preserve">. </w:t>
      </w:r>
      <w:r w:rsidR="001C52BE">
        <w:t xml:space="preserve">Completeness assessment of the Finnish earthquake catalogues </w:t>
      </w:r>
      <w:r w:rsidR="00CE696A">
        <w:t xml:space="preserve">(see </w:t>
      </w:r>
      <w:r w:rsidR="00CE696A">
        <w:fldChar w:fldCharType="begin"/>
      </w:r>
      <w:r w:rsidR="00CE696A">
        <w:instrText xml:space="preserve"> REF _Ref432431094 \h </w:instrText>
      </w:r>
      <w:r w:rsidR="00CE696A">
        <w:fldChar w:fldCharType="separate"/>
      </w:r>
      <w:r w:rsidR="00173034">
        <w:t xml:space="preserve">Table </w:t>
      </w:r>
      <w:r w:rsidR="00173034">
        <w:rPr>
          <w:noProof/>
        </w:rPr>
        <w:t>3</w:t>
      </w:r>
      <w:r w:rsidR="00CE696A">
        <w:fldChar w:fldCharType="end"/>
      </w:r>
      <w:r w:rsidR="00CE696A">
        <w:t xml:space="preserve"> </w:t>
      </w:r>
      <w:r w:rsidR="00CE696A">
        <w:fldChar w:fldCharType="begin"/>
      </w:r>
      <w:r w:rsidR="00CE696A">
        <w:instrText xml:space="preserve"> REF _Ref432435555 \h </w:instrText>
      </w:r>
      <w:r w:rsidR="00CE696A">
        <w:fldChar w:fldCharType="separate"/>
      </w:r>
      <w:r w:rsidR="00173034">
        <w:t xml:space="preserve">Table </w:t>
      </w:r>
      <w:r w:rsidR="00173034">
        <w:rPr>
          <w:noProof/>
        </w:rPr>
        <w:t>4</w:t>
      </w:r>
      <w:r w:rsidR="00CE696A">
        <w:fldChar w:fldCharType="end"/>
      </w:r>
      <w:r w:rsidR="00CE696A">
        <w:t xml:space="preserve"> for reference)</w:t>
      </w:r>
      <w:r w:rsidR="001C52BE">
        <w:t xml:space="preserve"> using the Stepp Test and TCEF method.    </w:t>
      </w:r>
      <w:r w:rsidR="00151B23" w:rsidRPr="00923C7F">
        <w:rPr>
          <w:i/>
        </w:rPr>
        <w:t>[</w:t>
      </w:r>
      <w:r w:rsidR="00151B23">
        <w:rPr>
          <w:i/>
        </w:rPr>
        <w:t>FI_Stepp.</w:t>
      </w:r>
      <w:r w:rsidR="00151B23" w:rsidRPr="00923C7F">
        <w:rPr>
          <w:i/>
        </w:rPr>
        <w:t>JPG</w:t>
      </w:r>
      <w:r w:rsidR="00151B23">
        <w:rPr>
          <w:i/>
        </w:rPr>
        <w:t xml:space="preserve">  FI_Tcef.JPG</w:t>
      </w:r>
      <w:r w:rsidR="00151B23" w:rsidRPr="00923C7F">
        <w:rPr>
          <w:i/>
        </w:rPr>
        <w:t>]</w:t>
      </w:r>
      <w:bookmarkEnd w:id="110"/>
    </w:p>
    <w:p w:rsidR="00093025" w:rsidRDefault="00093025" w:rsidP="00674320">
      <w:pPr>
        <w:spacing w:line="360" w:lineRule="auto"/>
        <w:ind w:left="120"/>
        <w:rPr>
          <w:szCs w:val="18"/>
          <w:lang w:val="en-US"/>
        </w:rPr>
      </w:pPr>
    </w:p>
    <w:p w:rsidR="001C52BE" w:rsidRDefault="001C52BE" w:rsidP="00674320">
      <w:pPr>
        <w:spacing w:line="360" w:lineRule="auto"/>
        <w:ind w:left="120"/>
        <w:rPr>
          <w:szCs w:val="18"/>
          <w:lang w:val="en-US"/>
        </w:rPr>
      </w:pPr>
    </w:p>
    <w:tbl>
      <w:tblPr>
        <w:tblW w:w="0" w:type="auto"/>
        <w:tblInd w:w="120" w:type="dxa"/>
        <w:tblLook w:val="04A0" w:firstRow="1" w:lastRow="0" w:firstColumn="1" w:lastColumn="0" w:noHBand="0" w:noVBand="1"/>
      </w:tblPr>
      <w:tblGrid>
        <w:gridCol w:w="9451"/>
      </w:tblGrid>
      <w:tr w:rsidR="001C52BE" w:rsidRPr="0019142E" w:rsidTr="001C52BE">
        <w:tc>
          <w:tcPr>
            <w:tcW w:w="9495" w:type="dxa"/>
            <w:shd w:val="clear" w:color="auto" w:fill="auto"/>
          </w:tcPr>
          <w:p w:rsidR="001C52BE" w:rsidRPr="0019142E" w:rsidRDefault="00C879FD" w:rsidP="009D22B3">
            <w:pPr>
              <w:spacing w:line="360" w:lineRule="auto"/>
              <w:jc w:val="center"/>
              <w:rPr>
                <w:szCs w:val="18"/>
                <w:lang w:val="en-US"/>
              </w:rPr>
            </w:pPr>
            <w:r w:rsidRPr="00C879FD">
              <w:rPr>
                <w:szCs w:val="18"/>
                <w:lang w:val="en-US"/>
              </w:rPr>
              <w:lastRenderedPageBreak/>
              <w:pict>
                <v:shape id="_x0000_i1039" type="#_x0000_t75" style="width:275.25pt;height:231.95pt">
                  <v:imagedata r:id="rId69" o:title=""/>
                </v:shape>
              </w:pict>
            </w:r>
          </w:p>
        </w:tc>
      </w:tr>
      <w:tr w:rsidR="001C52BE" w:rsidRPr="0019142E" w:rsidTr="001C52BE">
        <w:tc>
          <w:tcPr>
            <w:tcW w:w="9495" w:type="dxa"/>
            <w:shd w:val="clear" w:color="auto" w:fill="auto"/>
          </w:tcPr>
          <w:p w:rsidR="001C52BE" w:rsidRDefault="001C52BE" w:rsidP="009D22B3">
            <w:pPr>
              <w:spacing w:line="360" w:lineRule="auto"/>
              <w:jc w:val="center"/>
              <w:rPr>
                <w:szCs w:val="18"/>
                <w:lang w:val="en-US"/>
              </w:rPr>
            </w:pPr>
          </w:p>
          <w:p w:rsidR="001C52BE" w:rsidRPr="0019142E" w:rsidRDefault="00C879FD" w:rsidP="009D22B3">
            <w:pPr>
              <w:spacing w:line="360" w:lineRule="auto"/>
              <w:jc w:val="center"/>
              <w:rPr>
                <w:szCs w:val="18"/>
                <w:lang w:val="en-US"/>
              </w:rPr>
            </w:pPr>
            <w:r w:rsidRPr="00C879FD">
              <w:rPr>
                <w:szCs w:val="18"/>
                <w:lang w:val="en-US"/>
              </w:rPr>
              <w:pict>
                <v:shape id="_x0000_i1040" type="#_x0000_t75" style="width:278.45pt;height:230pt">
                  <v:imagedata r:id="rId70" o:title=""/>
                </v:shape>
              </w:pict>
            </w:r>
          </w:p>
        </w:tc>
      </w:tr>
    </w:tbl>
    <w:p w:rsidR="001C52BE" w:rsidRDefault="001C52BE" w:rsidP="001C52BE"/>
    <w:p w:rsidR="001C52BE" w:rsidRPr="00923C7F" w:rsidRDefault="0042382F" w:rsidP="001C52BE">
      <w:pPr>
        <w:pStyle w:val="Lgende"/>
        <w:jc w:val="center"/>
        <w:rPr>
          <w:i/>
        </w:rPr>
      </w:pPr>
      <w:bookmarkStart w:id="111" w:name="_Toc456012045"/>
      <w:r>
        <w:t xml:space="preserve">Figure </w:t>
      </w:r>
      <w:r>
        <w:fldChar w:fldCharType="begin"/>
      </w:r>
      <w:r>
        <w:instrText xml:space="preserve"> SEQ Figure \* ARABIC </w:instrText>
      </w:r>
      <w:r>
        <w:fldChar w:fldCharType="separate"/>
      </w:r>
      <w:r w:rsidR="00173034">
        <w:rPr>
          <w:noProof/>
        </w:rPr>
        <w:t>9</w:t>
      </w:r>
      <w:r>
        <w:fldChar w:fldCharType="end"/>
      </w:r>
      <w:r>
        <w:t xml:space="preserve">. </w:t>
      </w:r>
      <w:r w:rsidR="001C52BE">
        <w:t xml:space="preserve">Completeness assessment of the French earthquake catalogues </w:t>
      </w:r>
      <w:r w:rsidR="00CE696A">
        <w:t xml:space="preserve">(see </w:t>
      </w:r>
      <w:r w:rsidR="00CE696A">
        <w:fldChar w:fldCharType="begin"/>
      </w:r>
      <w:r w:rsidR="00CE696A">
        <w:instrText xml:space="preserve"> REF _Ref432431094 \h </w:instrText>
      </w:r>
      <w:r w:rsidR="00CE696A">
        <w:fldChar w:fldCharType="separate"/>
      </w:r>
      <w:r w:rsidR="00173034">
        <w:t xml:space="preserve">Table </w:t>
      </w:r>
      <w:r w:rsidR="00173034">
        <w:rPr>
          <w:noProof/>
        </w:rPr>
        <w:t>3</w:t>
      </w:r>
      <w:r w:rsidR="00CE696A">
        <w:fldChar w:fldCharType="end"/>
      </w:r>
      <w:r w:rsidR="00CE696A">
        <w:t xml:space="preserve"> and </w:t>
      </w:r>
      <w:r w:rsidR="00CE696A">
        <w:fldChar w:fldCharType="begin"/>
      </w:r>
      <w:r w:rsidR="00CE696A">
        <w:instrText xml:space="preserve"> REF _Ref432435555 \h </w:instrText>
      </w:r>
      <w:r w:rsidR="00CE696A">
        <w:fldChar w:fldCharType="separate"/>
      </w:r>
      <w:r w:rsidR="00173034">
        <w:t xml:space="preserve">Table </w:t>
      </w:r>
      <w:r w:rsidR="00173034">
        <w:rPr>
          <w:noProof/>
        </w:rPr>
        <w:t>4</w:t>
      </w:r>
      <w:r w:rsidR="00CE696A">
        <w:fldChar w:fldCharType="end"/>
      </w:r>
      <w:r w:rsidR="00CE696A">
        <w:t xml:space="preserve"> for reference)</w:t>
      </w:r>
      <w:r w:rsidR="001C52BE">
        <w:t xml:space="preserve"> using the Stepp Test and TCEF method.    </w:t>
      </w:r>
      <w:r w:rsidR="00151B23" w:rsidRPr="00923C7F">
        <w:rPr>
          <w:i/>
        </w:rPr>
        <w:t>[</w:t>
      </w:r>
      <w:r w:rsidR="00151B23">
        <w:rPr>
          <w:i/>
        </w:rPr>
        <w:t>FR_Stepp.</w:t>
      </w:r>
      <w:r w:rsidR="00151B23" w:rsidRPr="00923C7F">
        <w:rPr>
          <w:i/>
        </w:rPr>
        <w:t>JPG</w:t>
      </w:r>
      <w:r w:rsidR="00151B23">
        <w:rPr>
          <w:i/>
        </w:rPr>
        <w:t xml:space="preserve">  FR_Tcef.JPG</w:t>
      </w:r>
      <w:r w:rsidR="00151B23" w:rsidRPr="00923C7F">
        <w:rPr>
          <w:i/>
        </w:rPr>
        <w:t>]</w:t>
      </w:r>
      <w:bookmarkEnd w:id="111"/>
    </w:p>
    <w:p w:rsidR="001C52BE" w:rsidRDefault="001C52BE" w:rsidP="00674320">
      <w:pPr>
        <w:spacing w:line="360" w:lineRule="auto"/>
        <w:ind w:left="120"/>
        <w:rPr>
          <w:szCs w:val="18"/>
          <w:lang w:val="en-US"/>
        </w:rPr>
      </w:pPr>
    </w:p>
    <w:tbl>
      <w:tblPr>
        <w:tblW w:w="0" w:type="auto"/>
        <w:tblInd w:w="120" w:type="dxa"/>
        <w:tblLook w:val="04A0" w:firstRow="1" w:lastRow="0" w:firstColumn="1" w:lastColumn="0" w:noHBand="0" w:noVBand="1"/>
      </w:tblPr>
      <w:tblGrid>
        <w:gridCol w:w="9451"/>
      </w:tblGrid>
      <w:tr w:rsidR="001C52BE" w:rsidRPr="0019142E" w:rsidTr="001C52BE">
        <w:tc>
          <w:tcPr>
            <w:tcW w:w="9495" w:type="dxa"/>
            <w:shd w:val="clear" w:color="auto" w:fill="auto"/>
          </w:tcPr>
          <w:p w:rsidR="001C52BE" w:rsidRPr="0019142E" w:rsidRDefault="00EA6171" w:rsidP="009D22B3">
            <w:pPr>
              <w:spacing w:line="360" w:lineRule="auto"/>
              <w:jc w:val="center"/>
              <w:rPr>
                <w:szCs w:val="18"/>
                <w:lang w:val="en-US"/>
              </w:rPr>
            </w:pPr>
            <w:r w:rsidRPr="0066390A">
              <w:rPr>
                <w:szCs w:val="18"/>
                <w:lang w:val="en-US"/>
              </w:rPr>
              <w:lastRenderedPageBreak/>
              <w:pict>
                <v:shape id="_x0000_i1041" type="#_x0000_t75" style="width:4in;height:231.95pt">
                  <v:imagedata r:id="rId71" o:title=""/>
                </v:shape>
              </w:pict>
            </w:r>
          </w:p>
        </w:tc>
      </w:tr>
      <w:tr w:rsidR="001C52BE" w:rsidRPr="0019142E" w:rsidTr="001C52BE">
        <w:tc>
          <w:tcPr>
            <w:tcW w:w="9495" w:type="dxa"/>
            <w:shd w:val="clear" w:color="auto" w:fill="auto"/>
          </w:tcPr>
          <w:p w:rsidR="001C52BE" w:rsidRDefault="001C52BE" w:rsidP="009D22B3">
            <w:pPr>
              <w:spacing w:line="360" w:lineRule="auto"/>
              <w:jc w:val="center"/>
              <w:rPr>
                <w:szCs w:val="18"/>
                <w:lang w:val="en-US"/>
              </w:rPr>
            </w:pPr>
          </w:p>
          <w:p w:rsidR="001C52BE" w:rsidRPr="0019142E" w:rsidRDefault="0062047B" w:rsidP="009D22B3">
            <w:pPr>
              <w:spacing w:line="360" w:lineRule="auto"/>
              <w:jc w:val="center"/>
              <w:rPr>
                <w:szCs w:val="18"/>
                <w:lang w:val="en-US"/>
              </w:rPr>
            </w:pPr>
            <w:r w:rsidRPr="0062047B">
              <w:rPr>
                <w:szCs w:val="18"/>
                <w:lang w:val="en-US"/>
              </w:rPr>
              <w:pict>
                <v:shape id="_x0000_i1042" type="#_x0000_t75" style="width:296.3pt;height:226.85pt">
                  <v:imagedata r:id="rId72" o:title=""/>
                </v:shape>
              </w:pict>
            </w:r>
          </w:p>
        </w:tc>
      </w:tr>
    </w:tbl>
    <w:p w:rsidR="001C52BE" w:rsidRDefault="001C52BE" w:rsidP="001C52BE"/>
    <w:p w:rsidR="001C52BE" w:rsidRDefault="0042382F" w:rsidP="001C52BE">
      <w:pPr>
        <w:pStyle w:val="Lgende"/>
        <w:jc w:val="center"/>
        <w:rPr>
          <w:i/>
        </w:rPr>
      </w:pPr>
      <w:bookmarkStart w:id="112" w:name="_Ref451164982"/>
      <w:bookmarkStart w:id="113" w:name="_Toc456012046"/>
      <w:r>
        <w:t xml:space="preserve">Figure </w:t>
      </w:r>
      <w:r>
        <w:fldChar w:fldCharType="begin"/>
      </w:r>
      <w:r>
        <w:instrText xml:space="preserve"> SEQ Figure \* ARABIC </w:instrText>
      </w:r>
      <w:r>
        <w:fldChar w:fldCharType="separate"/>
      </w:r>
      <w:r w:rsidR="00173034">
        <w:rPr>
          <w:noProof/>
        </w:rPr>
        <w:t>10</w:t>
      </w:r>
      <w:r>
        <w:fldChar w:fldCharType="end"/>
      </w:r>
      <w:bookmarkEnd w:id="112"/>
      <w:r>
        <w:t xml:space="preserve">. </w:t>
      </w:r>
      <w:r w:rsidR="001C52BE">
        <w:t xml:space="preserve">Completeness assessment of the </w:t>
      </w:r>
      <w:r w:rsidR="00151B23">
        <w:t>German</w:t>
      </w:r>
      <w:r w:rsidR="001C52BE">
        <w:t xml:space="preserve"> earthquake catalogues </w:t>
      </w:r>
      <w:r w:rsidR="00CE696A">
        <w:t xml:space="preserve">(see </w:t>
      </w:r>
      <w:r w:rsidR="00CE696A">
        <w:fldChar w:fldCharType="begin"/>
      </w:r>
      <w:r w:rsidR="00CE696A">
        <w:instrText xml:space="preserve"> REF _Ref432431094 \h </w:instrText>
      </w:r>
      <w:r w:rsidR="00CE696A">
        <w:fldChar w:fldCharType="separate"/>
      </w:r>
      <w:r w:rsidR="00173034">
        <w:t xml:space="preserve">Table </w:t>
      </w:r>
      <w:r w:rsidR="00173034">
        <w:rPr>
          <w:noProof/>
        </w:rPr>
        <w:t>3</w:t>
      </w:r>
      <w:r w:rsidR="00CE696A">
        <w:fldChar w:fldCharType="end"/>
      </w:r>
      <w:r w:rsidR="00CE696A">
        <w:t xml:space="preserve"> and </w:t>
      </w:r>
      <w:r w:rsidR="00CE696A">
        <w:fldChar w:fldCharType="begin"/>
      </w:r>
      <w:r w:rsidR="00CE696A">
        <w:instrText xml:space="preserve"> REF _Ref432435555 \h </w:instrText>
      </w:r>
      <w:r w:rsidR="00CE696A">
        <w:fldChar w:fldCharType="separate"/>
      </w:r>
      <w:r w:rsidR="00173034">
        <w:t xml:space="preserve">Table </w:t>
      </w:r>
      <w:r w:rsidR="00173034">
        <w:rPr>
          <w:noProof/>
        </w:rPr>
        <w:t>4</w:t>
      </w:r>
      <w:r w:rsidR="00CE696A">
        <w:fldChar w:fldCharType="end"/>
      </w:r>
      <w:r w:rsidR="00CE696A">
        <w:t xml:space="preserve"> for reference) </w:t>
      </w:r>
      <w:r w:rsidR="001C52BE">
        <w:t xml:space="preserve">using the Stepp Test and TCEF method.    </w:t>
      </w:r>
      <w:r w:rsidR="00151B23" w:rsidRPr="00923C7F">
        <w:rPr>
          <w:i/>
        </w:rPr>
        <w:t>[</w:t>
      </w:r>
      <w:r w:rsidR="00151B23">
        <w:rPr>
          <w:i/>
        </w:rPr>
        <w:t>DE_Stepp.</w:t>
      </w:r>
      <w:r w:rsidR="00151B23" w:rsidRPr="00923C7F">
        <w:rPr>
          <w:i/>
        </w:rPr>
        <w:t>JPG</w:t>
      </w:r>
      <w:r w:rsidR="00151B23">
        <w:rPr>
          <w:i/>
        </w:rPr>
        <w:t xml:space="preserve">  DE_Tcef.JPG</w:t>
      </w:r>
      <w:r w:rsidR="00151B23" w:rsidRPr="00923C7F">
        <w:rPr>
          <w:i/>
        </w:rPr>
        <w:t>]</w:t>
      </w:r>
      <w:bookmarkEnd w:id="113"/>
    </w:p>
    <w:p w:rsidR="001C52BE" w:rsidRDefault="001C52BE" w:rsidP="00674320">
      <w:pPr>
        <w:spacing w:line="360" w:lineRule="auto"/>
        <w:ind w:left="120"/>
        <w:rPr>
          <w:b/>
          <w:bCs/>
          <w:sz w:val="20"/>
          <w:szCs w:val="20"/>
        </w:rPr>
      </w:pPr>
    </w:p>
    <w:p w:rsidR="0070606F" w:rsidRPr="00103F85" w:rsidRDefault="0070606F" w:rsidP="0070606F">
      <w:pPr>
        <w:pStyle w:val="Titre3"/>
        <w:rPr>
          <w:lang w:val="en-US"/>
        </w:rPr>
      </w:pPr>
      <w:r>
        <w:rPr>
          <w:szCs w:val="18"/>
          <w:lang w:val="en-US"/>
        </w:rPr>
        <w:br w:type="page"/>
      </w:r>
      <w:bookmarkStart w:id="114" w:name="_Toc456011899"/>
      <w:r w:rsidR="00A51FEF">
        <w:rPr>
          <w:lang w:val="en-US"/>
        </w:rPr>
        <w:lastRenderedPageBreak/>
        <w:t xml:space="preserve">Completeness </w:t>
      </w:r>
      <w:r>
        <w:rPr>
          <w:lang w:val="en-US"/>
        </w:rPr>
        <w:t>of active and capable fault</w:t>
      </w:r>
      <w:r w:rsidR="00A51FEF">
        <w:rPr>
          <w:lang w:val="en-US"/>
        </w:rPr>
        <w:t xml:space="preserve"> data</w:t>
      </w:r>
      <w:bookmarkEnd w:id="114"/>
    </w:p>
    <w:p w:rsidR="002E0845" w:rsidRDefault="00ED4070" w:rsidP="00A51FEF">
      <w:pPr>
        <w:spacing w:line="360" w:lineRule="auto"/>
        <w:ind w:left="120"/>
        <w:rPr>
          <w:szCs w:val="18"/>
          <w:lang w:val="en-US"/>
        </w:rPr>
      </w:pPr>
      <w:r>
        <w:rPr>
          <w:szCs w:val="18"/>
          <w:lang w:val="en-US"/>
        </w:rPr>
        <w:t>Databases or catalogues of active and capable faults in European countries can by their nature not be compared to earthquake catalogues</w:t>
      </w:r>
      <w:r w:rsidR="002E0845">
        <w:rPr>
          <w:szCs w:val="18"/>
          <w:lang w:val="en-US"/>
        </w:rPr>
        <w:t xml:space="preserve"> which are systematically compiled and updated by the national geophysical or geolog</w:t>
      </w:r>
      <w:r w:rsidR="002E0845">
        <w:rPr>
          <w:szCs w:val="18"/>
          <w:lang w:val="en-US"/>
        </w:rPr>
        <w:t>i</w:t>
      </w:r>
      <w:r w:rsidR="002E0845">
        <w:rPr>
          <w:szCs w:val="18"/>
          <w:lang w:val="en-US"/>
        </w:rPr>
        <w:t>cal surveys</w:t>
      </w:r>
      <w:r>
        <w:rPr>
          <w:szCs w:val="18"/>
          <w:lang w:val="en-US"/>
        </w:rPr>
        <w:t>.</w:t>
      </w:r>
    </w:p>
    <w:p w:rsidR="002E0845" w:rsidRDefault="002E0845" w:rsidP="00A51FEF">
      <w:pPr>
        <w:spacing w:line="360" w:lineRule="auto"/>
        <w:ind w:left="120"/>
        <w:rPr>
          <w:szCs w:val="18"/>
          <w:lang w:val="en-US"/>
        </w:rPr>
      </w:pPr>
    </w:p>
    <w:p w:rsidR="002E0845" w:rsidRDefault="00ED4070" w:rsidP="00A51FEF">
      <w:pPr>
        <w:spacing w:line="360" w:lineRule="auto"/>
        <w:ind w:left="120"/>
        <w:rPr>
          <w:szCs w:val="18"/>
          <w:lang w:val="en-US"/>
        </w:rPr>
      </w:pPr>
      <w:r>
        <w:rPr>
          <w:szCs w:val="18"/>
          <w:lang w:val="en-US"/>
        </w:rPr>
        <w:t xml:space="preserve">The buildup of </w:t>
      </w:r>
      <w:r w:rsidR="002E0845">
        <w:rPr>
          <w:szCs w:val="18"/>
          <w:lang w:val="en-US"/>
        </w:rPr>
        <w:t>fault</w:t>
      </w:r>
      <w:r>
        <w:rPr>
          <w:szCs w:val="18"/>
          <w:lang w:val="en-US"/>
        </w:rPr>
        <w:t xml:space="preserve"> databases </w:t>
      </w:r>
      <w:r w:rsidR="009F076B">
        <w:rPr>
          <w:szCs w:val="18"/>
          <w:lang w:val="en-US"/>
        </w:rPr>
        <w:t xml:space="preserve">in Europe </w:t>
      </w:r>
      <w:r>
        <w:rPr>
          <w:szCs w:val="18"/>
          <w:lang w:val="en-US"/>
        </w:rPr>
        <w:t>only started in the last decade due to the increased interest of acade</w:t>
      </w:r>
      <w:r>
        <w:rPr>
          <w:szCs w:val="18"/>
          <w:lang w:val="en-US"/>
        </w:rPr>
        <w:t>m</w:t>
      </w:r>
      <w:r>
        <w:rPr>
          <w:szCs w:val="18"/>
          <w:lang w:val="en-US"/>
        </w:rPr>
        <w:t xml:space="preserve">ic research on topics such as earthquake geology, seismotectonic and active fault processes. </w:t>
      </w:r>
      <w:r w:rsidR="002E0845">
        <w:rPr>
          <w:szCs w:val="18"/>
          <w:lang w:val="en-US"/>
        </w:rPr>
        <w:t>So far only few E</w:t>
      </w:r>
      <w:r w:rsidR="002E0845">
        <w:rPr>
          <w:szCs w:val="18"/>
          <w:lang w:val="en-US"/>
        </w:rPr>
        <w:t>u</w:t>
      </w:r>
      <w:r w:rsidR="002E0845">
        <w:rPr>
          <w:szCs w:val="18"/>
          <w:lang w:val="en-US"/>
        </w:rPr>
        <w:t>ropean countries committed their geological surveys or other academic institutions to the systematic establis</w:t>
      </w:r>
      <w:r w:rsidR="002E0845">
        <w:rPr>
          <w:szCs w:val="18"/>
          <w:lang w:val="en-US"/>
        </w:rPr>
        <w:t>h</w:t>
      </w:r>
      <w:r w:rsidR="002E0845">
        <w:rPr>
          <w:szCs w:val="18"/>
          <w:lang w:val="en-US"/>
        </w:rPr>
        <w:t>ment and maintainance of active fault databases.</w:t>
      </w:r>
    </w:p>
    <w:p w:rsidR="002E0845" w:rsidRDefault="002E0845" w:rsidP="00A51FEF">
      <w:pPr>
        <w:spacing w:line="360" w:lineRule="auto"/>
        <w:ind w:left="120"/>
        <w:rPr>
          <w:szCs w:val="18"/>
          <w:lang w:val="en-US"/>
        </w:rPr>
      </w:pPr>
    </w:p>
    <w:p w:rsidR="00ED4070" w:rsidRDefault="00ED4070" w:rsidP="00A51FEF">
      <w:pPr>
        <w:spacing w:line="360" w:lineRule="auto"/>
        <w:ind w:left="120"/>
        <w:rPr>
          <w:szCs w:val="18"/>
          <w:lang w:val="en-US"/>
        </w:rPr>
      </w:pPr>
      <w:r>
        <w:rPr>
          <w:szCs w:val="18"/>
          <w:lang w:val="en-US"/>
        </w:rPr>
        <w:t xml:space="preserve">The content, quality, and completeness of European databases therefore can currently not be compared to </w:t>
      </w:r>
      <w:r w:rsidR="009F076B">
        <w:rPr>
          <w:szCs w:val="18"/>
          <w:lang w:val="en-US"/>
        </w:rPr>
        <w:t xml:space="preserve">the databases which exist for </w:t>
      </w:r>
      <w:r w:rsidR="00A51FEF">
        <w:rPr>
          <w:szCs w:val="18"/>
          <w:lang w:val="en-US"/>
        </w:rPr>
        <w:t>Japan (Active Fault Database of Japan; AIST, 2015) or the United States (Quaternary Fault and Fold Database for the United States;</w:t>
      </w:r>
      <w:r w:rsidR="00A51FEF" w:rsidRPr="00A51FEF">
        <w:rPr>
          <w:szCs w:val="18"/>
          <w:lang w:val="en-US"/>
        </w:rPr>
        <w:t xml:space="preserve"> </w:t>
      </w:r>
      <w:r w:rsidR="00A51FEF">
        <w:rPr>
          <w:szCs w:val="18"/>
          <w:lang w:val="en-US"/>
        </w:rPr>
        <w:t>USGS, 2015)</w:t>
      </w:r>
      <w:r w:rsidR="009F076B">
        <w:rPr>
          <w:szCs w:val="18"/>
          <w:lang w:val="en-US"/>
        </w:rPr>
        <w:t xml:space="preserve">. The latter </w:t>
      </w:r>
      <w:r w:rsidR="002C5461">
        <w:rPr>
          <w:szCs w:val="18"/>
          <w:lang w:val="en-US"/>
        </w:rPr>
        <w:t>may be regarded as a best-practice exa</w:t>
      </w:r>
      <w:r w:rsidR="002C5461">
        <w:rPr>
          <w:szCs w:val="18"/>
          <w:lang w:val="en-US"/>
        </w:rPr>
        <w:t>m</w:t>
      </w:r>
      <w:r w:rsidR="002C5461">
        <w:rPr>
          <w:szCs w:val="18"/>
          <w:lang w:val="en-US"/>
        </w:rPr>
        <w:t>ple with respect to detailedness</w:t>
      </w:r>
      <w:r w:rsidR="00A51FEF">
        <w:rPr>
          <w:szCs w:val="18"/>
          <w:lang w:val="en-US"/>
        </w:rPr>
        <w:t xml:space="preserve">, </w:t>
      </w:r>
      <w:r w:rsidR="002C5461">
        <w:rPr>
          <w:szCs w:val="18"/>
          <w:lang w:val="en-US"/>
        </w:rPr>
        <w:t>data content</w:t>
      </w:r>
      <w:r w:rsidR="00A51FEF">
        <w:rPr>
          <w:szCs w:val="18"/>
          <w:lang w:val="en-US"/>
        </w:rPr>
        <w:t>, and depth of research</w:t>
      </w:r>
      <w:r w:rsidR="002C5461">
        <w:rPr>
          <w:szCs w:val="18"/>
          <w:lang w:val="en-US"/>
        </w:rPr>
        <w:t xml:space="preserve">. </w:t>
      </w:r>
      <w:r w:rsidR="00C77BCD">
        <w:rPr>
          <w:szCs w:val="18"/>
          <w:lang w:val="en-US"/>
        </w:rPr>
        <w:t>Both</w:t>
      </w:r>
      <w:r w:rsidR="009F076B">
        <w:rPr>
          <w:szCs w:val="18"/>
          <w:lang w:val="en-US"/>
        </w:rPr>
        <w:t xml:space="preserve">, the U.S. and Japanese </w:t>
      </w:r>
      <w:r w:rsidR="00C77BCD">
        <w:rPr>
          <w:szCs w:val="18"/>
          <w:lang w:val="en-US"/>
        </w:rPr>
        <w:t xml:space="preserve">database </w:t>
      </w:r>
      <w:r w:rsidR="009D22B3">
        <w:rPr>
          <w:szCs w:val="18"/>
          <w:lang w:val="en-US"/>
        </w:rPr>
        <w:t xml:space="preserve">are continuously updated and </w:t>
      </w:r>
      <w:r w:rsidR="00C77BCD">
        <w:rPr>
          <w:szCs w:val="18"/>
          <w:lang w:val="en-US"/>
        </w:rPr>
        <w:t>include detailed information on fault location, kinematics, fault dimensions, slip rate, earthquake recurrence int</w:t>
      </w:r>
      <w:r w:rsidR="009D22B3">
        <w:rPr>
          <w:szCs w:val="18"/>
          <w:lang w:val="en-US"/>
        </w:rPr>
        <w:t xml:space="preserve">ervals, paleoseismological data, and </w:t>
      </w:r>
      <w:r w:rsidR="0062047B">
        <w:rPr>
          <w:szCs w:val="18"/>
          <w:lang w:val="en-US"/>
        </w:rPr>
        <w:t>references to original studies.</w:t>
      </w:r>
    </w:p>
    <w:p w:rsidR="002C5461" w:rsidRDefault="002C5461" w:rsidP="00ED4070">
      <w:pPr>
        <w:spacing w:line="360" w:lineRule="auto"/>
        <w:ind w:left="120"/>
        <w:rPr>
          <w:szCs w:val="18"/>
          <w:lang w:val="en-US"/>
        </w:rPr>
      </w:pPr>
    </w:p>
    <w:p w:rsidR="00243AE4" w:rsidRDefault="009D22B3" w:rsidP="00ED4070">
      <w:pPr>
        <w:spacing w:line="360" w:lineRule="auto"/>
        <w:ind w:left="120"/>
        <w:rPr>
          <w:lang w:val="en-US"/>
        </w:rPr>
      </w:pPr>
      <w:r>
        <w:rPr>
          <w:szCs w:val="18"/>
          <w:lang w:val="en-US"/>
        </w:rPr>
        <w:t xml:space="preserve">Such detailedness is mostly not provided by </w:t>
      </w:r>
      <w:r w:rsidR="00D75303">
        <w:rPr>
          <w:szCs w:val="18"/>
          <w:lang w:val="en-US"/>
        </w:rPr>
        <w:t xml:space="preserve">the </w:t>
      </w:r>
      <w:r w:rsidR="00C77BCD">
        <w:rPr>
          <w:szCs w:val="18"/>
          <w:lang w:val="en-US"/>
        </w:rPr>
        <w:t xml:space="preserve">databases listed in </w:t>
      </w:r>
      <w:r w:rsidR="00C77BCD">
        <w:rPr>
          <w:lang w:val="en-US"/>
        </w:rPr>
        <w:fldChar w:fldCharType="begin"/>
      </w:r>
      <w:r w:rsidR="00C77BCD">
        <w:rPr>
          <w:lang w:val="en-US"/>
        </w:rPr>
        <w:instrText xml:space="preserve"> REF _Ref432406188 \h </w:instrText>
      </w:r>
      <w:r w:rsidR="00C77BCD">
        <w:rPr>
          <w:lang w:val="en-US"/>
        </w:rPr>
      </w:r>
      <w:r w:rsidR="00C77BCD">
        <w:rPr>
          <w:lang w:val="en-US"/>
        </w:rPr>
        <w:fldChar w:fldCharType="separate"/>
      </w:r>
      <w:r w:rsidR="00173034">
        <w:t xml:space="preserve">Table </w:t>
      </w:r>
      <w:r w:rsidR="00173034">
        <w:rPr>
          <w:noProof/>
        </w:rPr>
        <w:t>6</w:t>
      </w:r>
      <w:r w:rsidR="00C77BCD">
        <w:rPr>
          <w:lang w:val="en-US"/>
        </w:rPr>
        <w:fldChar w:fldCharType="end"/>
      </w:r>
      <w:r w:rsidR="009F076B">
        <w:rPr>
          <w:lang w:val="en-US"/>
        </w:rPr>
        <w:t xml:space="preserve"> (e.g., t</w:t>
      </w:r>
      <w:r>
        <w:rPr>
          <w:lang w:val="en-US"/>
        </w:rPr>
        <w:t xml:space="preserve">he SHARE </w:t>
      </w:r>
      <w:r w:rsidR="009F076B">
        <w:rPr>
          <w:lang w:val="en-US"/>
        </w:rPr>
        <w:t>[</w:t>
      </w:r>
      <w:r>
        <w:rPr>
          <w:lang w:val="en-US"/>
        </w:rPr>
        <w:t>2012</w:t>
      </w:r>
      <w:r w:rsidR="009F076B">
        <w:rPr>
          <w:lang w:val="en-US"/>
        </w:rPr>
        <w:t>]</w:t>
      </w:r>
      <w:r>
        <w:rPr>
          <w:lang w:val="en-US"/>
        </w:rPr>
        <w:t xml:space="preserve"> database</w:t>
      </w:r>
      <w:r w:rsidR="009F076B">
        <w:rPr>
          <w:lang w:val="en-US"/>
        </w:rPr>
        <w:t xml:space="preserve"> </w:t>
      </w:r>
      <w:r>
        <w:rPr>
          <w:lang w:val="en-US"/>
        </w:rPr>
        <w:t xml:space="preserve">only provides </w:t>
      </w:r>
      <w:r w:rsidR="00243AE4">
        <w:rPr>
          <w:lang w:val="en-US"/>
        </w:rPr>
        <w:t>part</w:t>
      </w:r>
      <w:r>
        <w:rPr>
          <w:lang w:val="en-US"/>
        </w:rPr>
        <w:t xml:space="preserve"> of the listed </w:t>
      </w:r>
      <w:r w:rsidR="002E0845">
        <w:rPr>
          <w:lang w:val="en-US"/>
        </w:rPr>
        <w:t xml:space="preserve">fault-specific </w:t>
      </w:r>
      <w:r w:rsidR="00C77BCD">
        <w:rPr>
          <w:lang w:val="en-US"/>
        </w:rPr>
        <w:t xml:space="preserve">data </w:t>
      </w:r>
      <w:r w:rsidR="002E0845">
        <w:rPr>
          <w:lang w:val="en-US"/>
        </w:rPr>
        <w:t xml:space="preserve">and only </w:t>
      </w:r>
      <w:r w:rsidR="009C13D0">
        <w:rPr>
          <w:lang w:val="en-US"/>
        </w:rPr>
        <w:t xml:space="preserve">few and incomplete </w:t>
      </w:r>
      <w:r>
        <w:rPr>
          <w:lang w:val="en-US"/>
        </w:rPr>
        <w:t>references to original studies</w:t>
      </w:r>
      <w:r w:rsidR="009F076B">
        <w:rPr>
          <w:lang w:val="en-US"/>
        </w:rPr>
        <w:t>)</w:t>
      </w:r>
      <w:r w:rsidR="00243AE4">
        <w:rPr>
          <w:lang w:val="en-US"/>
        </w:rPr>
        <w:t xml:space="preserve">. </w:t>
      </w:r>
      <w:r w:rsidR="009C13D0">
        <w:rPr>
          <w:lang w:val="en-US"/>
        </w:rPr>
        <w:t>Aslo, t</w:t>
      </w:r>
      <w:r>
        <w:rPr>
          <w:lang w:val="en-US"/>
        </w:rPr>
        <w:t>he database</w:t>
      </w:r>
      <w:r w:rsidR="009F076B">
        <w:rPr>
          <w:lang w:val="en-US"/>
        </w:rPr>
        <w:t xml:space="preserve">s are mostly </w:t>
      </w:r>
      <w:r>
        <w:rPr>
          <w:lang w:val="en-US"/>
        </w:rPr>
        <w:t>not kept up to date.</w:t>
      </w:r>
    </w:p>
    <w:p w:rsidR="00243AE4" w:rsidRDefault="00243AE4" w:rsidP="00ED4070">
      <w:pPr>
        <w:spacing w:line="360" w:lineRule="auto"/>
        <w:ind w:left="120"/>
        <w:rPr>
          <w:lang w:val="en-US"/>
        </w:rPr>
      </w:pPr>
    </w:p>
    <w:p w:rsidR="00243AE4" w:rsidRDefault="00243AE4" w:rsidP="00ED4070">
      <w:pPr>
        <w:spacing w:line="360" w:lineRule="auto"/>
        <w:ind w:left="120"/>
        <w:rPr>
          <w:lang w:val="en-US"/>
        </w:rPr>
      </w:pPr>
      <w:r>
        <w:rPr>
          <w:lang w:val="en-US"/>
        </w:rPr>
        <w:t xml:space="preserve">The databases listed in </w:t>
      </w:r>
      <w:r>
        <w:rPr>
          <w:lang w:val="en-US"/>
        </w:rPr>
        <w:fldChar w:fldCharType="begin"/>
      </w:r>
      <w:r>
        <w:rPr>
          <w:lang w:val="en-US"/>
        </w:rPr>
        <w:instrText xml:space="preserve"> REF _Ref432406188 \h </w:instrText>
      </w:r>
      <w:r>
        <w:rPr>
          <w:lang w:val="en-US"/>
        </w:rPr>
      </w:r>
      <w:r>
        <w:rPr>
          <w:lang w:val="en-US"/>
        </w:rPr>
        <w:fldChar w:fldCharType="separate"/>
      </w:r>
      <w:r w:rsidR="00173034">
        <w:t xml:space="preserve">Table </w:t>
      </w:r>
      <w:r w:rsidR="00173034">
        <w:rPr>
          <w:noProof/>
        </w:rPr>
        <w:t>6</w:t>
      </w:r>
      <w:r>
        <w:rPr>
          <w:lang w:val="en-US"/>
        </w:rPr>
        <w:fldChar w:fldCharType="end"/>
      </w:r>
      <w:r>
        <w:rPr>
          <w:lang w:val="en-US"/>
        </w:rPr>
        <w:t xml:space="preserve"> must therefore not be regarded as complete. Incompleteness results </w:t>
      </w:r>
      <w:r w:rsidR="0062047B">
        <w:rPr>
          <w:lang w:val="en-US"/>
        </w:rPr>
        <w:t>from</w:t>
      </w:r>
      <w:r w:rsidR="009C13D0">
        <w:rPr>
          <w:lang w:val="en-US"/>
        </w:rPr>
        <w:t>:</w:t>
      </w:r>
    </w:p>
    <w:p w:rsidR="009F076B" w:rsidRDefault="009552CE" w:rsidP="00860D1D">
      <w:pPr>
        <w:numPr>
          <w:ilvl w:val="0"/>
          <w:numId w:val="29"/>
        </w:numPr>
        <w:spacing w:line="360" w:lineRule="auto"/>
        <w:rPr>
          <w:lang w:val="en-US"/>
        </w:rPr>
      </w:pPr>
      <w:r>
        <w:rPr>
          <w:lang w:val="en-US"/>
        </w:rPr>
        <w:t>l</w:t>
      </w:r>
      <w:r w:rsidR="009F076B">
        <w:rPr>
          <w:lang w:val="en-US"/>
        </w:rPr>
        <w:t>imited and non-systematic basic research on active faults</w:t>
      </w:r>
      <w:r w:rsidR="00D75303">
        <w:rPr>
          <w:lang w:val="en-US"/>
        </w:rPr>
        <w:t>;</w:t>
      </w:r>
    </w:p>
    <w:p w:rsidR="009F076B" w:rsidRDefault="009552CE" w:rsidP="00860D1D">
      <w:pPr>
        <w:numPr>
          <w:ilvl w:val="0"/>
          <w:numId w:val="29"/>
        </w:numPr>
        <w:spacing w:line="360" w:lineRule="auto"/>
        <w:rPr>
          <w:lang w:val="en-US"/>
        </w:rPr>
      </w:pPr>
      <w:r>
        <w:rPr>
          <w:lang w:val="en-US"/>
        </w:rPr>
        <w:t>p</w:t>
      </w:r>
      <w:r w:rsidR="009F076B">
        <w:rPr>
          <w:lang w:val="en-US"/>
        </w:rPr>
        <w:t>ossibly incomplete collection</w:t>
      </w:r>
      <w:r w:rsidR="009C13D0">
        <w:rPr>
          <w:lang w:val="en-US"/>
        </w:rPr>
        <w:t xml:space="preserve"> of</w:t>
      </w:r>
      <w:r w:rsidR="009F076B">
        <w:rPr>
          <w:lang w:val="en-US"/>
        </w:rPr>
        <w:t xml:space="preserve"> data </w:t>
      </w:r>
      <w:r w:rsidR="009C13D0">
        <w:rPr>
          <w:lang w:val="en-US"/>
        </w:rPr>
        <w:t>during the establishment of the database</w:t>
      </w:r>
      <w:r w:rsidR="00D75303">
        <w:rPr>
          <w:lang w:val="en-US"/>
        </w:rPr>
        <w:t>;</w:t>
      </w:r>
    </w:p>
    <w:p w:rsidR="009F076B" w:rsidRDefault="009552CE" w:rsidP="00860D1D">
      <w:pPr>
        <w:numPr>
          <w:ilvl w:val="0"/>
          <w:numId w:val="29"/>
        </w:numPr>
        <w:spacing w:line="360" w:lineRule="auto"/>
        <w:rPr>
          <w:lang w:val="en-US"/>
        </w:rPr>
      </w:pPr>
      <w:r>
        <w:rPr>
          <w:lang w:val="en-US"/>
        </w:rPr>
        <w:t>t</w:t>
      </w:r>
      <w:r w:rsidR="009F076B">
        <w:rPr>
          <w:lang w:val="en-US"/>
        </w:rPr>
        <w:t xml:space="preserve">he time elapsed since </w:t>
      </w:r>
      <w:r w:rsidR="00D75303">
        <w:rPr>
          <w:lang w:val="en-US"/>
        </w:rPr>
        <w:t>the compilation of the database.</w:t>
      </w:r>
    </w:p>
    <w:p w:rsidR="00243AE4" w:rsidRDefault="00243AE4" w:rsidP="00ED4070">
      <w:pPr>
        <w:spacing w:line="360" w:lineRule="auto"/>
        <w:ind w:left="120"/>
        <w:rPr>
          <w:lang w:val="en-US"/>
        </w:rPr>
      </w:pPr>
    </w:p>
    <w:p w:rsidR="009D22B3" w:rsidRDefault="00D05AAD" w:rsidP="00ED4070">
      <w:pPr>
        <w:spacing w:line="360" w:lineRule="auto"/>
        <w:ind w:left="120"/>
        <w:rPr>
          <w:lang w:val="en-US"/>
        </w:rPr>
      </w:pPr>
      <w:r>
        <w:rPr>
          <w:lang w:val="en-US"/>
        </w:rPr>
        <w:t>The databases therefore can only serve as starting points for the assessment of active faults in site-specific ha</w:t>
      </w:r>
      <w:r>
        <w:rPr>
          <w:lang w:val="en-US"/>
        </w:rPr>
        <w:t>z</w:t>
      </w:r>
      <w:r>
        <w:rPr>
          <w:lang w:val="en-US"/>
        </w:rPr>
        <w:t>ard assessments. Data need</w:t>
      </w:r>
      <w:r w:rsidR="009C13D0">
        <w:rPr>
          <w:lang w:val="en-US"/>
        </w:rPr>
        <w:t>s</w:t>
      </w:r>
      <w:r>
        <w:rPr>
          <w:lang w:val="en-US"/>
        </w:rPr>
        <w:t xml:space="preserve"> to be supplemented by thorough literature reviews and site-specific geological i</w:t>
      </w:r>
      <w:r>
        <w:rPr>
          <w:lang w:val="en-US"/>
        </w:rPr>
        <w:t>n</w:t>
      </w:r>
      <w:r>
        <w:rPr>
          <w:lang w:val="en-US"/>
        </w:rPr>
        <w:t>vestigations.</w:t>
      </w:r>
    </w:p>
    <w:p w:rsidR="009D22B3" w:rsidRDefault="009D22B3" w:rsidP="00ED4070">
      <w:pPr>
        <w:spacing w:line="360" w:lineRule="auto"/>
        <w:ind w:left="120"/>
        <w:rPr>
          <w:szCs w:val="18"/>
          <w:lang w:val="en-US"/>
        </w:rPr>
      </w:pPr>
    </w:p>
    <w:p w:rsidR="001E2D8C" w:rsidRDefault="00D32FB1" w:rsidP="001E2D8C">
      <w:pPr>
        <w:pStyle w:val="Titre1"/>
        <w:keepNext w:val="0"/>
        <w:keepLines/>
        <w:widowControl w:val="0"/>
        <w:tabs>
          <w:tab w:val="num" w:pos="567"/>
        </w:tabs>
        <w:spacing w:before="0" w:after="240"/>
        <w:ind w:left="567" w:hanging="567"/>
        <w:jc w:val="both"/>
      </w:pPr>
      <w:r>
        <w:br w:type="page"/>
      </w:r>
      <w:bookmarkStart w:id="115" w:name="_Toc456011900"/>
      <w:r w:rsidR="001E2D8C" w:rsidRPr="001E2D8C">
        <w:lastRenderedPageBreak/>
        <w:t>Hazard assessment methodologies</w:t>
      </w:r>
      <w:bookmarkEnd w:id="115"/>
    </w:p>
    <w:p w:rsidR="00BB27FD" w:rsidRPr="00BB27FD" w:rsidRDefault="00BB27FD" w:rsidP="00BB27FD">
      <w:pPr>
        <w:pStyle w:val="Titre2"/>
        <w:rPr>
          <w:lang w:val="en-US"/>
        </w:rPr>
      </w:pPr>
      <w:bookmarkStart w:id="116" w:name="_Ref450564061"/>
      <w:bookmarkStart w:id="117" w:name="_Ref451420144"/>
      <w:bookmarkStart w:id="118" w:name="_Ref451420147"/>
      <w:bookmarkStart w:id="119" w:name="_Toc456011901"/>
      <w:r w:rsidRPr="00BB27FD">
        <w:rPr>
          <w:lang w:val="en-US"/>
        </w:rPr>
        <w:t>Output of the hazard assessment</w:t>
      </w:r>
      <w:bookmarkEnd w:id="116"/>
      <w:bookmarkEnd w:id="117"/>
      <w:bookmarkEnd w:id="118"/>
      <w:bookmarkEnd w:id="119"/>
    </w:p>
    <w:p w:rsidR="009F14B2" w:rsidRDefault="009F14B2" w:rsidP="009F14B2">
      <w:pPr>
        <w:pStyle w:val="Titre3"/>
        <w:rPr>
          <w:lang w:val="en-US"/>
        </w:rPr>
      </w:pPr>
      <w:bookmarkStart w:id="120" w:name="_Toc456011902"/>
      <w:r>
        <w:rPr>
          <w:lang w:val="en-US"/>
        </w:rPr>
        <w:t>Probabilistic Seismic Hazard Analysis (PSHA)</w:t>
      </w:r>
      <w:bookmarkEnd w:id="120"/>
    </w:p>
    <w:p w:rsidR="009F14B2" w:rsidRDefault="009F14B2" w:rsidP="009F14B2">
      <w:pPr>
        <w:rPr>
          <w:lang w:val="en-US"/>
        </w:rPr>
      </w:pPr>
      <w:r>
        <w:rPr>
          <w:lang w:val="en-US"/>
        </w:rPr>
        <w:t>Probabilistic seismic hazard assessment (</w:t>
      </w:r>
      <w:r w:rsidRPr="00EC43D6">
        <w:rPr>
          <w:lang w:val="en-US"/>
        </w:rPr>
        <w:t>PSHA</w:t>
      </w:r>
      <w:r>
        <w:rPr>
          <w:lang w:val="en-US"/>
        </w:rPr>
        <w:t xml:space="preserve">) </w:t>
      </w:r>
      <w:r w:rsidRPr="00EC43D6">
        <w:rPr>
          <w:lang w:val="en-US"/>
        </w:rPr>
        <w:t>provide</w:t>
      </w:r>
      <w:r>
        <w:rPr>
          <w:lang w:val="en-US"/>
        </w:rPr>
        <w:t>s</w:t>
      </w:r>
      <w:r w:rsidRPr="00EC43D6">
        <w:rPr>
          <w:lang w:val="en-US"/>
        </w:rPr>
        <w:t xml:space="preserve"> </w:t>
      </w:r>
      <w:r>
        <w:rPr>
          <w:lang w:val="en-US"/>
        </w:rPr>
        <w:t xml:space="preserve">site-specific </w:t>
      </w:r>
      <w:r w:rsidRPr="00EC43D6">
        <w:rPr>
          <w:lang w:val="en-US"/>
        </w:rPr>
        <w:t xml:space="preserve">hazard </w:t>
      </w:r>
      <w:r>
        <w:rPr>
          <w:lang w:val="en-US"/>
        </w:rPr>
        <w:t xml:space="preserve">results and their uncertainties for PGA and different spectral accelerations. Hazard values are typically represented by hazard </w:t>
      </w:r>
      <w:r w:rsidRPr="00EC43D6">
        <w:rPr>
          <w:lang w:val="en-US"/>
        </w:rPr>
        <w:t>curves</w:t>
      </w:r>
      <w:r>
        <w:rPr>
          <w:lang w:val="en-US"/>
        </w:rPr>
        <w:t xml:space="preserve"> and hazard spectra </w:t>
      </w:r>
      <w:r w:rsidRPr="00EC43D6">
        <w:rPr>
          <w:lang w:val="en-US"/>
        </w:rPr>
        <w:t>for a specified range of annual frequencies of exceedance</w:t>
      </w:r>
      <w:r>
        <w:rPr>
          <w:lang w:val="en-US"/>
        </w:rPr>
        <w:t xml:space="preserve"> and for different confidence values</w:t>
      </w:r>
      <w:r w:rsidR="00D75303">
        <w:rPr>
          <w:lang w:val="en-US"/>
        </w:rPr>
        <w:t xml:space="preserve">. These data are </w:t>
      </w:r>
      <w:r w:rsidR="0062047B">
        <w:rPr>
          <w:lang w:val="en-US"/>
        </w:rPr>
        <w:t>required as an input for PSA.</w:t>
      </w:r>
    </w:p>
    <w:p w:rsidR="009F14B2" w:rsidRDefault="009F14B2" w:rsidP="009F14B2">
      <w:pPr>
        <w:rPr>
          <w:lang w:val="en-US"/>
        </w:rPr>
      </w:pPr>
    </w:p>
    <w:p w:rsidR="009F14B2" w:rsidRDefault="00D60773" w:rsidP="00D60773">
      <w:pPr>
        <w:rPr>
          <w:lang w:val="en-US"/>
        </w:rPr>
      </w:pPr>
      <w:r w:rsidRPr="00EC43D6">
        <w:rPr>
          <w:lang w:val="en-US"/>
        </w:rPr>
        <w:t xml:space="preserve">The </w:t>
      </w:r>
      <w:r>
        <w:rPr>
          <w:lang w:val="en-US"/>
        </w:rPr>
        <w:t xml:space="preserve">severity of vibratory </w:t>
      </w:r>
      <w:r w:rsidRPr="00EC43D6">
        <w:rPr>
          <w:lang w:val="en-US"/>
        </w:rPr>
        <w:t xml:space="preserve">ground motion </w:t>
      </w:r>
      <w:r w:rsidR="002A693A">
        <w:rPr>
          <w:lang w:val="en-US"/>
        </w:rPr>
        <w:t>should</w:t>
      </w:r>
      <w:r>
        <w:rPr>
          <w:lang w:val="en-US"/>
        </w:rPr>
        <w:t xml:space="preserve"> be expressed in terms of </w:t>
      </w:r>
      <w:r w:rsidR="0062047B">
        <w:rPr>
          <w:lang w:val="en-US"/>
        </w:rPr>
        <w:t>(WENRA, 2016):</w:t>
      </w:r>
    </w:p>
    <w:p w:rsidR="00D60773" w:rsidRDefault="009552CE" w:rsidP="00860D1D">
      <w:pPr>
        <w:numPr>
          <w:ilvl w:val="0"/>
          <w:numId w:val="25"/>
        </w:numPr>
        <w:rPr>
          <w:lang w:val="en-US"/>
        </w:rPr>
      </w:pPr>
      <w:r>
        <w:rPr>
          <w:lang w:val="en-US"/>
        </w:rPr>
        <w:t>p</w:t>
      </w:r>
      <w:r w:rsidR="00D60773" w:rsidRPr="00EC43D6">
        <w:rPr>
          <w:lang w:val="en-US"/>
        </w:rPr>
        <w:t>eak ground</w:t>
      </w:r>
      <w:r w:rsidR="00D60773">
        <w:rPr>
          <w:lang w:val="en-US"/>
        </w:rPr>
        <w:t xml:space="preserve"> </w:t>
      </w:r>
      <w:r w:rsidR="00D60773" w:rsidRPr="00EC43D6">
        <w:rPr>
          <w:lang w:val="en-US"/>
        </w:rPr>
        <w:t xml:space="preserve">acceleration </w:t>
      </w:r>
      <w:r w:rsidR="00F10ADC">
        <w:rPr>
          <w:lang w:val="en-US"/>
        </w:rPr>
        <w:t>(PGA)</w:t>
      </w:r>
    </w:p>
    <w:p w:rsidR="00D60773" w:rsidRDefault="009552CE" w:rsidP="00860D1D">
      <w:pPr>
        <w:numPr>
          <w:ilvl w:val="0"/>
          <w:numId w:val="25"/>
        </w:numPr>
        <w:rPr>
          <w:lang w:val="en-US"/>
        </w:rPr>
      </w:pPr>
      <w:r>
        <w:rPr>
          <w:lang w:val="en-US"/>
        </w:rPr>
        <w:t>s</w:t>
      </w:r>
      <w:r w:rsidR="00D60773" w:rsidRPr="00EC43D6">
        <w:rPr>
          <w:lang w:val="en-US"/>
        </w:rPr>
        <w:t>pectral accelerations for all plant‐significant vibration frequencies</w:t>
      </w:r>
    </w:p>
    <w:p w:rsidR="00D60773" w:rsidRDefault="009552CE" w:rsidP="00860D1D">
      <w:pPr>
        <w:numPr>
          <w:ilvl w:val="0"/>
          <w:numId w:val="25"/>
        </w:numPr>
        <w:rPr>
          <w:lang w:val="en-US"/>
        </w:rPr>
      </w:pPr>
      <w:r>
        <w:rPr>
          <w:lang w:val="en-US"/>
        </w:rPr>
        <w:t>p</w:t>
      </w:r>
      <w:r w:rsidR="00D60773" w:rsidRPr="00EC43D6">
        <w:rPr>
          <w:lang w:val="en-US"/>
        </w:rPr>
        <w:t>eak ground velocity</w:t>
      </w:r>
    </w:p>
    <w:p w:rsidR="00D60773" w:rsidRDefault="009552CE" w:rsidP="00860D1D">
      <w:pPr>
        <w:numPr>
          <w:ilvl w:val="0"/>
          <w:numId w:val="25"/>
        </w:numPr>
        <w:rPr>
          <w:lang w:val="en-US"/>
        </w:rPr>
      </w:pPr>
      <w:r>
        <w:rPr>
          <w:lang w:val="en-US"/>
        </w:rPr>
        <w:t>s</w:t>
      </w:r>
      <w:r w:rsidR="0062047B">
        <w:rPr>
          <w:lang w:val="en-US"/>
        </w:rPr>
        <w:t>trong motion duration</w:t>
      </w:r>
    </w:p>
    <w:p w:rsidR="0020155F" w:rsidRDefault="0020155F" w:rsidP="00C25CBF">
      <w:pPr>
        <w:rPr>
          <w:lang w:val="en-US"/>
        </w:rPr>
      </w:pPr>
    </w:p>
    <w:p w:rsidR="00307F36" w:rsidRPr="00072F80" w:rsidRDefault="006C4CC5" w:rsidP="00307F36">
      <w:pPr>
        <w:rPr>
          <w:lang w:val="en-US"/>
        </w:rPr>
      </w:pPr>
      <w:r>
        <w:rPr>
          <w:lang w:val="en-US"/>
        </w:rPr>
        <w:t>H</w:t>
      </w:r>
      <w:r w:rsidRPr="00EC43D6">
        <w:rPr>
          <w:lang w:val="en-US"/>
        </w:rPr>
        <w:t>azard curves</w:t>
      </w:r>
      <w:r>
        <w:rPr>
          <w:lang w:val="en-US"/>
        </w:rPr>
        <w:t xml:space="preserve"> </w:t>
      </w:r>
      <w:r w:rsidR="0020155F">
        <w:rPr>
          <w:lang w:val="en-US"/>
        </w:rPr>
        <w:t xml:space="preserve">and hazard spectra </w:t>
      </w:r>
      <w:r w:rsidRPr="00EC43D6">
        <w:rPr>
          <w:lang w:val="en-US"/>
        </w:rPr>
        <w:t xml:space="preserve">relate the severity </w:t>
      </w:r>
      <w:r>
        <w:rPr>
          <w:lang w:val="en-US"/>
        </w:rPr>
        <w:t xml:space="preserve">of ground shaking </w:t>
      </w:r>
      <w:r w:rsidRPr="00EC43D6">
        <w:rPr>
          <w:lang w:val="en-US"/>
        </w:rPr>
        <w:t xml:space="preserve">with its annual frequency of exceedance. </w:t>
      </w:r>
      <w:r w:rsidR="0020155F">
        <w:rPr>
          <w:lang w:val="en-US"/>
        </w:rPr>
        <w:t>The severity of ground shaking may be expressed by peak ground accelerations (PGA, PGA</w:t>
      </w:r>
      <w:r w:rsidR="0020155F" w:rsidRPr="0020155F">
        <w:rPr>
          <w:vertAlign w:val="subscript"/>
          <w:lang w:val="en-US"/>
        </w:rPr>
        <w:t>H</w:t>
      </w:r>
      <w:r w:rsidR="0020155F">
        <w:rPr>
          <w:lang w:val="en-US"/>
        </w:rPr>
        <w:t xml:space="preserve"> or PGA</w:t>
      </w:r>
      <w:r w:rsidR="0020155F" w:rsidRPr="0020155F">
        <w:rPr>
          <w:vertAlign w:val="subscript"/>
          <w:lang w:val="en-US"/>
        </w:rPr>
        <w:t>V</w:t>
      </w:r>
      <w:r w:rsidR="0020155F">
        <w:rPr>
          <w:lang w:val="en-US"/>
        </w:rPr>
        <w:t xml:space="preserve">; </w:t>
      </w:r>
      <w:r w:rsidR="0020155F">
        <w:rPr>
          <w:lang w:val="en-US"/>
        </w:rPr>
        <w:fldChar w:fldCharType="begin"/>
      </w:r>
      <w:r w:rsidR="0020155F">
        <w:rPr>
          <w:lang w:val="en-US"/>
        </w:rPr>
        <w:instrText xml:space="preserve"> REF _Ref451351258 \h </w:instrText>
      </w:r>
      <w:r w:rsidR="0020155F">
        <w:rPr>
          <w:lang w:val="en-US"/>
        </w:rPr>
      </w:r>
      <w:r w:rsidR="0020155F">
        <w:rPr>
          <w:lang w:val="en-US"/>
        </w:rPr>
        <w:fldChar w:fldCharType="separate"/>
      </w:r>
      <w:r w:rsidR="00173034">
        <w:t xml:space="preserve">Figure </w:t>
      </w:r>
      <w:r w:rsidR="00173034">
        <w:rPr>
          <w:noProof/>
        </w:rPr>
        <w:t>11</w:t>
      </w:r>
      <w:r w:rsidR="0020155F">
        <w:rPr>
          <w:lang w:val="en-US"/>
        </w:rPr>
        <w:fldChar w:fldCharType="end"/>
      </w:r>
      <w:r w:rsidR="0020155F">
        <w:rPr>
          <w:lang w:val="en-US"/>
        </w:rPr>
        <w:t>) or the spectral acceleration. In the latter case exceedance probabilities are calculated for different oscil</w:t>
      </w:r>
      <w:r w:rsidR="00C83EFB">
        <w:rPr>
          <w:lang w:val="en-US"/>
        </w:rPr>
        <w:t>l</w:t>
      </w:r>
      <w:r w:rsidR="0020155F">
        <w:rPr>
          <w:lang w:val="en-US"/>
        </w:rPr>
        <w:t>ation fr</w:t>
      </w:r>
      <w:r w:rsidR="0020155F">
        <w:rPr>
          <w:lang w:val="en-US"/>
        </w:rPr>
        <w:t>e</w:t>
      </w:r>
      <w:r w:rsidR="0020155F">
        <w:rPr>
          <w:lang w:val="en-US"/>
        </w:rPr>
        <w:t>quencies (</w:t>
      </w:r>
      <w:r w:rsidR="0020155F">
        <w:rPr>
          <w:lang w:val="en-US"/>
        </w:rPr>
        <w:fldChar w:fldCharType="begin"/>
      </w:r>
      <w:r w:rsidR="0020155F">
        <w:rPr>
          <w:lang w:val="en-US"/>
        </w:rPr>
        <w:instrText xml:space="preserve"> REF _Ref451351263 \h </w:instrText>
      </w:r>
      <w:r w:rsidR="0020155F">
        <w:rPr>
          <w:lang w:val="en-US"/>
        </w:rPr>
      </w:r>
      <w:r w:rsidR="0020155F">
        <w:rPr>
          <w:lang w:val="en-US"/>
        </w:rPr>
        <w:fldChar w:fldCharType="separate"/>
      </w:r>
      <w:r w:rsidR="00173034">
        <w:t xml:space="preserve">Figure </w:t>
      </w:r>
      <w:r w:rsidR="00173034">
        <w:rPr>
          <w:noProof/>
        </w:rPr>
        <w:t>12</w:t>
      </w:r>
      <w:r w:rsidR="0020155F">
        <w:rPr>
          <w:lang w:val="en-US"/>
        </w:rPr>
        <w:fldChar w:fldCharType="end"/>
      </w:r>
      <w:r w:rsidR="0020155F">
        <w:rPr>
          <w:lang w:val="en-US"/>
        </w:rPr>
        <w:t xml:space="preserve">). </w:t>
      </w:r>
      <w:r>
        <w:rPr>
          <w:lang w:val="en-US"/>
        </w:rPr>
        <w:t xml:space="preserve">Hazard curves and hazard spectra </w:t>
      </w:r>
      <w:r w:rsidR="0020155F">
        <w:rPr>
          <w:lang w:val="en-US"/>
        </w:rPr>
        <w:t>should</w:t>
      </w:r>
      <w:r w:rsidR="00EB19AB">
        <w:rPr>
          <w:lang w:val="en-US"/>
        </w:rPr>
        <w:t xml:space="preserve"> include </w:t>
      </w:r>
      <w:r>
        <w:rPr>
          <w:lang w:val="en-US"/>
        </w:rPr>
        <w:t>mean hazard values, median, and perce</w:t>
      </w:r>
      <w:r>
        <w:rPr>
          <w:lang w:val="en-US"/>
        </w:rPr>
        <w:t>n</w:t>
      </w:r>
      <w:r>
        <w:rPr>
          <w:lang w:val="en-US"/>
        </w:rPr>
        <w:t xml:space="preserve">tiles </w:t>
      </w:r>
      <w:r w:rsidR="00EB19AB" w:rsidRPr="00EC43D6">
        <w:rPr>
          <w:lang w:val="en-US"/>
        </w:rPr>
        <w:t xml:space="preserve">of confidence </w:t>
      </w:r>
      <w:r>
        <w:rPr>
          <w:lang w:val="en-US"/>
        </w:rPr>
        <w:t>(0.05, 0.16, 0.84 and 0.95)</w:t>
      </w:r>
      <w:r w:rsidR="00241C71">
        <w:rPr>
          <w:lang w:val="en-US"/>
        </w:rPr>
        <w:t xml:space="preserve"> to quantify the uncertainties of the assessment</w:t>
      </w:r>
      <w:r>
        <w:rPr>
          <w:lang w:val="en-US"/>
        </w:rPr>
        <w:t xml:space="preserve">. </w:t>
      </w:r>
      <w:r w:rsidR="00307F36">
        <w:rPr>
          <w:lang w:val="en-US"/>
        </w:rPr>
        <w:t>Hazard assessment should be based mean val</w:t>
      </w:r>
      <w:r w:rsidR="00C83EFB">
        <w:rPr>
          <w:lang w:val="en-US"/>
        </w:rPr>
        <w:t>u</w:t>
      </w:r>
      <w:r w:rsidR="00307F36">
        <w:rPr>
          <w:lang w:val="en-US"/>
        </w:rPr>
        <w:t>e of hazard curves</w:t>
      </w:r>
      <w:r w:rsidR="00307F36" w:rsidRPr="00072F80">
        <w:rPr>
          <w:lang w:val="en-US"/>
        </w:rPr>
        <w:t xml:space="preserve"> as it accounts best for the epistemic uncertainty expressed by the long tail of the hazard distribution (O. Scoot</w:t>
      </w:r>
      <w:r w:rsidR="0062047B">
        <w:rPr>
          <w:lang w:val="en-US"/>
        </w:rPr>
        <w:t>i / N. Abrahamsen, pers. comm.)</w:t>
      </w:r>
    </w:p>
    <w:p w:rsidR="0020155F" w:rsidRDefault="0020155F" w:rsidP="00C25CBF">
      <w:pPr>
        <w:rPr>
          <w:lang w:val="en-US"/>
        </w:rPr>
      </w:pPr>
    </w:p>
    <w:p w:rsidR="00C25CBF" w:rsidRPr="00EC43D6" w:rsidRDefault="00F10ADC" w:rsidP="00C25CBF">
      <w:pPr>
        <w:rPr>
          <w:lang w:val="en-US"/>
        </w:rPr>
      </w:pPr>
      <w:r>
        <w:rPr>
          <w:lang w:val="en-US"/>
        </w:rPr>
        <w:t xml:space="preserve">Hazard results </w:t>
      </w:r>
      <w:r w:rsidR="0020155F">
        <w:rPr>
          <w:lang w:val="en-US"/>
        </w:rPr>
        <w:t>can</w:t>
      </w:r>
      <w:r>
        <w:rPr>
          <w:lang w:val="en-US"/>
        </w:rPr>
        <w:t xml:space="preserve"> further be represented by uniform </w:t>
      </w:r>
      <w:r w:rsidR="00143592">
        <w:rPr>
          <w:lang w:val="en-US"/>
        </w:rPr>
        <w:t>ha</w:t>
      </w:r>
      <w:r w:rsidR="00143592">
        <w:rPr>
          <w:lang w:val="en-US"/>
        </w:rPr>
        <w:t>z</w:t>
      </w:r>
      <w:r w:rsidR="00143592">
        <w:rPr>
          <w:lang w:val="en-US"/>
        </w:rPr>
        <w:t>ard spectra (UHS) which provide quantitative values of ground acceleration for different frequencies for a certain annual probability of exceedance</w:t>
      </w:r>
      <w:r w:rsidR="0020155F">
        <w:rPr>
          <w:lang w:val="en-US"/>
        </w:rPr>
        <w:t xml:space="preserve"> (</w:t>
      </w:r>
      <w:r w:rsidR="0020155F">
        <w:rPr>
          <w:lang w:val="en-US"/>
        </w:rPr>
        <w:fldChar w:fldCharType="begin"/>
      </w:r>
      <w:r w:rsidR="0020155F">
        <w:rPr>
          <w:lang w:val="en-US"/>
        </w:rPr>
        <w:instrText xml:space="preserve"> REF _Ref451350850 \h </w:instrText>
      </w:r>
      <w:r w:rsidR="0020155F">
        <w:rPr>
          <w:lang w:val="en-US"/>
        </w:rPr>
      </w:r>
      <w:r w:rsidR="0020155F">
        <w:rPr>
          <w:lang w:val="en-US"/>
        </w:rPr>
        <w:fldChar w:fldCharType="separate"/>
      </w:r>
      <w:r w:rsidR="00173034">
        <w:t xml:space="preserve">Figure </w:t>
      </w:r>
      <w:r w:rsidR="00173034">
        <w:rPr>
          <w:noProof/>
        </w:rPr>
        <w:t>13</w:t>
      </w:r>
      <w:r w:rsidR="0020155F">
        <w:rPr>
          <w:lang w:val="en-US"/>
        </w:rPr>
        <w:fldChar w:fldCharType="end"/>
      </w:r>
      <w:r w:rsidR="0020155F">
        <w:rPr>
          <w:lang w:val="en-US"/>
        </w:rPr>
        <w:t>)</w:t>
      </w:r>
      <w:r w:rsidR="00143592">
        <w:rPr>
          <w:lang w:val="en-US"/>
        </w:rPr>
        <w:t xml:space="preserve">. UHS </w:t>
      </w:r>
      <w:r w:rsidR="0020155F">
        <w:rPr>
          <w:lang w:val="en-US"/>
        </w:rPr>
        <w:t xml:space="preserve">should </w:t>
      </w:r>
      <w:r w:rsidR="00143592">
        <w:rPr>
          <w:lang w:val="en-US"/>
        </w:rPr>
        <w:t>be prepared for different annual probabilities of exceedance such as 10</w:t>
      </w:r>
      <w:r w:rsidR="00143592" w:rsidRPr="00C25CBF">
        <w:rPr>
          <w:vertAlign w:val="superscript"/>
          <w:lang w:val="en-US"/>
        </w:rPr>
        <w:t>-4</w:t>
      </w:r>
      <w:r w:rsidR="00143592">
        <w:rPr>
          <w:lang w:val="en-US"/>
        </w:rPr>
        <w:t xml:space="preserve"> (</w:t>
      </w:r>
      <w:r w:rsidR="00C25CBF">
        <w:rPr>
          <w:lang w:val="en-US"/>
        </w:rPr>
        <w:t>corresponding to</w:t>
      </w:r>
      <w:r w:rsidR="00143592">
        <w:rPr>
          <w:lang w:val="en-US"/>
        </w:rPr>
        <w:t xml:space="preserve"> the minimum design basis requirements</w:t>
      </w:r>
      <w:r w:rsidR="00D75303">
        <w:rPr>
          <w:lang w:val="en-US"/>
        </w:rPr>
        <w:t>)</w:t>
      </w:r>
      <w:r w:rsidR="00C25CBF">
        <w:rPr>
          <w:lang w:val="en-US"/>
        </w:rPr>
        <w:t xml:space="preserve"> and l</w:t>
      </w:r>
      <w:r w:rsidR="00143592">
        <w:rPr>
          <w:lang w:val="en-US"/>
        </w:rPr>
        <w:t>ower probabilities of exceedance such as 10</w:t>
      </w:r>
      <w:r w:rsidR="00143592" w:rsidRPr="00C25CBF">
        <w:rPr>
          <w:vertAlign w:val="superscript"/>
          <w:lang w:val="en-US"/>
        </w:rPr>
        <w:t>-5</w:t>
      </w:r>
      <w:r w:rsidR="00143592">
        <w:rPr>
          <w:lang w:val="en-US"/>
        </w:rPr>
        <w:t xml:space="preserve"> and 10</w:t>
      </w:r>
      <w:r w:rsidR="00143592" w:rsidRPr="00C25CBF">
        <w:rPr>
          <w:vertAlign w:val="superscript"/>
          <w:lang w:val="en-US"/>
        </w:rPr>
        <w:t>-6</w:t>
      </w:r>
      <w:r w:rsidR="00143592">
        <w:rPr>
          <w:lang w:val="en-US"/>
        </w:rPr>
        <w:t xml:space="preserve"> </w:t>
      </w:r>
      <w:r w:rsidR="00D75303">
        <w:rPr>
          <w:lang w:val="en-US"/>
        </w:rPr>
        <w:t xml:space="preserve">required </w:t>
      </w:r>
      <w:r w:rsidR="0020155F">
        <w:rPr>
          <w:lang w:val="en-US"/>
        </w:rPr>
        <w:t xml:space="preserve">as input for PSA and </w:t>
      </w:r>
      <w:r w:rsidR="00C25CBF">
        <w:rPr>
          <w:lang w:val="en-US"/>
        </w:rPr>
        <w:t>DEC analysis</w:t>
      </w:r>
      <w:r w:rsidR="00D75303">
        <w:rPr>
          <w:lang w:val="en-US"/>
        </w:rPr>
        <w:t xml:space="preserve"> (WENRA, 2014</w:t>
      </w:r>
      <w:r w:rsidR="00D75303" w:rsidRPr="00152140">
        <w:rPr>
          <w:color w:val="2E74B5"/>
          <w:lang w:val="en-US"/>
        </w:rPr>
        <w:t xml:space="preserve"> </w:t>
      </w:r>
      <w:r w:rsidR="00D75303" w:rsidRPr="00C25CBF">
        <w:rPr>
          <w:color w:val="2E74B5"/>
          <w:lang w:val="en-US"/>
        </w:rPr>
        <w:t>Issue F</w:t>
      </w:r>
      <w:r w:rsidR="00D75303">
        <w:rPr>
          <w:lang w:val="en-US"/>
        </w:rPr>
        <w:t xml:space="preserve">; 2015 </w:t>
      </w:r>
      <w:r w:rsidR="00D75303" w:rsidRPr="00086A42">
        <w:rPr>
          <w:color w:val="2E74B5"/>
          <w:lang w:val="en-US"/>
        </w:rPr>
        <w:t>Guidance documents on Issue F, T</w:t>
      </w:r>
      <w:r w:rsidR="00D75303">
        <w:rPr>
          <w:color w:val="2E74B5"/>
          <w:lang w:val="en-US"/>
        </w:rPr>
        <w:t>)</w:t>
      </w:r>
      <w:r w:rsidR="00C25CBF">
        <w:rPr>
          <w:lang w:val="en-US"/>
        </w:rPr>
        <w:t>.</w:t>
      </w:r>
      <w:r w:rsidR="00143592">
        <w:rPr>
          <w:lang w:val="en-US"/>
        </w:rPr>
        <w:t xml:space="preserve"> </w:t>
      </w:r>
      <w:r w:rsidR="00241C71">
        <w:rPr>
          <w:lang w:val="en-US"/>
        </w:rPr>
        <w:t xml:space="preserve">All hazard results </w:t>
      </w:r>
      <w:r w:rsidR="00C25CBF">
        <w:rPr>
          <w:lang w:val="en-US"/>
        </w:rPr>
        <w:t>should</w:t>
      </w:r>
      <w:r w:rsidR="00241C71">
        <w:rPr>
          <w:lang w:val="en-US"/>
        </w:rPr>
        <w:t xml:space="preserve"> be </w:t>
      </w:r>
      <w:r w:rsidR="00C25CBF" w:rsidRPr="00EC43D6">
        <w:rPr>
          <w:lang w:val="en-US"/>
        </w:rPr>
        <w:t>o</w:t>
      </w:r>
      <w:r w:rsidR="00C25CBF" w:rsidRPr="00EC43D6">
        <w:rPr>
          <w:lang w:val="en-US"/>
        </w:rPr>
        <w:t>b</w:t>
      </w:r>
      <w:r w:rsidR="00C25CBF" w:rsidRPr="00EC43D6">
        <w:rPr>
          <w:lang w:val="en-US"/>
        </w:rPr>
        <w:t>tained for both</w:t>
      </w:r>
      <w:r w:rsidR="00C25CBF">
        <w:rPr>
          <w:lang w:val="en-US"/>
        </w:rPr>
        <w:t>,</w:t>
      </w:r>
      <w:r w:rsidR="00C25CBF" w:rsidRPr="00EC43D6">
        <w:rPr>
          <w:lang w:val="en-US"/>
        </w:rPr>
        <w:t xml:space="preserve"> horizontal and vertical free field m</w:t>
      </w:r>
      <w:r w:rsidR="00C25CBF" w:rsidRPr="00EC43D6">
        <w:rPr>
          <w:lang w:val="en-US"/>
        </w:rPr>
        <w:t>o</w:t>
      </w:r>
      <w:r w:rsidR="00C25CBF" w:rsidRPr="00EC43D6">
        <w:rPr>
          <w:lang w:val="en-US"/>
        </w:rPr>
        <w:t>tions</w:t>
      </w:r>
      <w:r w:rsidR="00C25CBF">
        <w:rPr>
          <w:lang w:val="en-US"/>
        </w:rPr>
        <w:t xml:space="preserve">, and for rock and soil hazard (WENRA, 2016 </w:t>
      </w:r>
      <w:r w:rsidR="00C25CBF" w:rsidRPr="00086A42">
        <w:rPr>
          <w:color w:val="2E74B5"/>
          <w:lang w:val="en-US"/>
        </w:rPr>
        <w:t>Seismic Guidance</w:t>
      </w:r>
      <w:r w:rsidR="00C25CBF">
        <w:rPr>
          <w:lang w:val="en-US"/>
        </w:rPr>
        <w:t>)</w:t>
      </w:r>
      <w:r w:rsidR="00C25CBF" w:rsidRPr="00EC43D6">
        <w:rPr>
          <w:lang w:val="en-US"/>
        </w:rPr>
        <w:t>.</w:t>
      </w:r>
    </w:p>
    <w:p w:rsidR="00F10ADC" w:rsidRDefault="00F10ADC" w:rsidP="00EC43D6">
      <w:pPr>
        <w:rPr>
          <w:lang w:val="en-US"/>
        </w:rPr>
      </w:pPr>
    </w:p>
    <w:p w:rsidR="00FC7EBB" w:rsidRDefault="006C4CC5" w:rsidP="00EC43D6">
      <w:pPr>
        <w:rPr>
          <w:lang w:val="en-US"/>
        </w:rPr>
      </w:pPr>
      <w:r>
        <w:rPr>
          <w:lang w:val="en-US"/>
        </w:rPr>
        <w:t xml:space="preserve">Hazard values are </w:t>
      </w:r>
      <w:r w:rsidR="00EC43D6" w:rsidRPr="00EC43D6">
        <w:rPr>
          <w:lang w:val="en-US"/>
        </w:rPr>
        <w:t>required for defining the ground</w:t>
      </w:r>
      <w:r w:rsidR="00EC43D6">
        <w:rPr>
          <w:lang w:val="en-US"/>
        </w:rPr>
        <w:t xml:space="preserve"> </w:t>
      </w:r>
      <w:r w:rsidR="00EC43D6" w:rsidRPr="00EC43D6">
        <w:rPr>
          <w:lang w:val="en-US"/>
        </w:rPr>
        <w:t>motion values for the design basis earthquake (DBE; 10</w:t>
      </w:r>
      <w:r w:rsidR="00EC43D6" w:rsidRPr="00EC43D6">
        <w:rPr>
          <w:vertAlign w:val="superscript"/>
          <w:lang w:val="en-US"/>
        </w:rPr>
        <w:t>‐4</w:t>
      </w:r>
      <w:r w:rsidR="00EC43D6" w:rsidRPr="00EC43D6">
        <w:rPr>
          <w:lang w:val="en-US"/>
        </w:rPr>
        <w:t>/year</w:t>
      </w:r>
      <w:r>
        <w:rPr>
          <w:lang w:val="en-US"/>
        </w:rPr>
        <w:t xml:space="preserve">; WENRA, 2014, </w:t>
      </w:r>
      <w:r w:rsidRPr="00086A42">
        <w:rPr>
          <w:color w:val="2E74B5"/>
          <w:lang w:val="en-US"/>
        </w:rPr>
        <w:t>Issue T</w:t>
      </w:r>
      <w:r w:rsidR="00EC43D6" w:rsidRPr="00EC43D6">
        <w:rPr>
          <w:lang w:val="en-US"/>
        </w:rPr>
        <w:t>), and ground motion values for</w:t>
      </w:r>
      <w:r w:rsidR="00EC43D6">
        <w:rPr>
          <w:lang w:val="en-US"/>
        </w:rPr>
        <w:t xml:space="preserve"> </w:t>
      </w:r>
      <w:r w:rsidR="00EC43D6" w:rsidRPr="00EC43D6">
        <w:rPr>
          <w:lang w:val="en-US"/>
        </w:rPr>
        <w:t xml:space="preserve">lower frequencies </w:t>
      </w:r>
      <w:r w:rsidR="00EC43D6">
        <w:rPr>
          <w:lang w:val="en-US"/>
        </w:rPr>
        <w:t xml:space="preserve">of exceedance </w:t>
      </w:r>
      <w:r>
        <w:rPr>
          <w:lang w:val="en-US"/>
        </w:rPr>
        <w:t xml:space="preserve">which are </w:t>
      </w:r>
      <w:r w:rsidR="00EC43D6" w:rsidRPr="00EC43D6">
        <w:rPr>
          <w:lang w:val="en-US"/>
        </w:rPr>
        <w:t>required for the assessment of D</w:t>
      </w:r>
      <w:r w:rsidR="00D75303">
        <w:rPr>
          <w:lang w:val="en-US"/>
        </w:rPr>
        <w:t>esign Extension Conditions</w:t>
      </w:r>
      <w:r w:rsidR="00EC43D6" w:rsidRPr="00EC43D6">
        <w:rPr>
          <w:lang w:val="en-US"/>
        </w:rPr>
        <w:t>.</w:t>
      </w:r>
      <w:r w:rsidR="00EC43D6">
        <w:rPr>
          <w:lang w:val="en-US"/>
        </w:rPr>
        <w:t xml:space="preserve"> </w:t>
      </w:r>
    </w:p>
    <w:p w:rsidR="00EB19AB" w:rsidRDefault="00EB19AB" w:rsidP="00EC43D6">
      <w:pPr>
        <w:rPr>
          <w:lang w:val="en-US"/>
        </w:rPr>
      </w:pPr>
    </w:p>
    <w:p w:rsidR="0057014D" w:rsidRDefault="00EB19AB" w:rsidP="00BB27FD">
      <w:pPr>
        <w:rPr>
          <w:lang w:val="en-US"/>
        </w:rPr>
      </w:pPr>
      <w:r>
        <w:rPr>
          <w:lang w:val="en-US"/>
        </w:rPr>
        <w:lastRenderedPageBreak/>
        <w:t xml:space="preserve">Outputs of hazard assessments should </w:t>
      </w:r>
      <w:r w:rsidR="00C25CBF">
        <w:rPr>
          <w:lang w:val="en-US"/>
        </w:rPr>
        <w:t>further</w:t>
      </w:r>
      <w:r>
        <w:rPr>
          <w:lang w:val="en-US"/>
        </w:rPr>
        <w:t xml:space="preserve"> include deaggregation plots to allow assessing the contribution of different sources </w:t>
      </w:r>
      <w:r w:rsidR="00C25CBF">
        <w:rPr>
          <w:lang w:val="en-US"/>
        </w:rPr>
        <w:t xml:space="preserve">and assumptions </w:t>
      </w:r>
      <w:r>
        <w:rPr>
          <w:lang w:val="en-US"/>
        </w:rPr>
        <w:t xml:space="preserve">to the overall hazard. </w:t>
      </w:r>
      <w:r w:rsidR="0057014D">
        <w:rPr>
          <w:lang w:val="en-US"/>
        </w:rPr>
        <w:t xml:space="preserve">A </w:t>
      </w:r>
      <w:r w:rsidR="005701D1">
        <w:rPr>
          <w:lang w:val="en-US"/>
        </w:rPr>
        <w:t>list with a typical output of probabilistic seismic ha</w:t>
      </w:r>
      <w:r w:rsidR="005701D1">
        <w:rPr>
          <w:lang w:val="en-US"/>
        </w:rPr>
        <w:t>z</w:t>
      </w:r>
      <w:r w:rsidR="005701D1">
        <w:rPr>
          <w:lang w:val="en-US"/>
        </w:rPr>
        <w:t>ard assessment is pr</w:t>
      </w:r>
      <w:r w:rsidR="009552CE">
        <w:rPr>
          <w:lang w:val="en-US"/>
        </w:rPr>
        <w:t>o</w:t>
      </w:r>
      <w:r w:rsidR="00D5166F">
        <w:rPr>
          <w:lang w:val="en-US"/>
        </w:rPr>
        <w:t>vided by IAEA (2010, p. 49-50).</w:t>
      </w:r>
    </w:p>
    <w:p w:rsidR="008C443E" w:rsidRDefault="008C443E" w:rsidP="00A50828">
      <w:pPr>
        <w:rPr>
          <w:lang w:val="en-US"/>
        </w:rPr>
      </w:pPr>
    </w:p>
    <w:p w:rsidR="0020155F" w:rsidRDefault="0020155F" w:rsidP="00A50828">
      <w:pPr>
        <w:rPr>
          <w:lang w:val="en-US"/>
        </w:rPr>
      </w:pPr>
    </w:p>
    <w:p w:rsidR="008C443E" w:rsidRDefault="00FA7DEE" w:rsidP="008C443E">
      <w:pPr>
        <w:jc w:val="center"/>
        <w:rPr>
          <w:lang w:val="en-US"/>
        </w:rPr>
      </w:pPr>
      <w:r>
        <w:rPr>
          <w:lang w:val="en-US"/>
        </w:rPr>
        <w:pict>
          <v:shape id="_x0000_i1043" type="#_x0000_t75" style="width:392.5pt;height:267.6pt">
            <v:imagedata r:id="rId73" o:title="Hazard_curve_examples"/>
          </v:shape>
        </w:pict>
      </w:r>
    </w:p>
    <w:p w:rsidR="008C443E" w:rsidRDefault="008C443E" w:rsidP="008C443E">
      <w:pPr>
        <w:jc w:val="center"/>
        <w:rPr>
          <w:lang w:val="en-US"/>
        </w:rPr>
      </w:pPr>
    </w:p>
    <w:p w:rsidR="008C443E" w:rsidRDefault="008C443E" w:rsidP="008C443E">
      <w:pPr>
        <w:pStyle w:val="Lgende"/>
        <w:jc w:val="center"/>
        <w:rPr>
          <w:i/>
        </w:rPr>
      </w:pPr>
      <w:bookmarkStart w:id="121" w:name="_Ref451351258"/>
      <w:bookmarkStart w:id="122" w:name="_Toc456012047"/>
      <w:r>
        <w:t xml:space="preserve">Figure </w:t>
      </w:r>
      <w:r>
        <w:fldChar w:fldCharType="begin"/>
      </w:r>
      <w:r>
        <w:instrText xml:space="preserve"> SEQ Figure \* ARABIC </w:instrText>
      </w:r>
      <w:r>
        <w:fldChar w:fldCharType="separate"/>
      </w:r>
      <w:r w:rsidR="00173034">
        <w:rPr>
          <w:noProof/>
        </w:rPr>
        <w:t>11</w:t>
      </w:r>
      <w:r>
        <w:fldChar w:fldCharType="end"/>
      </w:r>
      <w:bookmarkEnd w:id="121"/>
      <w:r>
        <w:t>. Exa</w:t>
      </w:r>
      <w:r w:rsidR="00D5166F">
        <w:t>mples of hazard curves</w:t>
      </w:r>
      <w:r>
        <w:t>: annual probability of exceedance of peak ground acceler</w:t>
      </w:r>
      <w:r>
        <w:t>a</w:t>
      </w:r>
      <w:r>
        <w:t xml:space="preserve">tion. Curves are plotted for </w:t>
      </w:r>
      <w:r w:rsidRPr="008C443E">
        <w:t xml:space="preserve">mean hazard value, median, and </w:t>
      </w:r>
      <w:r>
        <w:t xml:space="preserve">the </w:t>
      </w:r>
      <w:r w:rsidRPr="008C443E">
        <w:t>0.05, 0.16, 0.84 and 0.95</w:t>
      </w:r>
      <w:r>
        <w:t xml:space="preserve"> </w:t>
      </w:r>
      <w:r w:rsidRPr="008C443E">
        <w:t>pe</w:t>
      </w:r>
      <w:r w:rsidRPr="008C443E">
        <w:t>r</w:t>
      </w:r>
      <w:r w:rsidRPr="008C443E">
        <w:t>centiles of confidence</w:t>
      </w:r>
      <w:r>
        <w:t xml:space="preserve">.    </w:t>
      </w:r>
      <w:r w:rsidRPr="00923C7F">
        <w:rPr>
          <w:i/>
        </w:rPr>
        <w:t>[</w:t>
      </w:r>
      <w:r w:rsidR="004121AB" w:rsidRPr="004121AB">
        <w:rPr>
          <w:i/>
        </w:rPr>
        <w:t>Hazard_curve_examples</w:t>
      </w:r>
      <w:r>
        <w:rPr>
          <w:i/>
        </w:rPr>
        <w:t>.JPG</w:t>
      </w:r>
      <w:r w:rsidRPr="00923C7F">
        <w:rPr>
          <w:i/>
        </w:rPr>
        <w:t>]</w:t>
      </w:r>
      <w:bookmarkEnd w:id="122"/>
    </w:p>
    <w:p w:rsidR="004121AB" w:rsidRDefault="004121AB" w:rsidP="004121AB">
      <w:pPr>
        <w:jc w:val="center"/>
        <w:rPr>
          <w:lang w:val="en-US"/>
        </w:rPr>
      </w:pPr>
      <w:r>
        <w:rPr>
          <w:lang w:val="en-US"/>
        </w:rPr>
        <w:br w:type="page"/>
      </w:r>
      <w:r w:rsidR="00FA7DEE">
        <w:rPr>
          <w:lang w:val="en-US"/>
        </w:rPr>
        <w:lastRenderedPageBreak/>
        <w:pict>
          <v:shape id="_x0000_i1044" type="#_x0000_t75" style="width:467.05pt;height:318.6pt">
            <v:imagedata r:id="rId74" o:title="Spectral_acceleration_examples"/>
          </v:shape>
        </w:pict>
      </w:r>
    </w:p>
    <w:p w:rsidR="004121AB" w:rsidRDefault="004121AB" w:rsidP="00A50828">
      <w:pPr>
        <w:rPr>
          <w:lang w:val="en-US"/>
        </w:rPr>
      </w:pPr>
    </w:p>
    <w:p w:rsidR="004121AB" w:rsidRDefault="004121AB" w:rsidP="004121AB">
      <w:pPr>
        <w:pStyle w:val="Lgende"/>
        <w:jc w:val="center"/>
        <w:rPr>
          <w:i/>
        </w:rPr>
      </w:pPr>
      <w:bookmarkStart w:id="123" w:name="_Ref451351263"/>
      <w:bookmarkStart w:id="124" w:name="_Toc456012048"/>
      <w:r>
        <w:t xml:space="preserve">Figure </w:t>
      </w:r>
      <w:r>
        <w:fldChar w:fldCharType="begin"/>
      </w:r>
      <w:r>
        <w:instrText xml:space="preserve"> SEQ Figure \* ARABIC </w:instrText>
      </w:r>
      <w:r>
        <w:fldChar w:fldCharType="separate"/>
      </w:r>
      <w:r w:rsidR="00173034">
        <w:rPr>
          <w:noProof/>
        </w:rPr>
        <w:t>12</w:t>
      </w:r>
      <w:r>
        <w:fldChar w:fldCharType="end"/>
      </w:r>
      <w:bookmarkEnd w:id="123"/>
      <w:r w:rsidR="00A07F71">
        <w:t>. Examples of hazard curves</w:t>
      </w:r>
      <w:r>
        <w:t>: probability of exceedance of spectral acceleration for di</w:t>
      </w:r>
      <w:r>
        <w:t>f</w:t>
      </w:r>
      <w:r>
        <w:t>feren oscilation frequencies (1 Hz, 10 Hz, 20 Hz, 50 Hz) and a selected degree of damping (co</w:t>
      </w:r>
      <w:r>
        <w:t>m</w:t>
      </w:r>
      <w:r>
        <w:t xml:space="preserve">monly 5%). Curves are plotted for </w:t>
      </w:r>
      <w:r w:rsidRPr="008C443E">
        <w:t xml:space="preserve">mean hazard value, median, and </w:t>
      </w:r>
      <w:r>
        <w:t xml:space="preserve">the </w:t>
      </w:r>
      <w:r w:rsidRPr="008C443E">
        <w:t>0.05, 0.16, 0.84 and 0.95</w:t>
      </w:r>
      <w:r>
        <w:t xml:space="preserve"> </w:t>
      </w:r>
      <w:r w:rsidRPr="008C443E">
        <w:t>percentiles of confidence</w:t>
      </w:r>
      <w:r>
        <w:t xml:space="preserve">.  </w:t>
      </w:r>
      <w:r w:rsidRPr="00923C7F">
        <w:rPr>
          <w:i/>
        </w:rPr>
        <w:t>[</w:t>
      </w:r>
      <w:r w:rsidRPr="004121AB">
        <w:rPr>
          <w:i/>
        </w:rPr>
        <w:t>Spectral_acceleration_examples</w:t>
      </w:r>
      <w:r>
        <w:rPr>
          <w:i/>
        </w:rPr>
        <w:t>.JPG</w:t>
      </w:r>
      <w:r w:rsidRPr="00923C7F">
        <w:rPr>
          <w:i/>
        </w:rPr>
        <w:t>]</w:t>
      </w:r>
      <w:bookmarkEnd w:id="124"/>
    </w:p>
    <w:p w:rsidR="004121AB" w:rsidRDefault="004121AB" w:rsidP="00A50828">
      <w:pPr>
        <w:rPr>
          <w:lang w:val="en-US"/>
        </w:rPr>
      </w:pPr>
    </w:p>
    <w:p w:rsidR="004121AB" w:rsidRDefault="004121AB" w:rsidP="00A50828">
      <w:pPr>
        <w:rPr>
          <w:lang w:val="en-US"/>
        </w:rPr>
      </w:pPr>
    </w:p>
    <w:p w:rsidR="004121AB" w:rsidRDefault="00265231" w:rsidP="00A50828">
      <w:pPr>
        <w:rPr>
          <w:lang w:val="en-US"/>
        </w:rPr>
      </w:pPr>
      <w:r>
        <w:rPr>
          <w:lang w:val="en-US"/>
        </w:rPr>
        <w:br w:type="page"/>
      </w:r>
    </w:p>
    <w:p w:rsidR="004121AB" w:rsidRDefault="00FA7DEE" w:rsidP="004121AB">
      <w:pPr>
        <w:jc w:val="center"/>
        <w:rPr>
          <w:lang w:val="en-US"/>
        </w:rPr>
      </w:pPr>
      <w:r>
        <w:rPr>
          <w:lang w:val="en-US"/>
        </w:rPr>
        <w:pict>
          <v:shape id="_x0000_i1045" type="#_x0000_t75" style="width:467.05pt;height:323.7pt">
            <v:imagedata r:id="rId75" o:title="Uniform_hazard_spectra_example"/>
          </v:shape>
        </w:pict>
      </w:r>
    </w:p>
    <w:p w:rsidR="004121AB" w:rsidRDefault="004121AB" w:rsidP="004121AB">
      <w:pPr>
        <w:jc w:val="center"/>
        <w:rPr>
          <w:lang w:val="en-US"/>
        </w:rPr>
      </w:pPr>
    </w:p>
    <w:p w:rsidR="004121AB" w:rsidRDefault="004121AB" w:rsidP="004121AB">
      <w:pPr>
        <w:pStyle w:val="Lgende"/>
        <w:jc w:val="center"/>
      </w:pPr>
      <w:bookmarkStart w:id="125" w:name="_Ref451350845"/>
      <w:bookmarkStart w:id="126" w:name="_Ref451350850"/>
      <w:bookmarkStart w:id="127" w:name="_Toc456012049"/>
      <w:r>
        <w:t xml:space="preserve">Figure </w:t>
      </w:r>
      <w:r>
        <w:fldChar w:fldCharType="begin"/>
      </w:r>
      <w:r>
        <w:instrText xml:space="preserve"> SEQ Figure \* ARABIC </w:instrText>
      </w:r>
      <w:r>
        <w:fldChar w:fldCharType="separate"/>
      </w:r>
      <w:r w:rsidR="00173034">
        <w:rPr>
          <w:noProof/>
        </w:rPr>
        <w:t>13</w:t>
      </w:r>
      <w:r>
        <w:fldChar w:fldCharType="end"/>
      </w:r>
      <w:bookmarkEnd w:id="126"/>
      <w:r>
        <w:t xml:space="preserve">. Uniform </w:t>
      </w:r>
      <w:r w:rsidR="0020155F">
        <w:t>H</w:t>
      </w:r>
      <w:r>
        <w:t xml:space="preserve">azard </w:t>
      </w:r>
      <w:r w:rsidR="0020155F">
        <w:t>S</w:t>
      </w:r>
      <w:r>
        <w:t xml:space="preserve">pectra </w:t>
      </w:r>
      <w:r w:rsidR="0020155F">
        <w:t xml:space="preserve">(UHS) </w:t>
      </w:r>
      <w:r>
        <w:t>plotted for different annual probabilities of exceedance (</w:t>
      </w:r>
      <w:r w:rsidR="00D75303">
        <w:t>10</w:t>
      </w:r>
      <w:r w:rsidR="00D75303" w:rsidRPr="004121AB">
        <w:rPr>
          <w:vertAlign w:val="superscript"/>
        </w:rPr>
        <w:t>-4</w:t>
      </w:r>
      <w:r w:rsidR="00D75303">
        <w:t xml:space="preserve"> </w:t>
      </w:r>
      <w:r>
        <w:t xml:space="preserve">to </w:t>
      </w:r>
      <w:r w:rsidR="00D75303">
        <w:t>10</w:t>
      </w:r>
      <w:r w:rsidR="00D75303" w:rsidRPr="004121AB">
        <w:rPr>
          <w:vertAlign w:val="superscript"/>
        </w:rPr>
        <w:t>-7</w:t>
      </w:r>
      <w:r w:rsidR="00D75303">
        <w:t xml:space="preserve"> </w:t>
      </w:r>
      <w:r>
        <w:t xml:space="preserve">per year) and a selected degree of damping (commonly 5%). Curves are plotted for </w:t>
      </w:r>
      <w:r w:rsidRPr="008C443E">
        <w:t xml:space="preserve">mean hazard value, median, and </w:t>
      </w:r>
      <w:r>
        <w:t xml:space="preserve">the </w:t>
      </w:r>
      <w:r w:rsidRPr="008C443E">
        <w:t>0.05, 0.16, 0.84 and 0.95</w:t>
      </w:r>
      <w:r>
        <w:t xml:space="preserve"> </w:t>
      </w:r>
      <w:r w:rsidRPr="008C443E">
        <w:t>percentiles of confidence</w:t>
      </w:r>
      <w:r>
        <w:t>.</w:t>
      </w:r>
      <w:bookmarkEnd w:id="125"/>
      <w:bookmarkEnd w:id="127"/>
      <w:r>
        <w:t xml:space="preserve">    </w:t>
      </w:r>
    </w:p>
    <w:p w:rsidR="004121AB" w:rsidRDefault="004121AB" w:rsidP="004121AB">
      <w:pPr>
        <w:pStyle w:val="Lgende"/>
        <w:jc w:val="center"/>
        <w:rPr>
          <w:i/>
        </w:rPr>
      </w:pPr>
      <w:r w:rsidRPr="00923C7F">
        <w:rPr>
          <w:i/>
        </w:rPr>
        <w:t>[</w:t>
      </w:r>
      <w:r w:rsidR="00C05E5E" w:rsidRPr="00C05E5E">
        <w:rPr>
          <w:i/>
        </w:rPr>
        <w:t>Uniform_hazard_spectra_example</w:t>
      </w:r>
      <w:r>
        <w:rPr>
          <w:i/>
        </w:rPr>
        <w:t>.JPG</w:t>
      </w:r>
      <w:r w:rsidRPr="00923C7F">
        <w:rPr>
          <w:i/>
        </w:rPr>
        <w:t>]</w:t>
      </w:r>
    </w:p>
    <w:p w:rsidR="009F14B2" w:rsidRDefault="009F14B2" w:rsidP="009F14B2">
      <w:pPr>
        <w:pStyle w:val="Titre3"/>
        <w:rPr>
          <w:lang w:val="en-US"/>
        </w:rPr>
      </w:pPr>
      <w:r>
        <w:rPr>
          <w:lang w:val="en-US"/>
        </w:rPr>
        <w:br w:type="page"/>
      </w:r>
      <w:bookmarkStart w:id="128" w:name="_Toc456011903"/>
      <w:r>
        <w:rPr>
          <w:lang w:val="en-US"/>
        </w:rPr>
        <w:lastRenderedPageBreak/>
        <w:t>Deterministic seismic hazard Analysis (DSHA)</w:t>
      </w:r>
      <w:bookmarkEnd w:id="128"/>
    </w:p>
    <w:p w:rsidR="00423762" w:rsidRDefault="009F14B2" w:rsidP="00423762">
      <w:pPr>
        <w:rPr>
          <w:lang w:val="en-US"/>
        </w:rPr>
      </w:pPr>
      <w:r w:rsidRPr="00F524B5">
        <w:rPr>
          <w:lang w:val="en-US"/>
        </w:rPr>
        <w:t xml:space="preserve">DSHA </w:t>
      </w:r>
      <w:r>
        <w:rPr>
          <w:lang w:val="en-US"/>
        </w:rPr>
        <w:t xml:space="preserve">determines the </w:t>
      </w:r>
      <w:r w:rsidR="00423762">
        <w:rPr>
          <w:lang w:val="en-US"/>
        </w:rPr>
        <w:t xml:space="preserve">maximum </w:t>
      </w:r>
      <w:r w:rsidR="00463000">
        <w:rPr>
          <w:lang w:val="en-US"/>
        </w:rPr>
        <w:t>amplitude of</w:t>
      </w:r>
      <w:r w:rsidR="00423762">
        <w:rPr>
          <w:lang w:val="en-US"/>
        </w:rPr>
        <w:t xml:space="preserve"> </w:t>
      </w:r>
      <w:r>
        <w:rPr>
          <w:lang w:val="en-US"/>
        </w:rPr>
        <w:t xml:space="preserve">ground motion </w:t>
      </w:r>
      <w:r w:rsidR="00423762">
        <w:rPr>
          <w:lang w:val="en-US"/>
        </w:rPr>
        <w:t xml:space="preserve">which may be expected at a site. The method </w:t>
      </w:r>
      <w:r w:rsidRPr="00F524B5">
        <w:rPr>
          <w:lang w:val="en-US"/>
        </w:rPr>
        <w:t xml:space="preserve">does not account for the probability </w:t>
      </w:r>
      <w:r w:rsidR="00423762">
        <w:rPr>
          <w:lang w:val="en-US"/>
        </w:rPr>
        <w:t xml:space="preserve">of this ground motion to occur and it does </w:t>
      </w:r>
      <w:r w:rsidR="00463000">
        <w:rPr>
          <w:lang w:val="en-US"/>
        </w:rPr>
        <w:t xml:space="preserve">not </w:t>
      </w:r>
      <w:r w:rsidR="00423762">
        <w:rPr>
          <w:lang w:val="en-US"/>
        </w:rPr>
        <w:t xml:space="preserve">assess the recurrence intervals of </w:t>
      </w:r>
      <w:r w:rsidRPr="00F524B5">
        <w:rPr>
          <w:lang w:val="en-US"/>
        </w:rPr>
        <w:t>earthquake</w:t>
      </w:r>
      <w:r w:rsidR="00423762">
        <w:rPr>
          <w:lang w:val="en-US"/>
        </w:rPr>
        <w:t>s leading to the estimated ground motion. As in PSHA, ground motion may be expressed by p</w:t>
      </w:r>
      <w:r w:rsidR="00423762" w:rsidRPr="00423762">
        <w:rPr>
          <w:lang w:val="en-US"/>
        </w:rPr>
        <w:t>eak ground acceleration (PGA)</w:t>
      </w:r>
      <w:r w:rsidR="00423762">
        <w:rPr>
          <w:lang w:val="en-US"/>
        </w:rPr>
        <w:t>, s</w:t>
      </w:r>
      <w:r w:rsidR="00423762" w:rsidRPr="00423762">
        <w:rPr>
          <w:lang w:val="en-US"/>
        </w:rPr>
        <w:t>pectral accelerations</w:t>
      </w:r>
      <w:r w:rsidR="00423762">
        <w:rPr>
          <w:lang w:val="en-US"/>
        </w:rPr>
        <w:t xml:space="preserve"> for different </w:t>
      </w:r>
      <w:r w:rsidR="00423762" w:rsidRPr="00423762">
        <w:rPr>
          <w:lang w:val="en-US"/>
        </w:rPr>
        <w:t>vibration frequencies</w:t>
      </w:r>
      <w:r w:rsidR="00423762">
        <w:rPr>
          <w:lang w:val="en-US"/>
        </w:rPr>
        <w:t>, p</w:t>
      </w:r>
      <w:r w:rsidR="00423762" w:rsidRPr="00423762">
        <w:rPr>
          <w:lang w:val="en-US"/>
        </w:rPr>
        <w:t>eak ground velocity</w:t>
      </w:r>
      <w:r w:rsidR="00423762">
        <w:rPr>
          <w:lang w:val="en-US"/>
        </w:rPr>
        <w:t>, or strong motion</w:t>
      </w:r>
      <w:r w:rsidR="00423762" w:rsidRPr="00423762">
        <w:rPr>
          <w:lang w:val="en-US"/>
        </w:rPr>
        <w:t xml:space="preserve"> duration</w:t>
      </w:r>
      <w:r w:rsidR="00423762">
        <w:rPr>
          <w:lang w:val="en-US"/>
        </w:rPr>
        <w:t>.</w:t>
      </w:r>
    </w:p>
    <w:p w:rsidR="00423762" w:rsidRDefault="00423762" w:rsidP="009F14B2">
      <w:pPr>
        <w:rPr>
          <w:lang w:val="en-US"/>
        </w:rPr>
      </w:pPr>
    </w:p>
    <w:p w:rsidR="009F14B2" w:rsidRDefault="00423762" w:rsidP="009F14B2">
      <w:pPr>
        <w:rPr>
          <w:lang w:val="en-US"/>
        </w:rPr>
      </w:pPr>
      <w:r>
        <w:rPr>
          <w:lang w:val="en-US"/>
        </w:rPr>
        <w:t>By not providing probabilities for the occurrence of certain ground motion amplitudes</w:t>
      </w:r>
      <w:r w:rsidR="00310D20">
        <w:rPr>
          <w:lang w:val="en-US"/>
        </w:rPr>
        <w:t>,</w:t>
      </w:r>
      <w:r>
        <w:rPr>
          <w:lang w:val="en-US"/>
        </w:rPr>
        <w:t xml:space="preserve"> the method is typically not used to determine i</w:t>
      </w:r>
      <w:r w:rsidR="00310D20">
        <w:rPr>
          <w:lang w:val="en-US"/>
        </w:rPr>
        <w:t>n</w:t>
      </w:r>
      <w:r>
        <w:rPr>
          <w:lang w:val="en-US"/>
        </w:rPr>
        <w:t>put parameters for PSA. However, DSHA</w:t>
      </w:r>
      <w:r w:rsidR="009F14B2">
        <w:rPr>
          <w:lang w:val="en-US"/>
        </w:rPr>
        <w:t xml:space="preserve"> </w:t>
      </w:r>
      <w:r>
        <w:rPr>
          <w:lang w:val="en-US"/>
        </w:rPr>
        <w:t>can</w:t>
      </w:r>
      <w:r w:rsidR="009F14B2">
        <w:rPr>
          <w:lang w:val="en-US"/>
        </w:rPr>
        <w:t xml:space="preserve"> provide an estimate of the largest amplitude of vibratory ground motion </w:t>
      </w:r>
      <w:r>
        <w:rPr>
          <w:lang w:val="en-US"/>
        </w:rPr>
        <w:t xml:space="preserve">to be expected </w:t>
      </w:r>
      <w:r w:rsidR="009F14B2">
        <w:rPr>
          <w:lang w:val="en-US"/>
        </w:rPr>
        <w:t>at a site as an upper cutoff value for PSA.</w:t>
      </w:r>
    </w:p>
    <w:p w:rsidR="00A50828" w:rsidRPr="009F14B2" w:rsidRDefault="00A50828" w:rsidP="009F14B2">
      <w:pPr>
        <w:pStyle w:val="Titre3"/>
        <w:rPr>
          <w:lang w:val="en-US"/>
        </w:rPr>
      </w:pPr>
      <w:bookmarkStart w:id="129" w:name="_Toc456011904"/>
      <w:r w:rsidRPr="009F14B2">
        <w:rPr>
          <w:lang w:val="en-US"/>
        </w:rPr>
        <w:t>Fault capabiltiy</w:t>
      </w:r>
      <w:bookmarkEnd w:id="129"/>
    </w:p>
    <w:p w:rsidR="00B5192B" w:rsidRDefault="00B5192B" w:rsidP="00B5192B">
      <w:pPr>
        <w:rPr>
          <w:lang w:val="en-US"/>
        </w:rPr>
      </w:pPr>
      <w:r>
        <w:rPr>
          <w:lang w:val="en-US"/>
        </w:rPr>
        <w:t>The severity of fault capability hazard is expressed by the total amount of surface displacement (horizontal and vertical displacement)</w:t>
      </w:r>
      <w:r w:rsidR="00502EBF">
        <w:rPr>
          <w:lang w:val="en-US"/>
        </w:rPr>
        <w:t xml:space="preserve"> for both, primary on-fault and distributed off-fault surface displac</w:t>
      </w:r>
      <w:r w:rsidR="00310D20">
        <w:rPr>
          <w:lang w:val="en-US"/>
        </w:rPr>
        <w:t>e</w:t>
      </w:r>
      <w:r w:rsidR="00502EBF">
        <w:rPr>
          <w:lang w:val="en-US"/>
        </w:rPr>
        <w:t xml:space="preserve">ments. IAEA </w:t>
      </w:r>
      <w:r w:rsidR="00502EBF" w:rsidRPr="00502EBF">
        <w:rPr>
          <w:lang w:val="en-US"/>
        </w:rPr>
        <w:t>(</w:t>
      </w:r>
      <w:r w:rsidR="00502EBF">
        <w:rPr>
          <w:lang w:val="en-US"/>
        </w:rPr>
        <w:t>2010</w:t>
      </w:r>
      <w:r w:rsidR="00502EBF" w:rsidRPr="00502EBF">
        <w:rPr>
          <w:lang w:val="en-US"/>
        </w:rPr>
        <w:t xml:space="preserve">) </w:t>
      </w:r>
      <w:r w:rsidR="00502EBF">
        <w:rPr>
          <w:lang w:val="en-US"/>
        </w:rPr>
        <w:t xml:space="preserve">discerns between </w:t>
      </w:r>
      <w:r w:rsidR="00502EBF" w:rsidRPr="00502EBF">
        <w:rPr>
          <w:lang w:val="en-US"/>
        </w:rPr>
        <w:t>primary displacement</w:t>
      </w:r>
      <w:r w:rsidR="00502EBF">
        <w:rPr>
          <w:lang w:val="en-US"/>
        </w:rPr>
        <w:t xml:space="preserve"> </w:t>
      </w:r>
      <w:r w:rsidR="00502EBF" w:rsidRPr="00502EBF">
        <w:rPr>
          <w:lang w:val="en-US"/>
        </w:rPr>
        <w:t>(</w:t>
      </w:r>
      <w:r w:rsidR="00502EBF" w:rsidRPr="00502EBF">
        <w:rPr>
          <w:i/>
          <w:lang w:val="en-US"/>
        </w:rPr>
        <w:t>“typically in the form of direct seismogenic fault rupture”</w:t>
      </w:r>
      <w:r w:rsidR="00502EBF">
        <w:rPr>
          <w:lang w:val="en-US"/>
        </w:rPr>
        <w:t xml:space="preserve">) and </w:t>
      </w:r>
      <w:r w:rsidR="00502EBF" w:rsidRPr="00502EBF">
        <w:rPr>
          <w:lang w:val="en-US"/>
        </w:rPr>
        <w:t>secon</w:t>
      </w:r>
      <w:r w:rsidR="00502EBF" w:rsidRPr="00502EBF">
        <w:rPr>
          <w:lang w:val="en-US"/>
        </w:rPr>
        <w:t>d</w:t>
      </w:r>
      <w:r w:rsidR="00502EBF" w:rsidRPr="00502EBF">
        <w:rPr>
          <w:lang w:val="en-US"/>
        </w:rPr>
        <w:t>ary displacement (</w:t>
      </w:r>
      <w:r w:rsidR="00502EBF" w:rsidRPr="00502EBF">
        <w:rPr>
          <w:i/>
          <w:lang w:val="en-US"/>
        </w:rPr>
        <w:t>“typically associated with induced movement along pre-existing seismogenic slip planes (e.g. a triggered slip on an existing fault or a bedding plane from an earthquake on another fault) and non-seismogenic slip planes (e.g. localized fractures and weak clay seams)”</w:t>
      </w:r>
      <w:r w:rsidR="00502EBF" w:rsidRPr="00502EBF">
        <w:rPr>
          <w:lang w:val="en-US"/>
        </w:rPr>
        <w:t>).</w:t>
      </w:r>
    </w:p>
    <w:p w:rsidR="00B5192B" w:rsidRDefault="00B5192B" w:rsidP="00BB27FD">
      <w:pPr>
        <w:rPr>
          <w:lang w:val="en-US"/>
        </w:rPr>
      </w:pPr>
    </w:p>
    <w:p w:rsidR="00A50828" w:rsidRPr="005E0507" w:rsidRDefault="00B5192B" w:rsidP="00BB27FD">
      <w:pPr>
        <w:rPr>
          <w:lang w:val="en-US"/>
        </w:rPr>
      </w:pPr>
      <w:r>
        <w:rPr>
          <w:lang w:val="en-US"/>
        </w:rPr>
        <w:t>Probabilistic Fault Displacement Hazard Analysis (</w:t>
      </w:r>
      <w:r w:rsidRPr="00B5192B">
        <w:rPr>
          <w:lang w:val="en-US"/>
        </w:rPr>
        <w:t>PFDHA</w:t>
      </w:r>
      <w:r>
        <w:rPr>
          <w:lang w:val="en-US"/>
        </w:rPr>
        <w:t>)</w:t>
      </w:r>
      <w:r w:rsidRPr="00B5192B">
        <w:rPr>
          <w:lang w:val="en-US"/>
        </w:rPr>
        <w:t xml:space="preserve"> </w:t>
      </w:r>
      <w:r>
        <w:rPr>
          <w:lang w:val="en-US"/>
        </w:rPr>
        <w:t xml:space="preserve">determines </w:t>
      </w:r>
      <w:r w:rsidRPr="00B5192B">
        <w:rPr>
          <w:lang w:val="en-US"/>
        </w:rPr>
        <w:t xml:space="preserve">the mean annual frequency of exceedance </w:t>
      </w:r>
      <w:r>
        <w:rPr>
          <w:lang w:val="en-US"/>
        </w:rPr>
        <w:t xml:space="preserve">of different amounts of </w:t>
      </w:r>
      <w:r w:rsidRPr="00B5192B">
        <w:rPr>
          <w:lang w:val="en-US"/>
        </w:rPr>
        <w:t xml:space="preserve">surface displacement. Hazard </w:t>
      </w:r>
      <w:r>
        <w:rPr>
          <w:lang w:val="en-US"/>
        </w:rPr>
        <w:t xml:space="preserve">results are </w:t>
      </w:r>
      <w:r w:rsidR="00502EBF">
        <w:rPr>
          <w:lang w:val="en-US"/>
        </w:rPr>
        <w:t>expressed as fault displacement</w:t>
      </w:r>
      <w:r>
        <w:rPr>
          <w:lang w:val="en-US"/>
        </w:rPr>
        <w:t xml:space="preserve"> hazard curves plo</w:t>
      </w:r>
      <w:r>
        <w:rPr>
          <w:lang w:val="en-US"/>
        </w:rPr>
        <w:t>t</w:t>
      </w:r>
      <w:r>
        <w:rPr>
          <w:lang w:val="en-US"/>
        </w:rPr>
        <w:t>ting the mean annual frequency of exceedance versus surface displacement.</w:t>
      </w:r>
      <w:r w:rsidR="005E0507">
        <w:rPr>
          <w:lang w:val="en-US"/>
        </w:rPr>
        <w:t xml:space="preserve"> Assessments should also comprise </w:t>
      </w:r>
      <w:r w:rsidR="005E0507" w:rsidRPr="00B5192B">
        <w:rPr>
          <w:lang w:val="en-US"/>
        </w:rPr>
        <w:t xml:space="preserve">sensitivity analyses </w:t>
      </w:r>
      <w:r w:rsidR="005E0507">
        <w:rPr>
          <w:lang w:val="en-US"/>
        </w:rPr>
        <w:t xml:space="preserve">to </w:t>
      </w:r>
      <w:r w:rsidR="005E0507" w:rsidRPr="00B5192B">
        <w:rPr>
          <w:lang w:val="en-US"/>
        </w:rPr>
        <w:t xml:space="preserve">show the </w:t>
      </w:r>
      <w:r w:rsidR="00D75303">
        <w:rPr>
          <w:lang w:val="en-US"/>
        </w:rPr>
        <w:t>influence</w:t>
      </w:r>
      <w:r w:rsidR="005E0507" w:rsidRPr="00B5192B">
        <w:rPr>
          <w:lang w:val="en-US"/>
        </w:rPr>
        <w:t xml:space="preserve"> of </w:t>
      </w:r>
      <w:r w:rsidR="00D75303">
        <w:rPr>
          <w:lang w:val="en-US"/>
        </w:rPr>
        <w:t xml:space="preserve">the </w:t>
      </w:r>
      <w:r w:rsidR="005E0507" w:rsidRPr="00B5192B">
        <w:rPr>
          <w:lang w:val="en-US"/>
        </w:rPr>
        <w:t>various PFDHA input</w:t>
      </w:r>
      <w:r w:rsidR="00D75303">
        <w:rPr>
          <w:lang w:val="en-US"/>
        </w:rPr>
        <w:t xml:space="preserve"> data</w:t>
      </w:r>
      <w:r w:rsidR="005E0507" w:rsidRPr="00B5192B">
        <w:rPr>
          <w:lang w:val="en-US"/>
        </w:rPr>
        <w:t xml:space="preserve"> and the sensitivity of results to the range of uncertainty.</w:t>
      </w:r>
      <w:r w:rsidR="00C8762A">
        <w:rPr>
          <w:lang w:val="en-US"/>
        </w:rPr>
        <w:t xml:space="preserve"> </w:t>
      </w:r>
      <w:r w:rsidR="00502EBF">
        <w:rPr>
          <w:lang w:val="en-US"/>
        </w:rPr>
        <w:t>Unlike for ground motion hazard PFDHA is typically not applied during the planning and co</w:t>
      </w:r>
      <w:r w:rsidR="00502EBF">
        <w:rPr>
          <w:lang w:val="en-US"/>
        </w:rPr>
        <w:t>n</w:t>
      </w:r>
      <w:r w:rsidR="00502EBF">
        <w:rPr>
          <w:lang w:val="en-US"/>
        </w:rPr>
        <w:t xml:space="preserve">structional stage of a nuclear installation as IAEA recommends that </w:t>
      </w:r>
      <w:r w:rsidR="00502EBF" w:rsidRPr="00502EBF">
        <w:rPr>
          <w:i/>
          <w:lang w:val="en-US"/>
        </w:rPr>
        <w:t xml:space="preserve">“an alternative site should be </w:t>
      </w:r>
      <w:r w:rsidR="00310D20">
        <w:rPr>
          <w:i/>
          <w:lang w:val="en-US"/>
        </w:rPr>
        <w:t>c</w:t>
      </w:r>
      <w:r w:rsidR="00502EBF" w:rsidRPr="00502EBF">
        <w:rPr>
          <w:i/>
          <w:lang w:val="en-US"/>
        </w:rPr>
        <w:t xml:space="preserve">onsidered” </w:t>
      </w:r>
      <w:r w:rsidR="00502EBF">
        <w:rPr>
          <w:lang w:val="en-US"/>
        </w:rPr>
        <w:t xml:space="preserve">in cases </w:t>
      </w:r>
      <w:r w:rsidR="00C7431C" w:rsidRPr="00C7431C">
        <w:rPr>
          <w:i/>
          <w:lang w:val="en-US"/>
        </w:rPr>
        <w:t>“</w:t>
      </w:r>
      <w:r w:rsidR="00502EBF" w:rsidRPr="00C7431C">
        <w:rPr>
          <w:i/>
          <w:lang w:val="en-US"/>
        </w:rPr>
        <w:t>where reliable evidence shows that there may be a capable fault with the</w:t>
      </w:r>
      <w:r w:rsidR="00C7431C" w:rsidRPr="00C7431C">
        <w:rPr>
          <w:i/>
          <w:lang w:val="en-US"/>
        </w:rPr>
        <w:t xml:space="preserve"> </w:t>
      </w:r>
      <w:r w:rsidR="00502EBF" w:rsidRPr="00C7431C">
        <w:rPr>
          <w:i/>
          <w:lang w:val="en-US"/>
        </w:rPr>
        <w:t>potential to affect the safety of a plant</w:t>
      </w:r>
      <w:r w:rsidR="00C7431C" w:rsidRPr="00C7431C">
        <w:rPr>
          <w:i/>
          <w:lang w:val="en-US"/>
        </w:rPr>
        <w:t>”</w:t>
      </w:r>
      <w:r w:rsidR="00C7431C">
        <w:rPr>
          <w:i/>
          <w:lang w:val="en-US"/>
        </w:rPr>
        <w:t xml:space="preserve"> </w:t>
      </w:r>
      <w:r w:rsidR="00C7431C" w:rsidRPr="00C7431C">
        <w:rPr>
          <w:lang w:val="en-US"/>
        </w:rPr>
        <w:t>(IAEA, 2010, para. 8.8).</w:t>
      </w:r>
      <w:r w:rsidR="00CB033C">
        <w:rPr>
          <w:lang w:val="en-US"/>
        </w:rPr>
        <w:t xml:space="preserve"> PDFHA is therefore generally applied to existing plants where capable faults were identified during the lifetime of the plant</w:t>
      </w:r>
      <w:r w:rsidR="005E0507">
        <w:rPr>
          <w:rStyle w:val="Appelnotedebasdep"/>
          <w:lang w:val="en-US"/>
        </w:rPr>
        <w:footnoteReference w:id="8"/>
      </w:r>
      <w:r w:rsidR="00CB033C">
        <w:rPr>
          <w:lang w:val="en-US"/>
        </w:rPr>
        <w:t xml:space="preserve">. </w:t>
      </w:r>
      <w:r w:rsidR="005E0507">
        <w:rPr>
          <w:lang w:val="en-US"/>
        </w:rPr>
        <w:t>As a consequence plants are originally not designed against any surface displacement.</w:t>
      </w:r>
    </w:p>
    <w:p w:rsidR="00E01D15" w:rsidRDefault="005701D1" w:rsidP="001E2D8C">
      <w:pPr>
        <w:pStyle w:val="Titre2"/>
        <w:rPr>
          <w:lang w:val="en-US"/>
        </w:rPr>
      </w:pPr>
      <w:r>
        <w:rPr>
          <w:lang w:val="en-US"/>
        </w:rPr>
        <w:br w:type="page"/>
      </w:r>
      <w:bookmarkStart w:id="130" w:name="_Ref433356063"/>
      <w:bookmarkStart w:id="131" w:name="_Ref433356080"/>
      <w:bookmarkStart w:id="132" w:name="_Ref433356088"/>
      <w:bookmarkStart w:id="133" w:name="_Toc456011905"/>
      <w:r w:rsidR="00E01D15" w:rsidRPr="001E2D8C">
        <w:rPr>
          <w:lang w:val="en-US"/>
        </w:rPr>
        <w:lastRenderedPageBreak/>
        <w:t>Identification of key input parameters</w:t>
      </w:r>
      <w:bookmarkEnd w:id="130"/>
      <w:bookmarkEnd w:id="131"/>
      <w:bookmarkEnd w:id="132"/>
      <w:bookmarkEnd w:id="133"/>
    </w:p>
    <w:p w:rsidR="00E6154E" w:rsidRDefault="003830FD" w:rsidP="001E2D8C">
      <w:pPr>
        <w:rPr>
          <w:lang w:val="en-US"/>
        </w:rPr>
      </w:pPr>
      <w:r>
        <w:rPr>
          <w:lang w:val="en-US"/>
        </w:rPr>
        <w:t xml:space="preserve">The following chapters provide short discussions of selected input parameters for seismic hazard evaluation, which have significant impact on the outcome of the assessment. </w:t>
      </w:r>
      <w:r w:rsidR="00C26C9A">
        <w:rPr>
          <w:lang w:val="en-US"/>
        </w:rPr>
        <w:t>It is a common property of all discussed parameters that their assessment</w:t>
      </w:r>
      <w:r w:rsidR="002C29E9">
        <w:rPr>
          <w:lang w:val="en-US"/>
        </w:rPr>
        <w:t xml:space="preserve"> is not straight foreward and</w:t>
      </w:r>
      <w:r w:rsidR="00C26C9A">
        <w:rPr>
          <w:lang w:val="en-US"/>
        </w:rPr>
        <w:t xml:space="preserve"> includes significant degrees </w:t>
      </w:r>
      <w:r w:rsidR="002C29E9">
        <w:rPr>
          <w:lang w:val="en-US"/>
        </w:rPr>
        <w:t xml:space="preserve">of epistemic </w:t>
      </w:r>
      <w:r w:rsidR="00C26C9A">
        <w:rPr>
          <w:lang w:val="en-US"/>
        </w:rPr>
        <w:t xml:space="preserve">uncertainty. </w:t>
      </w:r>
      <w:r w:rsidR="002C29E9">
        <w:rPr>
          <w:lang w:val="en-US"/>
        </w:rPr>
        <w:t xml:space="preserve">In PSHA these </w:t>
      </w:r>
      <w:r w:rsidR="00425A67">
        <w:rPr>
          <w:lang w:val="en-US"/>
        </w:rPr>
        <w:t xml:space="preserve">uncertainties </w:t>
      </w:r>
      <w:r w:rsidR="002C29E9">
        <w:rPr>
          <w:lang w:val="en-US"/>
        </w:rPr>
        <w:t>are commonly modelled by logic tree approaches which take into account different asses</w:t>
      </w:r>
      <w:r w:rsidR="002C29E9">
        <w:rPr>
          <w:lang w:val="en-US"/>
        </w:rPr>
        <w:t>s</w:t>
      </w:r>
      <w:r w:rsidR="00A07F71">
        <w:rPr>
          <w:lang w:val="en-US"/>
        </w:rPr>
        <w:t>ments of the parameters.</w:t>
      </w:r>
    </w:p>
    <w:p w:rsidR="00231E16" w:rsidRPr="00F10FCA" w:rsidRDefault="00231E16" w:rsidP="00F10FCA">
      <w:pPr>
        <w:pStyle w:val="Titre3"/>
        <w:rPr>
          <w:lang w:val="en-US"/>
        </w:rPr>
      </w:pPr>
      <w:bookmarkStart w:id="134" w:name="_Ref433386373"/>
      <w:bookmarkStart w:id="135" w:name="_Ref433386377"/>
      <w:bookmarkStart w:id="136" w:name="_Toc456011906"/>
      <w:r w:rsidRPr="00F10FCA">
        <w:rPr>
          <w:lang w:val="en-US"/>
        </w:rPr>
        <w:t>Active fault sources</w:t>
      </w:r>
      <w:r w:rsidR="00521403">
        <w:rPr>
          <w:lang w:val="en-US"/>
        </w:rPr>
        <w:t xml:space="preserve"> (Seismogenic structures)</w:t>
      </w:r>
      <w:bookmarkEnd w:id="134"/>
      <w:bookmarkEnd w:id="135"/>
      <w:bookmarkEnd w:id="136"/>
    </w:p>
    <w:p w:rsidR="00DE683A" w:rsidRDefault="00DD416E" w:rsidP="00DE683A">
      <w:pPr>
        <w:rPr>
          <w:lang w:val="en-US"/>
        </w:rPr>
      </w:pPr>
      <w:r>
        <w:rPr>
          <w:lang w:val="en-US"/>
        </w:rPr>
        <w:t xml:space="preserve">The identification and correct assessment of active faults in the surrounding of NPPs is regarded as a key issue in seismic hazard assessment. </w:t>
      </w:r>
      <w:r w:rsidR="00DE683A">
        <w:rPr>
          <w:lang w:val="en-US"/>
        </w:rPr>
        <w:t>The importance of identifying and characterizing active faults is stressed by IAEA (20</w:t>
      </w:r>
      <w:r w:rsidR="00A33966">
        <w:rPr>
          <w:lang w:val="en-US"/>
        </w:rPr>
        <w:t>10</w:t>
      </w:r>
      <w:r w:rsidR="00DE683A">
        <w:rPr>
          <w:lang w:val="en-US"/>
        </w:rPr>
        <w:t xml:space="preserve">; </w:t>
      </w:r>
      <w:r w:rsidR="00DE683A" w:rsidRPr="007701F9">
        <w:rPr>
          <w:color w:val="0070C0"/>
          <w:lang w:val="en-US"/>
        </w:rPr>
        <w:t>SSG-9</w:t>
      </w:r>
      <w:r w:rsidR="00DE683A">
        <w:rPr>
          <w:lang w:val="en-US"/>
        </w:rPr>
        <w:t xml:space="preserve">), WENRA (2016 </w:t>
      </w:r>
      <w:r w:rsidR="00DE683A" w:rsidRPr="00152140">
        <w:rPr>
          <w:color w:val="2E74B5"/>
          <w:lang w:val="en-US"/>
        </w:rPr>
        <w:t>Guidance Seismic Hazard</w:t>
      </w:r>
      <w:r w:rsidR="00DE683A">
        <w:rPr>
          <w:lang w:val="en-US"/>
        </w:rPr>
        <w:t>), and IAEA (2015</w:t>
      </w:r>
      <w:r w:rsidR="0042382F">
        <w:rPr>
          <w:lang w:val="en-US"/>
        </w:rPr>
        <w:t>c</w:t>
      </w:r>
      <w:r w:rsidR="00DE683A">
        <w:rPr>
          <w:lang w:val="en-US"/>
        </w:rPr>
        <w:t xml:space="preserve"> </w:t>
      </w:r>
      <w:r w:rsidR="00DE683A" w:rsidRPr="007701F9">
        <w:rPr>
          <w:color w:val="0070C0"/>
          <w:lang w:val="en-US"/>
        </w:rPr>
        <w:t>Tecdoc Paleoseismology</w:t>
      </w:r>
      <w:r w:rsidR="00A07F71">
        <w:rPr>
          <w:lang w:val="en-US"/>
        </w:rPr>
        <w:t>).</w:t>
      </w:r>
    </w:p>
    <w:p w:rsidR="00DE683A" w:rsidRDefault="00DE683A" w:rsidP="00DD416E">
      <w:pPr>
        <w:rPr>
          <w:lang w:val="en-US"/>
        </w:rPr>
      </w:pPr>
    </w:p>
    <w:p w:rsidR="00F959E8" w:rsidRDefault="00DD416E" w:rsidP="00DD416E">
      <w:pPr>
        <w:rPr>
          <w:lang w:val="en-US"/>
        </w:rPr>
      </w:pPr>
      <w:r>
        <w:rPr>
          <w:lang w:val="en-US"/>
        </w:rPr>
        <w:t xml:space="preserve">As discussed in more detail in the chapter </w:t>
      </w:r>
      <w:r>
        <w:rPr>
          <w:lang w:val="en-US"/>
        </w:rPr>
        <w:fldChar w:fldCharType="begin"/>
      </w:r>
      <w:r>
        <w:rPr>
          <w:lang w:val="en-US"/>
        </w:rPr>
        <w:instrText xml:space="preserve"> REF _Ref431201835 \r \h </w:instrText>
      </w:r>
      <w:r>
        <w:rPr>
          <w:lang w:val="en-US"/>
        </w:rPr>
      </w:r>
      <w:r>
        <w:rPr>
          <w:lang w:val="en-US"/>
        </w:rPr>
        <w:fldChar w:fldCharType="separate"/>
      </w:r>
      <w:r w:rsidR="00173034">
        <w:rPr>
          <w:lang w:val="en-US"/>
        </w:rPr>
        <w:t>3.1.1</w:t>
      </w:r>
      <w:r>
        <w:rPr>
          <w:lang w:val="en-US"/>
        </w:rPr>
        <w:fldChar w:fldCharType="end"/>
      </w:r>
      <w:r>
        <w:rPr>
          <w:lang w:val="en-US"/>
        </w:rPr>
        <w:t xml:space="preserve"> (page </w:t>
      </w:r>
      <w:r>
        <w:rPr>
          <w:lang w:val="en-US"/>
        </w:rPr>
        <w:fldChar w:fldCharType="begin"/>
      </w:r>
      <w:r>
        <w:rPr>
          <w:lang w:val="en-US"/>
        </w:rPr>
        <w:instrText xml:space="preserve"> PAGEREF _Ref431201839 \h </w:instrText>
      </w:r>
      <w:r>
        <w:rPr>
          <w:lang w:val="en-US"/>
        </w:rPr>
      </w:r>
      <w:r>
        <w:rPr>
          <w:lang w:val="en-US"/>
        </w:rPr>
        <w:fldChar w:fldCharType="separate"/>
      </w:r>
      <w:r w:rsidR="00173034">
        <w:rPr>
          <w:noProof/>
          <w:lang w:val="en-US"/>
        </w:rPr>
        <w:t>33</w:t>
      </w:r>
      <w:r>
        <w:rPr>
          <w:lang w:val="en-US"/>
        </w:rPr>
        <w:fldChar w:fldCharType="end"/>
      </w:r>
      <w:r>
        <w:rPr>
          <w:lang w:val="en-US"/>
        </w:rPr>
        <w:t>)</w:t>
      </w:r>
      <w:r w:rsidR="00310D20">
        <w:rPr>
          <w:lang w:val="en-US"/>
        </w:rPr>
        <w:t>,</w:t>
      </w:r>
      <w:r>
        <w:rPr>
          <w:lang w:val="en-US"/>
        </w:rPr>
        <w:t xml:space="preserve"> seismically active faults </w:t>
      </w:r>
      <w:r w:rsidRPr="007701F9">
        <w:rPr>
          <w:lang w:val="en-US"/>
        </w:rPr>
        <w:t>can</w:t>
      </w:r>
      <w:r>
        <w:rPr>
          <w:lang w:val="en-US"/>
        </w:rPr>
        <w:t>not</w:t>
      </w:r>
      <w:r w:rsidRPr="007701F9">
        <w:rPr>
          <w:lang w:val="en-US"/>
        </w:rPr>
        <w:t xml:space="preserve"> be recognized from analyzing the earthquake record</w:t>
      </w:r>
      <w:r>
        <w:rPr>
          <w:lang w:val="en-US"/>
        </w:rPr>
        <w:t xml:space="preserve"> alone</w:t>
      </w:r>
      <w:r w:rsidRPr="007701F9">
        <w:rPr>
          <w:lang w:val="en-US"/>
        </w:rPr>
        <w:t xml:space="preserve">. </w:t>
      </w:r>
      <w:r>
        <w:rPr>
          <w:lang w:val="en-US"/>
        </w:rPr>
        <w:t>This is due to the fact that the active faults in</w:t>
      </w:r>
      <w:r w:rsidRPr="007701F9">
        <w:rPr>
          <w:lang w:val="en-US"/>
        </w:rPr>
        <w:t xml:space="preserve"> intra-plate Europe </w:t>
      </w:r>
      <w:r>
        <w:rPr>
          <w:lang w:val="en-US"/>
        </w:rPr>
        <w:t xml:space="preserve">are </w:t>
      </w:r>
      <w:r w:rsidRPr="007701F9">
        <w:rPr>
          <w:lang w:val="en-US"/>
        </w:rPr>
        <w:t xml:space="preserve">slow </w:t>
      </w:r>
      <w:r>
        <w:rPr>
          <w:lang w:val="en-US"/>
        </w:rPr>
        <w:t xml:space="preserve">to very slow moving structures which </w:t>
      </w:r>
      <w:r w:rsidRPr="007701F9">
        <w:rPr>
          <w:lang w:val="en-US"/>
        </w:rPr>
        <w:t>produc</w:t>
      </w:r>
      <w:r>
        <w:rPr>
          <w:lang w:val="en-US"/>
        </w:rPr>
        <w:t xml:space="preserve">e </w:t>
      </w:r>
      <w:r w:rsidRPr="007701F9">
        <w:rPr>
          <w:lang w:val="en-US"/>
        </w:rPr>
        <w:t xml:space="preserve">earthquakes at recurrence times </w:t>
      </w:r>
      <w:r w:rsidR="00F959E8">
        <w:rPr>
          <w:lang w:val="en-US"/>
        </w:rPr>
        <w:t xml:space="preserve">of </w:t>
      </w:r>
      <w:r>
        <w:rPr>
          <w:lang w:val="en-US"/>
        </w:rPr>
        <w:t xml:space="preserve">thousands to ten thousands of </w:t>
      </w:r>
      <w:r w:rsidRPr="007701F9">
        <w:rPr>
          <w:lang w:val="en-US"/>
        </w:rPr>
        <w:t>years</w:t>
      </w:r>
      <w:r>
        <w:rPr>
          <w:lang w:val="en-US"/>
        </w:rPr>
        <w:t xml:space="preserve">, </w:t>
      </w:r>
      <w:r w:rsidRPr="007701F9">
        <w:rPr>
          <w:lang w:val="en-US"/>
        </w:rPr>
        <w:t xml:space="preserve">which </w:t>
      </w:r>
      <w:r>
        <w:rPr>
          <w:lang w:val="en-US"/>
        </w:rPr>
        <w:t xml:space="preserve">exceed the </w:t>
      </w:r>
      <w:r w:rsidRPr="007701F9">
        <w:rPr>
          <w:lang w:val="en-US"/>
        </w:rPr>
        <w:t>time cover</w:t>
      </w:r>
      <w:r>
        <w:rPr>
          <w:lang w:val="en-US"/>
        </w:rPr>
        <w:t xml:space="preserve">age of </w:t>
      </w:r>
      <w:r w:rsidRPr="007701F9">
        <w:rPr>
          <w:lang w:val="en-US"/>
        </w:rPr>
        <w:t xml:space="preserve">earthquake records </w:t>
      </w:r>
      <w:r>
        <w:rPr>
          <w:lang w:val="en-US"/>
        </w:rPr>
        <w:t xml:space="preserve">by factors </w:t>
      </w:r>
      <w:r w:rsidR="00F959E8">
        <w:rPr>
          <w:lang w:val="en-US"/>
        </w:rPr>
        <w:t>between 10 and 100. Not identifying a</w:t>
      </w:r>
      <w:r w:rsidR="00F959E8">
        <w:rPr>
          <w:lang w:val="en-US"/>
        </w:rPr>
        <w:t>c</w:t>
      </w:r>
      <w:r w:rsidR="00F959E8">
        <w:rPr>
          <w:lang w:val="en-US"/>
        </w:rPr>
        <w:t xml:space="preserve">tive faults </w:t>
      </w:r>
      <w:r w:rsidR="00C8762A">
        <w:rPr>
          <w:lang w:val="en-US"/>
        </w:rPr>
        <w:t>(because they</w:t>
      </w:r>
      <w:r w:rsidR="00F959E8">
        <w:rPr>
          <w:lang w:val="en-US"/>
        </w:rPr>
        <w:t xml:space="preserve"> have not produced recorded earthquakes</w:t>
      </w:r>
      <w:r w:rsidR="00C8762A">
        <w:rPr>
          <w:lang w:val="en-US"/>
        </w:rPr>
        <w:t>)</w:t>
      </w:r>
      <w:r w:rsidR="00F959E8">
        <w:rPr>
          <w:lang w:val="en-US"/>
        </w:rPr>
        <w:t xml:space="preserve"> may result in significantly underestimated hazard va</w:t>
      </w:r>
      <w:r w:rsidR="00F959E8">
        <w:rPr>
          <w:lang w:val="en-US"/>
        </w:rPr>
        <w:t>l</w:t>
      </w:r>
      <w:r w:rsidR="00F959E8">
        <w:rPr>
          <w:lang w:val="en-US"/>
        </w:rPr>
        <w:t>ues.</w:t>
      </w:r>
    </w:p>
    <w:p w:rsidR="00F959E8" w:rsidRDefault="00F959E8" w:rsidP="00DD416E">
      <w:pPr>
        <w:rPr>
          <w:lang w:val="en-US"/>
        </w:rPr>
      </w:pPr>
    </w:p>
    <w:p w:rsidR="00DE683A" w:rsidRDefault="00D32FB1" w:rsidP="00DD416E">
      <w:pPr>
        <w:rPr>
          <w:lang w:val="en-US"/>
        </w:rPr>
      </w:pPr>
      <w:r>
        <w:rPr>
          <w:lang w:val="en-US"/>
        </w:rPr>
        <w:t xml:space="preserve">The identification </w:t>
      </w:r>
      <w:r w:rsidR="00642C90">
        <w:rPr>
          <w:lang w:val="en-US"/>
        </w:rPr>
        <w:t xml:space="preserve">and assessment of active faults should use a graded approach </w:t>
      </w:r>
      <w:r w:rsidR="00DE683A">
        <w:rPr>
          <w:lang w:val="en-US"/>
        </w:rPr>
        <w:t xml:space="preserve">as the one proposed in </w:t>
      </w:r>
      <w:r w:rsidR="00B07AE4">
        <w:rPr>
          <w:lang w:val="en-US"/>
        </w:rPr>
        <w:fldChar w:fldCharType="begin"/>
      </w:r>
      <w:r w:rsidR="00B07AE4">
        <w:rPr>
          <w:lang w:val="en-US"/>
        </w:rPr>
        <w:instrText xml:space="preserve"> REF _Ref451165063 \h </w:instrText>
      </w:r>
      <w:r w:rsidR="00B07AE4">
        <w:rPr>
          <w:lang w:val="en-US"/>
        </w:rPr>
      </w:r>
      <w:r w:rsidR="00B07AE4">
        <w:rPr>
          <w:lang w:val="en-US"/>
        </w:rPr>
        <w:fldChar w:fldCharType="separate"/>
      </w:r>
      <w:r w:rsidR="00173034">
        <w:t xml:space="preserve">Figure </w:t>
      </w:r>
      <w:r w:rsidR="00173034">
        <w:rPr>
          <w:noProof/>
        </w:rPr>
        <w:t>14</w:t>
      </w:r>
      <w:r w:rsidR="00B07AE4">
        <w:rPr>
          <w:lang w:val="en-US"/>
        </w:rPr>
        <w:fldChar w:fldCharType="end"/>
      </w:r>
      <w:r w:rsidR="00B07AE4">
        <w:rPr>
          <w:lang w:val="en-US"/>
        </w:rPr>
        <w:t xml:space="preserve"> </w:t>
      </w:r>
      <w:r w:rsidR="00642C90">
        <w:rPr>
          <w:lang w:val="en-US"/>
        </w:rPr>
        <w:t>in order to allow for the screening of sufficiently large areas around the site (i.e., the near-region or region as d</w:t>
      </w:r>
      <w:r w:rsidR="00642C90">
        <w:rPr>
          <w:lang w:val="en-US"/>
        </w:rPr>
        <w:t>e</w:t>
      </w:r>
      <w:r w:rsidR="00642C90">
        <w:rPr>
          <w:lang w:val="en-US"/>
        </w:rPr>
        <w:t xml:space="preserve">fined by IAEA, 2010 </w:t>
      </w:r>
      <w:r w:rsidR="00642C90" w:rsidRPr="00F174A9">
        <w:rPr>
          <w:color w:val="2E74B5"/>
          <w:lang w:val="en-US"/>
        </w:rPr>
        <w:t>SSG-9</w:t>
      </w:r>
      <w:r w:rsidR="00642C90">
        <w:rPr>
          <w:lang w:val="en-US"/>
        </w:rPr>
        <w:t xml:space="preserve">). </w:t>
      </w:r>
      <w:r w:rsidR="004953A5">
        <w:rPr>
          <w:lang w:val="en-US"/>
        </w:rPr>
        <w:t>The approach may be structured into the following steps, w</w:t>
      </w:r>
      <w:r w:rsidR="00A07F71">
        <w:rPr>
          <w:lang w:val="en-US"/>
        </w:rPr>
        <w:t>hich require increasing efforts</w:t>
      </w:r>
      <w:r w:rsidR="004953A5">
        <w:rPr>
          <w:lang w:val="en-US"/>
        </w:rPr>
        <w:t>:</w:t>
      </w:r>
    </w:p>
    <w:p w:rsidR="004953A5" w:rsidRDefault="009552CE" w:rsidP="00860D1D">
      <w:pPr>
        <w:numPr>
          <w:ilvl w:val="0"/>
          <w:numId w:val="31"/>
        </w:numPr>
        <w:rPr>
          <w:lang w:val="en-US"/>
        </w:rPr>
      </w:pPr>
      <w:r>
        <w:rPr>
          <w:lang w:val="en-US"/>
        </w:rPr>
        <w:t>r</w:t>
      </w:r>
      <w:r w:rsidR="004953A5">
        <w:rPr>
          <w:lang w:val="en-US"/>
        </w:rPr>
        <w:t>egional assessment using tectonic geomorphology techniques</w:t>
      </w:r>
      <w:r w:rsidR="00C8762A">
        <w:rPr>
          <w:lang w:val="en-US"/>
        </w:rPr>
        <w:t>;</w:t>
      </w:r>
    </w:p>
    <w:p w:rsidR="004953A5" w:rsidRDefault="009552CE" w:rsidP="00860D1D">
      <w:pPr>
        <w:numPr>
          <w:ilvl w:val="0"/>
          <w:numId w:val="31"/>
        </w:numPr>
        <w:rPr>
          <w:lang w:val="en-US"/>
        </w:rPr>
      </w:pPr>
      <w:r>
        <w:rPr>
          <w:lang w:val="en-US"/>
        </w:rPr>
        <w:t>d</w:t>
      </w:r>
      <w:r w:rsidR="004953A5">
        <w:rPr>
          <w:lang w:val="en-US"/>
        </w:rPr>
        <w:t>etailed fault analysis and assessment</w:t>
      </w:r>
      <w:r w:rsidR="00C8762A">
        <w:rPr>
          <w:lang w:val="en-US"/>
        </w:rPr>
        <w:t>;</w:t>
      </w:r>
    </w:p>
    <w:p w:rsidR="004953A5" w:rsidRDefault="009552CE" w:rsidP="00860D1D">
      <w:pPr>
        <w:numPr>
          <w:ilvl w:val="0"/>
          <w:numId w:val="31"/>
        </w:numPr>
        <w:rPr>
          <w:lang w:val="en-US"/>
        </w:rPr>
      </w:pPr>
      <w:r>
        <w:rPr>
          <w:lang w:val="en-US"/>
        </w:rPr>
        <w:t>a</w:t>
      </w:r>
      <w:r w:rsidR="004953A5">
        <w:rPr>
          <w:lang w:val="en-US"/>
        </w:rPr>
        <w:t>ctive fault characterization</w:t>
      </w:r>
      <w:r w:rsidR="00C8762A">
        <w:rPr>
          <w:lang w:val="en-US"/>
        </w:rPr>
        <w:t>.</w:t>
      </w:r>
    </w:p>
    <w:p w:rsidR="00642C90" w:rsidRDefault="00642C90" w:rsidP="00DD416E">
      <w:pPr>
        <w:rPr>
          <w:lang w:val="en-US"/>
        </w:rPr>
      </w:pPr>
    </w:p>
    <w:p w:rsidR="00642C90" w:rsidRDefault="00FA7DEE" w:rsidP="00AE741A">
      <w:pPr>
        <w:jc w:val="center"/>
        <w:rPr>
          <w:lang w:val="en-US"/>
        </w:rPr>
      </w:pPr>
      <w:r>
        <w:rPr>
          <w:lang w:val="en-US"/>
        </w:rPr>
        <w:lastRenderedPageBreak/>
        <w:pict>
          <v:shape id="_x0000_i1046" type="#_x0000_t75" style="width:433.25pt;height:265.05pt">
            <v:imagedata r:id="rId76" o:title="Fig_Fault_Identification_Flow_Chart"/>
          </v:shape>
        </w:pict>
      </w:r>
    </w:p>
    <w:p w:rsidR="00642C90" w:rsidRDefault="00642C90" w:rsidP="00DD416E">
      <w:pPr>
        <w:rPr>
          <w:lang w:val="en-US"/>
        </w:rPr>
      </w:pPr>
    </w:p>
    <w:p w:rsidR="00642C90" w:rsidRDefault="0042382F" w:rsidP="00642C90">
      <w:pPr>
        <w:pStyle w:val="Lgende"/>
        <w:jc w:val="center"/>
        <w:rPr>
          <w:i/>
        </w:rPr>
      </w:pPr>
      <w:bookmarkStart w:id="137" w:name="_Ref451165063"/>
      <w:bookmarkStart w:id="138" w:name="_Toc456012050"/>
      <w:r>
        <w:t xml:space="preserve">Figure </w:t>
      </w:r>
      <w:r>
        <w:fldChar w:fldCharType="begin"/>
      </w:r>
      <w:r>
        <w:instrText xml:space="preserve"> SEQ Figure \* ARABIC </w:instrText>
      </w:r>
      <w:r>
        <w:fldChar w:fldCharType="separate"/>
      </w:r>
      <w:r w:rsidR="00173034">
        <w:rPr>
          <w:noProof/>
        </w:rPr>
        <w:t>14</w:t>
      </w:r>
      <w:r>
        <w:fldChar w:fldCharType="end"/>
      </w:r>
      <w:bookmarkEnd w:id="137"/>
      <w:r>
        <w:t xml:space="preserve">. </w:t>
      </w:r>
      <w:r w:rsidR="00642C90">
        <w:t xml:space="preserve">Flow chart of the suggested graded approach for the identification and assessment of active / capable faults in the near-region and region of a site.    </w:t>
      </w:r>
      <w:r w:rsidR="00642C90" w:rsidRPr="00923C7F">
        <w:rPr>
          <w:i/>
        </w:rPr>
        <w:t>[</w:t>
      </w:r>
      <w:r w:rsidR="00642C90" w:rsidRPr="00642C90">
        <w:rPr>
          <w:i/>
        </w:rPr>
        <w:t>Fig_Fault_Identification_Flow_Chart</w:t>
      </w:r>
      <w:r w:rsidR="00642C90" w:rsidRPr="00923C7F">
        <w:rPr>
          <w:i/>
        </w:rPr>
        <w:t>.JPG]</w:t>
      </w:r>
      <w:bookmarkEnd w:id="138"/>
    </w:p>
    <w:p w:rsidR="00DE683A" w:rsidRDefault="00DE683A" w:rsidP="00DD416E">
      <w:pPr>
        <w:rPr>
          <w:lang w:val="en-US"/>
        </w:rPr>
      </w:pPr>
    </w:p>
    <w:p w:rsidR="00DE683A" w:rsidRDefault="00E543CC" w:rsidP="00DE683A">
      <w:pPr>
        <w:rPr>
          <w:lang w:val="en-US"/>
        </w:rPr>
      </w:pPr>
      <w:r w:rsidRPr="00E543CC">
        <w:rPr>
          <w:b/>
          <w:i/>
          <w:lang w:val="en-US"/>
        </w:rPr>
        <w:t>Regional assessment using tectonic geomorphology techniques.</w:t>
      </w:r>
      <w:r>
        <w:rPr>
          <w:lang w:val="en-US"/>
        </w:rPr>
        <w:t xml:space="preserve"> </w:t>
      </w:r>
      <w:r w:rsidR="00DE683A">
        <w:rPr>
          <w:lang w:val="en-US"/>
        </w:rPr>
        <w:t>A graded approach for active fault identific</w:t>
      </w:r>
      <w:r w:rsidR="00DE683A">
        <w:rPr>
          <w:lang w:val="en-US"/>
        </w:rPr>
        <w:t>a</w:t>
      </w:r>
      <w:r w:rsidR="00DE683A">
        <w:rPr>
          <w:lang w:val="en-US"/>
        </w:rPr>
        <w:t>tion and assessment may start from appl</w:t>
      </w:r>
      <w:r w:rsidR="00AE741A">
        <w:rPr>
          <w:lang w:val="en-US"/>
        </w:rPr>
        <w:t>ying</w:t>
      </w:r>
      <w:r w:rsidR="00DE683A">
        <w:rPr>
          <w:lang w:val="en-US"/>
        </w:rPr>
        <w:t xml:space="preserve"> tectonic geomorphology techniques (e.g., Burbank &amp; Anderson, 2011; Schumm et al., 2000). The methods are capable to screen relatively large areas for potentially active faults which impact recent morphology</w:t>
      </w:r>
      <w:r w:rsidR="0099406A">
        <w:rPr>
          <w:lang w:val="en-US"/>
        </w:rPr>
        <w:t xml:space="preserve"> within a reasonable time and with sen</w:t>
      </w:r>
      <w:r w:rsidR="004C7DFC">
        <w:rPr>
          <w:lang w:val="en-US"/>
        </w:rPr>
        <w:t>s</w:t>
      </w:r>
      <w:r w:rsidR="0099406A">
        <w:rPr>
          <w:lang w:val="en-US"/>
        </w:rPr>
        <w:t>ible effort</w:t>
      </w:r>
      <w:r w:rsidR="00DE683A">
        <w:rPr>
          <w:lang w:val="en-US"/>
        </w:rPr>
        <w:t xml:space="preserve">. Numerous case studies from low seismicity regions with slow to very slow moving faults show that tectonic geomorphology techniques can identify active faults with slip rates below 0.1 mm/year (see </w:t>
      </w:r>
      <w:r w:rsidR="00C8762A">
        <w:rPr>
          <w:lang w:val="en-US"/>
        </w:rPr>
        <w:fldChar w:fldCharType="begin"/>
      </w:r>
      <w:r w:rsidR="00C8762A">
        <w:rPr>
          <w:lang w:val="en-US"/>
        </w:rPr>
        <w:instrText xml:space="preserve"> REF _Ref433010123 \h </w:instrText>
      </w:r>
      <w:r w:rsidR="00C8762A">
        <w:rPr>
          <w:lang w:val="en-US"/>
        </w:rPr>
      </w:r>
      <w:r w:rsidR="00C8762A">
        <w:rPr>
          <w:lang w:val="en-US"/>
        </w:rPr>
        <w:fldChar w:fldCharType="separate"/>
      </w:r>
      <w:r w:rsidR="00173034">
        <w:t xml:space="preserve">Table </w:t>
      </w:r>
      <w:r w:rsidR="00173034">
        <w:rPr>
          <w:noProof/>
        </w:rPr>
        <w:t>8</w:t>
      </w:r>
      <w:r w:rsidR="00C8762A">
        <w:rPr>
          <w:lang w:val="en-US"/>
        </w:rPr>
        <w:fldChar w:fldCharType="end"/>
      </w:r>
      <w:r w:rsidR="00C8762A">
        <w:rPr>
          <w:lang w:val="en-US"/>
        </w:rPr>
        <w:t xml:space="preserve"> </w:t>
      </w:r>
      <w:r w:rsidR="00DE683A">
        <w:rPr>
          <w:lang w:val="en-US"/>
        </w:rPr>
        <w:t xml:space="preserve">for references). </w:t>
      </w:r>
      <w:r w:rsidR="0099406A">
        <w:rPr>
          <w:lang w:val="en-US"/>
        </w:rPr>
        <w:t>A recent case study form the near-region of a European NPP has been published by Popotnig et al. (2013).</w:t>
      </w:r>
    </w:p>
    <w:p w:rsidR="00DE683A" w:rsidRDefault="00DE683A" w:rsidP="00DE683A">
      <w:pPr>
        <w:rPr>
          <w:lang w:val="en-US"/>
        </w:rPr>
      </w:pPr>
    </w:p>
    <w:p w:rsidR="00AE741A" w:rsidRDefault="00DE683A" w:rsidP="00DD416E">
      <w:pPr>
        <w:rPr>
          <w:lang w:val="en-US"/>
        </w:rPr>
      </w:pPr>
      <w:r>
        <w:rPr>
          <w:lang w:val="en-US"/>
        </w:rPr>
        <w:t>Many tectonic geomorpholotgy methods are based on quantitative measurements of geomorphic features and on the calculation of quantitative geomorphologic parameters</w:t>
      </w:r>
      <w:r w:rsidR="0099406A">
        <w:rPr>
          <w:lang w:val="en-US"/>
        </w:rPr>
        <w:t xml:space="preserve"> suppo</w:t>
      </w:r>
      <w:r w:rsidR="00C8762A">
        <w:rPr>
          <w:lang w:val="en-US"/>
        </w:rPr>
        <w:t>r</w:t>
      </w:r>
      <w:r w:rsidR="0099406A">
        <w:rPr>
          <w:lang w:val="en-US"/>
        </w:rPr>
        <w:t>ting objective decisions about the activity or inactivity of faults and reducing the uncertainties arising from purely experience-based expert opinion</w:t>
      </w:r>
      <w:r>
        <w:rPr>
          <w:lang w:val="en-US"/>
        </w:rPr>
        <w:t>. The anal</w:t>
      </w:r>
      <w:r>
        <w:rPr>
          <w:lang w:val="en-US"/>
        </w:rPr>
        <w:t>y</w:t>
      </w:r>
      <w:r>
        <w:rPr>
          <w:lang w:val="en-US"/>
        </w:rPr>
        <w:t>sis of landforms and calculation of geomorphologic parameters requires digital elevation data (DEM and/or LIDAR data)</w:t>
      </w:r>
      <w:r w:rsidR="0099406A">
        <w:rPr>
          <w:lang w:val="en-US"/>
        </w:rPr>
        <w:t>.</w:t>
      </w:r>
      <w:r>
        <w:rPr>
          <w:lang w:val="en-US"/>
        </w:rPr>
        <w:t xml:space="preserve"> </w:t>
      </w:r>
      <w:r w:rsidR="00E543CC">
        <w:rPr>
          <w:lang w:val="en-US"/>
        </w:rPr>
        <w:t xml:space="preserve">The parameters are usually assessed in combination with all available of geological and tectonic data in a GIS envionment. </w:t>
      </w:r>
      <w:r w:rsidR="00AE741A">
        <w:rPr>
          <w:lang w:val="en-US"/>
        </w:rPr>
        <w:t>Analysed m</w:t>
      </w:r>
      <w:r>
        <w:rPr>
          <w:lang w:val="en-US"/>
        </w:rPr>
        <w:t xml:space="preserve">orphological features include: mountain front morphology, drainage basin geometry, river valley morphology, and river planform patterns. </w:t>
      </w:r>
      <w:r w:rsidR="009D644E">
        <w:rPr>
          <w:lang w:val="en-US"/>
        </w:rPr>
        <w:fldChar w:fldCharType="begin"/>
      </w:r>
      <w:r w:rsidR="009D644E">
        <w:rPr>
          <w:lang w:val="en-US"/>
        </w:rPr>
        <w:instrText xml:space="preserve"> REF _Ref433010123 \h </w:instrText>
      </w:r>
      <w:r w:rsidR="009D644E">
        <w:rPr>
          <w:lang w:val="en-US"/>
        </w:rPr>
      </w:r>
      <w:r w:rsidR="009D644E">
        <w:rPr>
          <w:lang w:val="en-US"/>
        </w:rPr>
        <w:fldChar w:fldCharType="separate"/>
      </w:r>
      <w:r w:rsidR="00173034">
        <w:t xml:space="preserve">Table </w:t>
      </w:r>
      <w:r w:rsidR="00173034">
        <w:rPr>
          <w:noProof/>
        </w:rPr>
        <w:t>8</w:t>
      </w:r>
      <w:r w:rsidR="009D644E">
        <w:rPr>
          <w:lang w:val="en-US"/>
        </w:rPr>
        <w:fldChar w:fldCharType="end"/>
      </w:r>
      <w:r w:rsidR="009D644E">
        <w:rPr>
          <w:lang w:val="en-US"/>
        </w:rPr>
        <w:t xml:space="preserve"> </w:t>
      </w:r>
      <w:r>
        <w:rPr>
          <w:lang w:val="en-US"/>
        </w:rPr>
        <w:t>provides an overview of commonly used quantitative geomorphic indices and references of key studies from non-aride regions which are comparable to European cond</w:t>
      </w:r>
      <w:r>
        <w:rPr>
          <w:lang w:val="en-US"/>
        </w:rPr>
        <w:t>i</w:t>
      </w:r>
      <w:r w:rsidR="00A07F71">
        <w:rPr>
          <w:lang w:val="en-US"/>
        </w:rPr>
        <w:t>tions.</w:t>
      </w:r>
    </w:p>
    <w:p w:rsidR="00DE683A" w:rsidRDefault="00DE683A" w:rsidP="00DD416E">
      <w:pPr>
        <w:rPr>
          <w:lang w:val="en-US"/>
        </w:rPr>
      </w:pPr>
      <w:r>
        <w:rPr>
          <w:lang w:val="en-US"/>
        </w:rPr>
        <w:lastRenderedPageBreak/>
        <w:t>Restrictions to the methods may arise in regions which were glaciated during the Würmian</w:t>
      </w:r>
      <w:r w:rsidR="00C8762A">
        <w:rPr>
          <w:lang w:val="en-US"/>
        </w:rPr>
        <w:t xml:space="preserve">. In such areas </w:t>
      </w:r>
      <w:r w:rsidR="0099406A">
        <w:rPr>
          <w:lang w:val="en-US"/>
        </w:rPr>
        <w:t xml:space="preserve">landforms </w:t>
      </w:r>
      <w:r w:rsidR="008929F9">
        <w:rPr>
          <w:lang w:val="en-US"/>
        </w:rPr>
        <w:t>are</w:t>
      </w:r>
      <w:r>
        <w:rPr>
          <w:lang w:val="en-US"/>
        </w:rPr>
        <w:t xml:space="preserve"> </w:t>
      </w:r>
      <w:r w:rsidR="0099406A">
        <w:rPr>
          <w:lang w:val="en-US"/>
        </w:rPr>
        <w:t xml:space="preserve">overprinted by young </w:t>
      </w:r>
      <w:r>
        <w:rPr>
          <w:lang w:val="en-US"/>
        </w:rPr>
        <w:t>glacia</w:t>
      </w:r>
      <w:r w:rsidR="0099406A">
        <w:rPr>
          <w:lang w:val="en-US"/>
        </w:rPr>
        <w:t xml:space="preserve">l erosion </w:t>
      </w:r>
      <w:r w:rsidR="008929F9">
        <w:rPr>
          <w:lang w:val="en-US"/>
        </w:rPr>
        <w:t xml:space="preserve">that may have </w:t>
      </w:r>
      <w:r w:rsidR="0099406A">
        <w:rPr>
          <w:lang w:val="en-US"/>
        </w:rPr>
        <w:t>eras</w:t>
      </w:r>
      <w:r w:rsidR="008929F9">
        <w:rPr>
          <w:lang w:val="en-US"/>
        </w:rPr>
        <w:t xml:space="preserve">ed </w:t>
      </w:r>
      <w:r w:rsidR="0099406A">
        <w:rPr>
          <w:lang w:val="en-US"/>
        </w:rPr>
        <w:t>the morpholog</w:t>
      </w:r>
      <w:r w:rsidR="005C624C">
        <w:rPr>
          <w:lang w:val="en-US"/>
        </w:rPr>
        <w:t>ic</w:t>
      </w:r>
      <w:r w:rsidR="0099406A">
        <w:rPr>
          <w:lang w:val="en-US"/>
        </w:rPr>
        <w:t xml:space="preserve"> record of slow active faults.</w:t>
      </w:r>
    </w:p>
    <w:p w:rsidR="00DE683A" w:rsidRDefault="00DE683A" w:rsidP="00DD416E">
      <w:pPr>
        <w:rPr>
          <w:lang w:val="en-US"/>
        </w:rPr>
      </w:pPr>
    </w:p>
    <w:tbl>
      <w:tblPr>
        <w:tblW w:w="8856" w:type="dxa"/>
        <w:jc w:val="center"/>
        <w:tblCellMar>
          <w:left w:w="70" w:type="dxa"/>
          <w:right w:w="70" w:type="dxa"/>
        </w:tblCellMar>
        <w:tblLook w:val="04A0" w:firstRow="1" w:lastRow="0" w:firstColumn="1" w:lastColumn="0" w:noHBand="0" w:noVBand="1"/>
      </w:tblPr>
      <w:tblGrid>
        <w:gridCol w:w="2760"/>
        <w:gridCol w:w="426"/>
        <w:gridCol w:w="435"/>
        <w:gridCol w:w="454"/>
        <w:gridCol w:w="425"/>
        <w:gridCol w:w="410"/>
        <w:gridCol w:w="389"/>
        <w:gridCol w:w="438"/>
        <w:gridCol w:w="425"/>
        <w:gridCol w:w="426"/>
        <w:gridCol w:w="425"/>
        <w:gridCol w:w="425"/>
        <w:gridCol w:w="709"/>
        <w:gridCol w:w="709"/>
      </w:tblGrid>
      <w:tr w:rsidR="00AE741A" w:rsidRPr="00273340" w:rsidTr="00AE741A">
        <w:trPr>
          <w:trHeight w:val="276"/>
          <w:jc w:val="center"/>
        </w:trPr>
        <w:tc>
          <w:tcPr>
            <w:tcW w:w="885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jc w:val="left"/>
              <w:rPr>
                <w:rFonts w:cs="Arial"/>
                <w:szCs w:val="18"/>
                <w:lang w:eastAsia="de-AT"/>
              </w:rPr>
            </w:pPr>
            <w:r w:rsidRPr="00273340">
              <w:rPr>
                <w:rFonts w:cs="Arial"/>
                <w:b/>
                <w:bCs/>
                <w:szCs w:val="18"/>
                <w:lang w:eastAsia="de-AT"/>
              </w:rPr>
              <w:t>Tectonic geomorpholo</w:t>
            </w:r>
            <w:r>
              <w:rPr>
                <w:rFonts w:cs="Arial"/>
                <w:b/>
                <w:bCs/>
                <w:szCs w:val="18"/>
                <w:lang w:eastAsia="de-AT"/>
              </w:rPr>
              <w:t>g</w:t>
            </w:r>
            <w:r w:rsidRPr="00273340">
              <w:rPr>
                <w:rFonts w:cs="Arial"/>
                <w:b/>
                <w:bCs/>
                <w:szCs w:val="18"/>
                <w:lang w:eastAsia="de-AT"/>
              </w:rPr>
              <w:t>y studies using quantitative geomorphic parameters</w:t>
            </w:r>
            <w:r w:rsidRPr="00273340">
              <w:rPr>
                <w:rFonts w:cs="Arial"/>
                <w:szCs w:val="18"/>
                <w:lang w:eastAsia="de-AT"/>
              </w:rPr>
              <w:t> </w:t>
            </w:r>
          </w:p>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b/>
                <w:bCs/>
                <w:szCs w:val="18"/>
                <w:lang w:eastAsia="de-AT"/>
              </w:rPr>
            </w:pPr>
            <w:r w:rsidRPr="00273340">
              <w:rPr>
                <w:rFonts w:cs="Arial"/>
                <w:b/>
                <w:bCs/>
                <w:szCs w:val="18"/>
                <w:lang w:eastAsia="de-AT"/>
              </w:rPr>
              <w:t>Reference</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Vf</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SL</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Smf</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Be</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C</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Re</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Rf</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Hi</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AF</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T</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Bs</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LSP</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b/>
                <w:bCs/>
                <w:szCs w:val="18"/>
                <w:lang w:eastAsia="de-AT"/>
              </w:rPr>
            </w:pPr>
            <w:r w:rsidRPr="00273340">
              <w:rPr>
                <w:rFonts w:cs="Arial"/>
                <w:b/>
                <w:bCs/>
                <w:szCs w:val="18"/>
                <w:lang w:eastAsia="de-AT"/>
              </w:rPr>
              <w:t>FA</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F8684A">
            <w:pPr>
              <w:spacing w:line="240" w:lineRule="auto"/>
              <w:rPr>
                <w:rFonts w:cs="Arial"/>
                <w:szCs w:val="18"/>
                <w:lang w:eastAsia="de-AT"/>
              </w:rPr>
            </w:pPr>
            <w:r w:rsidRPr="00273340">
              <w:rPr>
                <w:rFonts w:cs="Arial"/>
                <w:szCs w:val="18"/>
                <w:lang w:eastAsia="de-AT"/>
              </w:rPr>
              <w:t xml:space="preserve">Ahmad </w:t>
            </w:r>
            <w:r w:rsidR="00F8684A">
              <w:rPr>
                <w:rFonts w:cs="Arial"/>
                <w:szCs w:val="18"/>
                <w:lang w:eastAsia="de-AT"/>
              </w:rPr>
              <w:t>&amp; Bath,</w:t>
            </w:r>
            <w:r w:rsidRPr="00273340">
              <w:rPr>
                <w:rFonts w:cs="Arial"/>
                <w:szCs w:val="18"/>
                <w:lang w:eastAsia="de-AT"/>
              </w:rPr>
              <w:t xml:space="preserve"> 2012</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Azor et al. 2002</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Bhatt et al. 2007</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Biswas &amp; Grasemann 2005</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Bull &amp; McFadden 1977</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Cuong &amp; Zuchiewicz 2001</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El Hamdouni et al. 2008</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Ezati &amp; Agh-Atabai 2013</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Font et al. 2010</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Garcia-Tortosa et al. 2008</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Garrote et al. 2006</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Giaconia et al. 2012</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Gürbüz &amp; Gürer 2008</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Khavari et al. 2009</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Pedrera et al. 2009</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Pérez-Peña et al. 2010</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Peters &amp; van Balen 2007</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Pinter 2005</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Popotnig et al. 2013</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Rachna 2012</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Shtober-Zisu et al. 2008</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Troiani &amp; Della Seta 2008</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Tsodoulos et al. 2008</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76"/>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AE741A" w:rsidRPr="00273340" w:rsidRDefault="00AE741A" w:rsidP="00E543CC">
            <w:pPr>
              <w:spacing w:line="240" w:lineRule="auto"/>
              <w:rPr>
                <w:rFonts w:cs="Arial"/>
                <w:szCs w:val="18"/>
                <w:lang w:eastAsia="de-AT"/>
              </w:rPr>
            </w:pPr>
            <w:r w:rsidRPr="00273340">
              <w:rPr>
                <w:rFonts w:cs="Arial"/>
                <w:szCs w:val="18"/>
                <w:lang w:eastAsia="de-AT"/>
              </w:rPr>
              <w:t>Verrios et al. 2004</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3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54"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10"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38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38"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6"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x</w:t>
            </w:r>
          </w:p>
        </w:tc>
        <w:tc>
          <w:tcPr>
            <w:tcW w:w="425"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c>
          <w:tcPr>
            <w:tcW w:w="709" w:type="dxa"/>
            <w:tcBorders>
              <w:top w:val="nil"/>
              <w:left w:val="nil"/>
              <w:bottom w:val="single" w:sz="4" w:space="0" w:color="auto"/>
              <w:right w:val="single" w:sz="4" w:space="0" w:color="auto"/>
            </w:tcBorders>
            <w:shd w:val="clear" w:color="auto" w:fill="auto"/>
            <w:noWrap/>
            <w:vAlign w:val="center"/>
            <w:hideMark/>
          </w:tcPr>
          <w:p w:rsidR="00AE741A" w:rsidRPr="00273340" w:rsidRDefault="00AE741A" w:rsidP="00E543CC">
            <w:pPr>
              <w:spacing w:line="240" w:lineRule="auto"/>
              <w:jc w:val="center"/>
              <w:rPr>
                <w:rFonts w:cs="Arial"/>
                <w:szCs w:val="18"/>
                <w:lang w:eastAsia="de-AT"/>
              </w:rPr>
            </w:pPr>
            <w:r w:rsidRPr="00273340">
              <w:rPr>
                <w:rFonts w:cs="Arial"/>
                <w:szCs w:val="18"/>
                <w:lang w:eastAsia="de-AT"/>
              </w:rPr>
              <w:t> </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Default="00AE741A" w:rsidP="00E543CC">
            <w:pPr>
              <w:spacing w:line="240" w:lineRule="auto"/>
              <w:rPr>
                <w:rFonts w:cs="Arial"/>
                <w:sz w:val="16"/>
                <w:szCs w:val="16"/>
                <w:lang w:eastAsia="de-AT"/>
              </w:rPr>
            </w:pPr>
          </w:p>
          <w:p w:rsidR="00AE741A" w:rsidRPr="00273340" w:rsidRDefault="00AE741A" w:rsidP="00E543CC">
            <w:pPr>
              <w:spacing w:line="240" w:lineRule="auto"/>
              <w:jc w:val="left"/>
              <w:rPr>
                <w:rFonts w:ascii="Times New Roman" w:hAnsi="Times New Roman"/>
                <w:sz w:val="20"/>
                <w:szCs w:val="20"/>
                <w:lang w:eastAsia="de-AT"/>
              </w:rPr>
            </w:pPr>
            <w:r w:rsidRPr="00273340">
              <w:rPr>
                <w:rFonts w:cs="Arial"/>
                <w:sz w:val="16"/>
                <w:szCs w:val="16"/>
                <w:lang w:eastAsia="de-AT"/>
              </w:rPr>
              <w:t>Vf: Ration of valley floor-width (Bull &amp; McFadden, 1977)</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E543CC">
            <w:pPr>
              <w:spacing w:line="240" w:lineRule="auto"/>
              <w:jc w:val="left"/>
              <w:rPr>
                <w:rFonts w:ascii="Times New Roman" w:hAnsi="Times New Roman"/>
                <w:sz w:val="20"/>
                <w:szCs w:val="20"/>
                <w:lang w:eastAsia="de-AT"/>
              </w:rPr>
            </w:pPr>
            <w:r w:rsidRPr="00273340">
              <w:rPr>
                <w:rFonts w:cs="Arial"/>
                <w:sz w:val="16"/>
                <w:szCs w:val="16"/>
                <w:lang w:eastAsia="de-AT"/>
              </w:rPr>
              <w:t>SL: Stream length-gradient (Hack, 1973)</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E543CC">
            <w:pPr>
              <w:spacing w:line="240" w:lineRule="auto"/>
              <w:jc w:val="left"/>
              <w:rPr>
                <w:rFonts w:ascii="Times New Roman" w:hAnsi="Times New Roman"/>
                <w:sz w:val="20"/>
                <w:szCs w:val="20"/>
                <w:lang w:eastAsia="de-AT"/>
              </w:rPr>
            </w:pPr>
            <w:r w:rsidRPr="00273340">
              <w:rPr>
                <w:rFonts w:cs="Arial"/>
                <w:sz w:val="16"/>
                <w:szCs w:val="16"/>
                <w:lang w:eastAsia="de-AT"/>
              </w:rPr>
              <w:t>Smf: Mountain sinuosity (Bull &amp; McFadden, 1977)</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E543CC">
            <w:pPr>
              <w:spacing w:line="240" w:lineRule="auto"/>
              <w:jc w:val="left"/>
              <w:rPr>
                <w:rFonts w:ascii="Times New Roman" w:hAnsi="Times New Roman"/>
                <w:sz w:val="20"/>
                <w:szCs w:val="20"/>
                <w:lang w:eastAsia="de-AT"/>
              </w:rPr>
            </w:pPr>
            <w:r w:rsidRPr="00273340">
              <w:rPr>
                <w:rFonts w:cs="Arial"/>
                <w:sz w:val="16"/>
                <w:szCs w:val="16"/>
                <w:lang w:eastAsia="de-AT"/>
              </w:rPr>
              <w:t xml:space="preserve">Be: </w:t>
            </w:r>
            <w:r w:rsidR="005C624C">
              <w:rPr>
                <w:rFonts w:cs="Arial"/>
                <w:sz w:val="16"/>
                <w:szCs w:val="16"/>
                <w:lang w:eastAsia="de-AT"/>
              </w:rPr>
              <w:t>Basin elongation</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5C624C">
            <w:pPr>
              <w:spacing w:line="240" w:lineRule="auto"/>
              <w:jc w:val="left"/>
              <w:rPr>
                <w:rFonts w:ascii="Times New Roman" w:hAnsi="Times New Roman"/>
                <w:sz w:val="20"/>
                <w:szCs w:val="20"/>
                <w:lang w:eastAsia="de-AT"/>
              </w:rPr>
            </w:pPr>
            <w:r w:rsidRPr="00273340">
              <w:rPr>
                <w:rFonts w:cs="Arial"/>
                <w:sz w:val="16"/>
                <w:szCs w:val="16"/>
                <w:lang w:eastAsia="de-AT"/>
              </w:rPr>
              <w:t xml:space="preserve">C: </w:t>
            </w:r>
            <w:r w:rsidR="005C624C">
              <w:rPr>
                <w:rFonts w:cs="Arial"/>
                <w:sz w:val="16"/>
                <w:szCs w:val="16"/>
                <w:lang w:eastAsia="de-AT"/>
              </w:rPr>
              <w:t>C</w:t>
            </w:r>
            <w:r w:rsidRPr="00273340">
              <w:rPr>
                <w:rFonts w:cs="Arial"/>
                <w:sz w:val="16"/>
                <w:szCs w:val="16"/>
                <w:lang w:eastAsia="de-AT"/>
              </w:rPr>
              <w:t>ircularity index (Bell, 2004)</w:t>
            </w:r>
          </w:p>
        </w:tc>
      </w:tr>
      <w:tr w:rsidR="00AE741A" w:rsidRPr="006628F7"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6628F7" w:rsidRDefault="00AE741A" w:rsidP="005C624C">
            <w:pPr>
              <w:spacing w:line="240" w:lineRule="auto"/>
              <w:jc w:val="left"/>
              <w:rPr>
                <w:rFonts w:ascii="Times New Roman" w:hAnsi="Times New Roman"/>
                <w:sz w:val="20"/>
                <w:szCs w:val="20"/>
                <w:lang w:val="fr-FR" w:eastAsia="de-AT"/>
              </w:rPr>
            </w:pPr>
            <w:r w:rsidRPr="006628F7">
              <w:rPr>
                <w:rFonts w:cs="Arial"/>
                <w:sz w:val="16"/>
                <w:szCs w:val="16"/>
                <w:lang w:val="fr-FR" w:eastAsia="de-AT"/>
              </w:rPr>
              <w:t xml:space="preserve">Re: </w:t>
            </w:r>
            <w:r w:rsidR="005C624C" w:rsidRPr="006628F7">
              <w:rPr>
                <w:rFonts w:cs="Arial"/>
                <w:sz w:val="16"/>
                <w:szCs w:val="16"/>
                <w:lang w:val="fr-FR" w:eastAsia="de-AT"/>
              </w:rPr>
              <w:t>D</w:t>
            </w:r>
            <w:r w:rsidRPr="006628F7">
              <w:rPr>
                <w:rFonts w:cs="Arial"/>
                <w:sz w:val="16"/>
                <w:szCs w:val="16"/>
                <w:lang w:val="fr-FR" w:eastAsia="de-AT"/>
              </w:rPr>
              <w:t>rainage elongation ratio (Schumm, 1956)</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5C624C">
            <w:pPr>
              <w:spacing w:line="240" w:lineRule="auto"/>
              <w:jc w:val="left"/>
              <w:rPr>
                <w:rFonts w:ascii="Times New Roman" w:hAnsi="Times New Roman"/>
                <w:sz w:val="20"/>
                <w:szCs w:val="20"/>
                <w:lang w:eastAsia="de-AT"/>
              </w:rPr>
            </w:pPr>
            <w:r w:rsidRPr="00273340">
              <w:rPr>
                <w:rFonts w:cs="Arial"/>
                <w:sz w:val="16"/>
                <w:szCs w:val="16"/>
                <w:lang w:eastAsia="de-AT"/>
              </w:rPr>
              <w:t xml:space="preserve">Rf: </w:t>
            </w:r>
            <w:r w:rsidR="005C624C">
              <w:rPr>
                <w:rFonts w:cs="Arial"/>
                <w:sz w:val="16"/>
                <w:szCs w:val="16"/>
                <w:lang w:eastAsia="de-AT"/>
              </w:rPr>
              <w:t>B</w:t>
            </w:r>
            <w:r w:rsidRPr="00273340">
              <w:rPr>
                <w:rFonts w:cs="Arial"/>
                <w:sz w:val="16"/>
                <w:szCs w:val="16"/>
                <w:lang w:eastAsia="de-AT"/>
              </w:rPr>
              <w:t>asin shape (Talling et al., 1997)</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5C624C" w:rsidP="00E543CC">
            <w:pPr>
              <w:spacing w:line="240" w:lineRule="auto"/>
              <w:jc w:val="left"/>
              <w:rPr>
                <w:rFonts w:ascii="Times New Roman" w:hAnsi="Times New Roman"/>
                <w:sz w:val="20"/>
                <w:szCs w:val="20"/>
                <w:lang w:eastAsia="de-AT"/>
              </w:rPr>
            </w:pPr>
            <w:r>
              <w:rPr>
                <w:rFonts w:cs="Arial"/>
                <w:sz w:val="16"/>
                <w:szCs w:val="16"/>
                <w:lang w:eastAsia="de-AT"/>
              </w:rPr>
              <w:t>Hi: H</w:t>
            </w:r>
            <w:r w:rsidR="00AE741A" w:rsidRPr="00273340">
              <w:rPr>
                <w:rFonts w:cs="Arial"/>
                <w:sz w:val="16"/>
                <w:szCs w:val="16"/>
                <w:lang w:eastAsia="de-AT"/>
              </w:rPr>
              <w:t>ypsometric integral (Walcott &amp; Summerfield, 2008)</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5C624C">
            <w:pPr>
              <w:spacing w:line="240" w:lineRule="auto"/>
              <w:jc w:val="left"/>
              <w:rPr>
                <w:rFonts w:ascii="Times New Roman" w:hAnsi="Times New Roman"/>
                <w:sz w:val="20"/>
                <w:szCs w:val="20"/>
                <w:lang w:eastAsia="de-AT"/>
              </w:rPr>
            </w:pPr>
            <w:r w:rsidRPr="00273340">
              <w:rPr>
                <w:rFonts w:cs="Arial"/>
                <w:sz w:val="16"/>
                <w:szCs w:val="16"/>
                <w:lang w:eastAsia="de-AT"/>
              </w:rPr>
              <w:t xml:space="preserve">AF: </w:t>
            </w:r>
            <w:r w:rsidR="005C624C">
              <w:rPr>
                <w:rFonts w:cs="Arial"/>
                <w:sz w:val="16"/>
                <w:szCs w:val="16"/>
                <w:lang w:eastAsia="de-AT"/>
              </w:rPr>
              <w:t>D</w:t>
            </w:r>
            <w:r w:rsidRPr="00273340">
              <w:rPr>
                <w:rFonts w:cs="Arial"/>
                <w:sz w:val="16"/>
                <w:szCs w:val="16"/>
                <w:lang w:eastAsia="de-AT"/>
              </w:rPr>
              <w:t>rainage basin asymmetry factor (Keller &amp; Pinter, 2002)</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5C624C" w:rsidP="00E543CC">
            <w:pPr>
              <w:spacing w:line="240" w:lineRule="auto"/>
              <w:jc w:val="left"/>
              <w:rPr>
                <w:rFonts w:ascii="Times New Roman" w:hAnsi="Times New Roman"/>
                <w:sz w:val="20"/>
                <w:szCs w:val="20"/>
                <w:lang w:eastAsia="de-AT"/>
              </w:rPr>
            </w:pPr>
            <w:r>
              <w:rPr>
                <w:rFonts w:cs="Arial"/>
                <w:sz w:val="16"/>
                <w:szCs w:val="16"/>
                <w:lang w:eastAsia="de-AT"/>
              </w:rPr>
              <w:t>T: T</w:t>
            </w:r>
            <w:r w:rsidR="00AE741A" w:rsidRPr="00273340">
              <w:rPr>
                <w:rFonts w:cs="Arial"/>
                <w:sz w:val="16"/>
                <w:szCs w:val="16"/>
                <w:lang w:eastAsia="de-AT"/>
              </w:rPr>
              <w:t>ransverse topographic symmetry factor (Keller &amp; Pinter, 2002)</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5C624C">
            <w:pPr>
              <w:spacing w:line="240" w:lineRule="auto"/>
              <w:jc w:val="left"/>
              <w:rPr>
                <w:rFonts w:ascii="Times New Roman" w:hAnsi="Times New Roman"/>
                <w:sz w:val="20"/>
                <w:szCs w:val="20"/>
                <w:lang w:eastAsia="de-AT"/>
              </w:rPr>
            </w:pPr>
            <w:r w:rsidRPr="00273340">
              <w:rPr>
                <w:rFonts w:cs="Arial"/>
                <w:sz w:val="16"/>
                <w:szCs w:val="16"/>
                <w:lang w:eastAsia="de-AT"/>
              </w:rPr>
              <w:t xml:space="preserve">Bs: </w:t>
            </w:r>
            <w:r w:rsidR="005C624C">
              <w:rPr>
                <w:rFonts w:cs="Arial"/>
                <w:sz w:val="16"/>
                <w:szCs w:val="16"/>
                <w:lang w:eastAsia="de-AT"/>
              </w:rPr>
              <w:t>E</w:t>
            </w:r>
            <w:r w:rsidRPr="00273340">
              <w:rPr>
                <w:rFonts w:cs="Arial"/>
                <w:sz w:val="16"/>
                <w:szCs w:val="16"/>
                <w:lang w:eastAsia="de-AT"/>
              </w:rPr>
              <w:t>longation ratio (Ramirez-Herrera, 1998)</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5C624C" w:rsidP="00E543CC">
            <w:pPr>
              <w:spacing w:line="240" w:lineRule="auto"/>
              <w:jc w:val="left"/>
              <w:rPr>
                <w:rFonts w:ascii="Times New Roman" w:hAnsi="Times New Roman"/>
                <w:sz w:val="20"/>
                <w:szCs w:val="20"/>
                <w:lang w:eastAsia="de-AT"/>
              </w:rPr>
            </w:pPr>
            <w:r>
              <w:rPr>
                <w:rFonts w:cs="Arial"/>
                <w:sz w:val="16"/>
                <w:szCs w:val="16"/>
                <w:lang w:eastAsia="de-AT"/>
              </w:rPr>
              <w:t>LSP: L</w:t>
            </w:r>
            <w:r w:rsidR="00AE741A" w:rsidRPr="00273340">
              <w:rPr>
                <w:rFonts w:cs="Arial"/>
                <w:sz w:val="16"/>
                <w:szCs w:val="16"/>
                <w:lang w:eastAsia="de-AT"/>
              </w:rPr>
              <w:t>ongitudional stream profiles (thalweg sections)</w:t>
            </w:r>
          </w:p>
        </w:tc>
      </w:tr>
      <w:tr w:rsidR="00AE741A" w:rsidRPr="00273340" w:rsidTr="00AE741A">
        <w:trPr>
          <w:trHeight w:val="227"/>
          <w:jc w:val="center"/>
        </w:trPr>
        <w:tc>
          <w:tcPr>
            <w:tcW w:w="8856" w:type="dxa"/>
            <w:gridSpan w:val="14"/>
            <w:tcBorders>
              <w:top w:val="nil"/>
              <w:left w:val="nil"/>
              <w:bottom w:val="nil"/>
              <w:right w:val="nil"/>
            </w:tcBorders>
            <w:shd w:val="clear" w:color="auto" w:fill="auto"/>
            <w:noWrap/>
            <w:vAlign w:val="bottom"/>
            <w:hideMark/>
          </w:tcPr>
          <w:p w:rsidR="00AE741A" w:rsidRPr="00273340" w:rsidRDefault="00AE741A" w:rsidP="005C624C">
            <w:pPr>
              <w:spacing w:line="240" w:lineRule="auto"/>
              <w:jc w:val="left"/>
              <w:rPr>
                <w:rFonts w:ascii="Times New Roman" w:hAnsi="Times New Roman"/>
                <w:sz w:val="20"/>
                <w:szCs w:val="20"/>
                <w:lang w:eastAsia="de-AT"/>
              </w:rPr>
            </w:pPr>
            <w:r w:rsidRPr="00273340">
              <w:rPr>
                <w:rFonts w:cs="Arial"/>
                <w:sz w:val="16"/>
                <w:szCs w:val="16"/>
                <w:lang w:eastAsia="de-AT"/>
              </w:rPr>
              <w:t xml:space="preserve">FA: </w:t>
            </w:r>
            <w:r w:rsidR="005C624C">
              <w:rPr>
                <w:rFonts w:cs="Arial"/>
                <w:sz w:val="16"/>
                <w:szCs w:val="16"/>
                <w:lang w:eastAsia="de-AT"/>
              </w:rPr>
              <w:t>A</w:t>
            </w:r>
            <w:r w:rsidRPr="00273340">
              <w:rPr>
                <w:rFonts w:cs="Arial"/>
                <w:sz w:val="16"/>
                <w:szCs w:val="16"/>
                <w:lang w:eastAsia="de-AT"/>
              </w:rPr>
              <w:t>lluvial fan morphology</w:t>
            </w:r>
          </w:p>
        </w:tc>
      </w:tr>
    </w:tbl>
    <w:p w:rsidR="005C624C" w:rsidRPr="009D644E" w:rsidRDefault="005C624C" w:rsidP="009D644E">
      <w:pPr>
        <w:rPr>
          <w:lang w:val="en-US"/>
        </w:rPr>
      </w:pPr>
      <w:bookmarkStart w:id="139" w:name="_Ref432777340"/>
    </w:p>
    <w:p w:rsidR="00D32FB1" w:rsidRDefault="008929F9" w:rsidP="00AE741A">
      <w:pPr>
        <w:pStyle w:val="ASAMPSAtable"/>
        <w:numPr>
          <w:ilvl w:val="0"/>
          <w:numId w:val="0"/>
        </w:numPr>
        <w:ind w:left="720" w:hanging="360"/>
      </w:pPr>
      <w:bookmarkStart w:id="140" w:name="_Ref433010123"/>
      <w:bookmarkStart w:id="141" w:name="_Toc456012032"/>
      <w:r>
        <w:t xml:space="preserve">Table </w:t>
      </w:r>
      <w:r>
        <w:fldChar w:fldCharType="begin"/>
      </w:r>
      <w:r>
        <w:instrText xml:space="preserve"> SEQ Table \* ARABIC </w:instrText>
      </w:r>
      <w:r>
        <w:fldChar w:fldCharType="separate"/>
      </w:r>
      <w:r w:rsidR="00173034">
        <w:rPr>
          <w:noProof/>
        </w:rPr>
        <w:t>8</w:t>
      </w:r>
      <w:r>
        <w:fldChar w:fldCharType="end"/>
      </w:r>
      <w:bookmarkEnd w:id="139"/>
      <w:bookmarkEnd w:id="140"/>
      <w:r>
        <w:t xml:space="preserve">.  </w:t>
      </w:r>
      <w:r w:rsidR="00AE741A">
        <w:t xml:space="preserve">Examples </w:t>
      </w:r>
      <w:r>
        <w:t xml:space="preserve">of </w:t>
      </w:r>
      <w:r w:rsidR="00AE741A">
        <w:t xml:space="preserve">tectonic geomorphology studies using quantitative geomorphic indices to identify </w:t>
      </w:r>
      <w:r>
        <w:t>active and capable fault</w:t>
      </w:r>
      <w:r w:rsidR="00AE741A">
        <w:t>s in non-aride regions.</w:t>
      </w:r>
      <w:bookmarkEnd w:id="141"/>
    </w:p>
    <w:p w:rsidR="00C34167" w:rsidRDefault="00E543CC" w:rsidP="00DD416E">
      <w:pPr>
        <w:rPr>
          <w:lang w:val="en-US"/>
        </w:rPr>
      </w:pPr>
      <w:r w:rsidRPr="00E543CC">
        <w:rPr>
          <w:b/>
          <w:i/>
          <w:lang w:val="en-US"/>
        </w:rPr>
        <w:t>Detailed fault analysis and assessment.</w:t>
      </w:r>
      <w:r>
        <w:rPr>
          <w:lang w:val="en-US"/>
        </w:rPr>
        <w:t xml:space="preserve"> </w:t>
      </w:r>
      <w:r w:rsidR="007743D8">
        <w:rPr>
          <w:lang w:val="en-US"/>
        </w:rPr>
        <w:t>The goal of the analysis is to decide whether a potentially active fault (as identified during the r</w:t>
      </w:r>
      <w:r w:rsidR="007743D8" w:rsidRPr="007743D8">
        <w:rPr>
          <w:lang w:val="en-US"/>
        </w:rPr>
        <w:t>egional assessment</w:t>
      </w:r>
      <w:r w:rsidR="007743D8">
        <w:rPr>
          <w:lang w:val="en-US"/>
        </w:rPr>
        <w:t xml:space="preserve">) is capable / active or not according to IAEA’s </w:t>
      </w:r>
      <w:r w:rsidR="00C34167">
        <w:rPr>
          <w:lang w:val="en-US"/>
        </w:rPr>
        <w:t xml:space="preserve">following </w:t>
      </w:r>
      <w:r w:rsidR="007743D8">
        <w:rPr>
          <w:lang w:val="en-US"/>
        </w:rPr>
        <w:t>definition</w:t>
      </w:r>
      <w:r w:rsidR="00A07F71">
        <w:rPr>
          <w:lang w:val="en-US"/>
        </w:rPr>
        <w:t>s:</w:t>
      </w:r>
    </w:p>
    <w:p w:rsidR="00C34167" w:rsidRDefault="00C34167" w:rsidP="00DD416E">
      <w:pPr>
        <w:rPr>
          <w:lang w:val="en-US"/>
        </w:rPr>
      </w:pPr>
    </w:p>
    <w:p w:rsidR="007743D8" w:rsidRDefault="00C34167" w:rsidP="00DD416E">
      <w:pPr>
        <w:rPr>
          <w:lang w:val="en-US"/>
        </w:rPr>
      </w:pPr>
      <w:r w:rsidRPr="00C34167">
        <w:rPr>
          <w:u w:val="single"/>
          <w:lang w:val="en-US"/>
        </w:rPr>
        <w:t xml:space="preserve">Capable </w:t>
      </w:r>
      <w:r w:rsidR="007743D8" w:rsidRPr="00C34167">
        <w:rPr>
          <w:u w:val="single"/>
          <w:lang w:val="en-US"/>
        </w:rPr>
        <w:t>fault</w:t>
      </w:r>
      <w:r>
        <w:rPr>
          <w:lang w:val="en-US"/>
        </w:rPr>
        <w:t xml:space="preserve"> (IAEA, 2010 </w:t>
      </w:r>
      <w:r w:rsidRPr="00862BFD">
        <w:rPr>
          <w:color w:val="1F4E79"/>
          <w:lang w:val="en-US"/>
        </w:rPr>
        <w:t>SSG-9,</w:t>
      </w:r>
      <w:r>
        <w:rPr>
          <w:lang w:val="en-US"/>
        </w:rPr>
        <w:t xml:space="preserve"> 8.4., p. 30</w:t>
      </w:r>
      <w:r w:rsidR="00F26D4B">
        <w:rPr>
          <w:lang w:val="en-US"/>
        </w:rPr>
        <w:t xml:space="preserve">; compare also IAEA, 2003 </w:t>
      </w:r>
      <w:r w:rsidR="00F26D4B" w:rsidRPr="00862BFD">
        <w:rPr>
          <w:color w:val="1F4E79"/>
          <w:lang w:val="en-US"/>
        </w:rPr>
        <w:t>NS-R-3</w:t>
      </w:r>
      <w:r w:rsidR="00F26D4B">
        <w:rPr>
          <w:lang w:val="en-US"/>
        </w:rPr>
        <w:t>, 3.6, p. 10-11</w:t>
      </w:r>
      <w:r>
        <w:rPr>
          <w:lang w:val="en-US"/>
        </w:rPr>
        <w:t>)</w:t>
      </w:r>
      <w:r w:rsidR="00A07F71">
        <w:rPr>
          <w:lang w:val="en-US"/>
        </w:rPr>
        <w:t>:</w:t>
      </w:r>
    </w:p>
    <w:p w:rsidR="00C34167" w:rsidRPr="00C34167" w:rsidRDefault="00C34167" w:rsidP="00C34167">
      <w:pPr>
        <w:rPr>
          <w:i/>
          <w:lang w:val="en-US"/>
        </w:rPr>
      </w:pPr>
      <w:r w:rsidRPr="00C34167">
        <w:rPr>
          <w:i/>
          <w:lang w:val="en-US"/>
        </w:rPr>
        <w:t xml:space="preserve">“On the basis of geological, geophysical, geodetic or seismological data, a </w:t>
      </w:r>
      <w:r w:rsidRPr="00C34167">
        <w:rPr>
          <w:b/>
          <w:i/>
          <w:lang w:val="en-US"/>
        </w:rPr>
        <w:t>fault should be considered capable</w:t>
      </w:r>
      <w:r w:rsidRPr="00C34167">
        <w:rPr>
          <w:i/>
          <w:lang w:val="en-US"/>
        </w:rPr>
        <w:t xml:space="preserve"> if the following conditions apply:</w:t>
      </w:r>
    </w:p>
    <w:p w:rsidR="00C34167" w:rsidRPr="00C34167" w:rsidRDefault="00C34167" w:rsidP="00C34167">
      <w:pPr>
        <w:ind w:left="426" w:hanging="426"/>
        <w:rPr>
          <w:i/>
          <w:lang w:val="en-US"/>
        </w:rPr>
      </w:pPr>
      <w:r w:rsidRPr="00C34167">
        <w:rPr>
          <w:i/>
          <w:lang w:val="en-US"/>
        </w:rPr>
        <w:t>(a)</w:t>
      </w:r>
      <w:r w:rsidRPr="00C34167">
        <w:rPr>
          <w:i/>
          <w:lang w:val="en-US"/>
        </w:rPr>
        <w:tab/>
        <w:t>If it shows evidence of past movement or movements (such as significant deformations and/or dislocations) of a recurring nature within such a period that it is reasonable to conclude that further movements at or near the surface may occur. In highly active areas, where both earthquake data and geological data consis</w:t>
      </w:r>
      <w:r w:rsidRPr="00C34167">
        <w:rPr>
          <w:i/>
          <w:lang w:val="en-US"/>
        </w:rPr>
        <w:t>t</w:t>
      </w:r>
      <w:r w:rsidRPr="00C34167">
        <w:rPr>
          <w:i/>
          <w:lang w:val="en-US"/>
        </w:rPr>
        <w:t>ently reveal short earthquake recurrence intervals, periods of the order of tens of thousands of years (e.g. Upper Pleistocene–Holocene, i.e. the present) may be appropriate for the assessment of capable faults. In less active areas, it is likely that much longer periods (e.g. Pliocene–Quaternary, i.e. the present) are a</w:t>
      </w:r>
      <w:r w:rsidRPr="00C34167">
        <w:rPr>
          <w:i/>
          <w:lang w:val="en-US"/>
        </w:rPr>
        <w:t>p</w:t>
      </w:r>
      <w:r w:rsidRPr="00C34167">
        <w:rPr>
          <w:i/>
          <w:lang w:val="en-US"/>
        </w:rPr>
        <w:t>propriate.</w:t>
      </w:r>
    </w:p>
    <w:p w:rsidR="00C34167" w:rsidRPr="00C34167" w:rsidRDefault="00C34167" w:rsidP="00C34167">
      <w:pPr>
        <w:ind w:left="426" w:hanging="426"/>
        <w:rPr>
          <w:i/>
          <w:lang w:val="en-US"/>
        </w:rPr>
      </w:pPr>
      <w:r w:rsidRPr="00C34167">
        <w:rPr>
          <w:i/>
          <w:lang w:val="en-US"/>
        </w:rPr>
        <w:t xml:space="preserve">(b) </w:t>
      </w:r>
      <w:r w:rsidRPr="00C34167">
        <w:rPr>
          <w:i/>
          <w:lang w:val="en-US"/>
        </w:rPr>
        <w:tab/>
        <w:t>If a structural relationship with a known capable fault has been demonstrated such that movement of the one fault may cause movement of the other at or near the surface.</w:t>
      </w:r>
    </w:p>
    <w:p w:rsidR="00C34167" w:rsidRPr="00C34167" w:rsidRDefault="00C34167" w:rsidP="00C34167">
      <w:pPr>
        <w:ind w:left="426" w:hanging="426"/>
        <w:rPr>
          <w:i/>
          <w:lang w:val="en-US"/>
        </w:rPr>
      </w:pPr>
      <w:r w:rsidRPr="00C34167">
        <w:rPr>
          <w:i/>
          <w:lang w:val="en-US"/>
        </w:rPr>
        <w:t xml:space="preserve">(c) </w:t>
      </w:r>
      <w:r w:rsidRPr="00C34167">
        <w:rPr>
          <w:i/>
          <w:lang w:val="en-US"/>
        </w:rPr>
        <w:tab/>
        <w:t>If the maximum potential magnitude associated with a seismogenic structure, as determined in Section 4, is sufficiently large and at such a depth that it is reasonable to conclude that, in the current tectonic setting of the plant, movement at or near the surface may occur.”</w:t>
      </w:r>
    </w:p>
    <w:p w:rsidR="00C34167" w:rsidRDefault="00C34167" w:rsidP="00DD416E">
      <w:pPr>
        <w:rPr>
          <w:lang w:val="en-US"/>
        </w:rPr>
      </w:pPr>
    </w:p>
    <w:p w:rsidR="008929F9" w:rsidRDefault="00C34167" w:rsidP="00DD416E">
      <w:pPr>
        <w:rPr>
          <w:lang w:val="en-US"/>
        </w:rPr>
      </w:pPr>
      <w:r w:rsidRPr="00C34167">
        <w:rPr>
          <w:u w:val="single"/>
          <w:lang w:val="en-US"/>
        </w:rPr>
        <w:t>Active fault</w:t>
      </w:r>
      <w:r w:rsidR="00A07F71">
        <w:rPr>
          <w:lang w:val="en-US"/>
        </w:rPr>
        <w:t xml:space="preserve"> (IAEA, 2015, p. 157):</w:t>
      </w:r>
    </w:p>
    <w:p w:rsidR="007743D8" w:rsidRPr="00C34167" w:rsidRDefault="00C34167" w:rsidP="00C34167">
      <w:pPr>
        <w:rPr>
          <w:i/>
          <w:lang w:val="en-US"/>
        </w:rPr>
      </w:pPr>
      <w:r w:rsidRPr="00C34167">
        <w:rPr>
          <w:i/>
          <w:lang w:val="en-US"/>
        </w:rPr>
        <w:t>“A tectonic structure that moved in the recent geologic past and that is e</w:t>
      </w:r>
      <w:r w:rsidRPr="00C34167">
        <w:rPr>
          <w:i/>
          <w:lang w:val="en-US"/>
        </w:rPr>
        <w:t>x</w:t>
      </w:r>
      <w:r w:rsidRPr="00C34167">
        <w:rPr>
          <w:i/>
          <w:lang w:val="en-US"/>
        </w:rPr>
        <w:t>pected to move within a future time span of concern for the safety of a nuclear installation. In highly active (e.g., interplate) areas with short eart</w:t>
      </w:r>
      <w:r w:rsidRPr="00C34167">
        <w:rPr>
          <w:i/>
          <w:lang w:val="en-US"/>
        </w:rPr>
        <w:t>h</w:t>
      </w:r>
      <w:r w:rsidRPr="00C34167">
        <w:rPr>
          <w:i/>
          <w:lang w:val="en-US"/>
        </w:rPr>
        <w:t>quake recurrence intervals, periods of the order of tens of thousands of years (e.g., Upper Pleistocene to pr</w:t>
      </w:r>
      <w:r w:rsidRPr="00C34167">
        <w:rPr>
          <w:i/>
          <w:lang w:val="en-US"/>
        </w:rPr>
        <w:t>e</w:t>
      </w:r>
      <w:r w:rsidRPr="00C34167">
        <w:rPr>
          <w:i/>
          <w:lang w:val="en-US"/>
        </w:rPr>
        <w:t>sent) may be appropriate for defining a fault as active. In less active areas (e.g., intraplate) much longer periods (e.g., Pliocene –Quaternary to present) may be appropriate. In the co</w:t>
      </w:r>
      <w:r w:rsidRPr="00C34167">
        <w:rPr>
          <w:i/>
          <w:lang w:val="en-US"/>
        </w:rPr>
        <w:t>n</w:t>
      </w:r>
      <w:r w:rsidRPr="00C34167">
        <w:rPr>
          <w:i/>
          <w:lang w:val="en-US"/>
        </w:rPr>
        <w:t>servative perspective of NPP siting, any fault within the Earth’s crust might need to be reassessed for potential re-activation. In fact, it is impossible to exclude that an earthquake of low magnitude may occur along any fault (Modified from IAEA SSG-9, 8.4).”</w:t>
      </w:r>
    </w:p>
    <w:p w:rsidR="00C34167" w:rsidRDefault="00C34167" w:rsidP="00DD416E">
      <w:pPr>
        <w:rPr>
          <w:lang w:val="en-US"/>
        </w:rPr>
      </w:pPr>
    </w:p>
    <w:p w:rsidR="00C34167" w:rsidRDefault="00C34167" w:rsidP="00DD416E">
      <w:pPr>
        <w:rPr>
          <w:lang w:val="en-US"/>
        </w:rPr>
      </w:pPr>
      <w:r>
        <w:rPr>
          <w:lang w:val="en-US"/>
        </w:rPr>
        <w:t xml:space="preserve">The definitions differ by the fact that the term “active fault” includes </w:t>
      </w:r>
      <w:r w:rsidR="00502A81">
        <w:rPr>
          <w:lang w:val="en-US"/>
        </w:rPr>
        <w:t>blind faults</w:t>
      </w:r>
      <w:r>
        <w:rPr>
          <w:lang w:val="en-US"/>
        </w:rPr>
        <w:t>, which are not capable to cause fault movements at the surface (</w:t>
      </w:r>
      <w:r w:rsidR="00502A81">
        <w:rPr>
          <w:lang w:val="en-US"/>
        </w:rPr>
        <w:t xml:space="preserve">a blind fault is a </w:t>
      </w:r>
      <w:r w:rsidR="00502A81" w:rsidRPr="00502A81">
        <w:rPr>
          <w:i/>
          <w:lang w:val="en-US"/>
        </w:rPr>
        <w:t>“</w:t>
      </w:r>
      <w:r w:rsidR="00502A81">
        <w:rPr>
          <w:i/>
          <w:lang w:val="en-US"/>
        </w:rPr>
        <w:t>B</w:t>
      </w:r>
      <w:r w:rsidR="00502A81" w:rsidRPr="00502A81">
        <w:rPr>
          <w:i/>
          <w:lang w:val="en-US"/>
        </w:rPr>
        <w:t>uried fault not reaching up to the ground surface when it was last active. Usually applied to buried reverse or thrust faults</w:t>
      </w:r>
      <w:r w:rsidRPr="00502A81">
        <w:rPr>
          <w:i/>
          <w:lang w:val="en-US"/>
        </w:rPr>
        <w:t>.</w:t>
      </w:r>
      <w:r w:rsidR="00502A81">
        <w:rPr>
          <w:lang w:val="en-US"/>
        </w:rPr>
        <w:t xml:space="preserve"> [IAEA, 2015, p. 158]).</w:t>
      </w:r>
    </w:p>
    <w:p w:rsidR="00C34167" w:rsidRDefault="00C34167" w:rsidP="00DD416E">
      <w:pPr>
        <w:rPr>
          <w:lang w:val="en-US"/>
        </w:rPr>
      </w:pPr>
    </w:p>
    <w:p w:rsidR="00502A81" w:rsidRDefault="00502A81" w:rsidP="00DD416E">
      <w:pPr>
        <w:rPr>
          <w:lang w:val="en-US"/>
        </w:rPr>
      </w:pPr>
    </w:p>
    <w:p w:rsidR="00502A81" w:rsidRDefault="00502A81" w:rsidP="00DD416E">
      <w:pPr>
        <w:rPr>
          <w:lang w:val="en-US"/>
        </w:rPr>
      </w:pPr>
      <w:r>
        <w:rPr>
          <w:lang w:val="en-US"/>
        </w:rPr>
        <w:br w:type="page"/>
      </w:r>
    </w:p>
    <w:tbl>
      <w:tblPr>
        <w:tblW w:w="9100" w:type="dxa"/>
        <w:tblInd w:w="70" w:type="dxa"/>
        <w:tblCellMar>
          <w:left w:w="70" w:type="dxa"/>
          <w:right w:w="70" w:type="dxa"/>
        </w:tblCellMar>
        <w:tblLook w:val="04A0" w:firstRow="1" w:lastRow="0" w:firstColumn="1" w:lastColumn="0" w:noHBand="0" w:noVBand="1"/>
      </w:tblPr>
      <w:tblGrid>
        <w:gridCol w:w="2380"/>
        <w:gridCol w:w="6720"/>
      </w:tblGrid>
      <w:tr w:rsidR="00502A81" w:rsidRPr="00502A81" w:rsidTr="00502A81">
        <w:trPr>
          <w:trHeight w:val="300"/>
        </w:trPr>
        <w:tc>
          <w:tcPr>
            <w:tcW w:w="2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A81" w:rsidRPr="00502A81" w:rsidRDefault="00502A81" w:rsidP="00502A81">
            <w:pPr>
              <w:spacing w:line="240" w:lineRule="auto"/>
              <w:jc w:val="center"/>
              <w:rPr>
                <w:b/>
                <w:bCs/>
                <w:color w:val="000000"/>
                <w:szCs w:val="18"/>
                <w:lang w:val="de-AT" w:eastAsia="de-AT"/>
              </w:rPr>
            </w:pPr>
            <w:r w:rsidRPr="00502A81">
              <w:rPr>
                <w:b/>
                <w:bCs/>
                <w:color w:val="000000"/>
                <w:szCs w:val="18"/>
                <w:lang w:val="de-AT" w:eastAsia="de-AT"/>
              </w:rPr>
              <w:t>STATE</w:t>
            </w:r>
          </w:p>
        </w:tc>
        <w:tc>
          <w:tcPr>
            <w:tcW w:w="6720" w:type="dxa"/>
            <w:tcBorders>
              <w:top w:val="single" w:sz="8" w:space="0" w:color="auto"/>
              <w:left w:val="nil"/>
              <w:bottom w:val="single" w:sz="8" w:space="0" w:color="auto"/>
              <w:right w:val="single" w:sz="8" w:space="0" w:color="auto"/>
            </w:tcBorders>
            <w:shd w:val="clear" w:color="auto" w:fill="auto"/>
            <w:vAlign w:val="bottom"/>
            <w:hideMark/>
          </w:tcPr>
          <w:p w:rsidR="00502A81" w:rsidRPr="00502A81" w:rsidRDefault="00502A81" w:rsidP="00502A81">
            <w:pPr>
              <w:spacing w:line="240" w:lineRule="auto"/>
              <w:jc w:val="left"/>
              <w:rPr>
                <w:b/>
                <w:bCs/>
                <w:color w:val="000000"/>
                <w:szCs w:val="18"/>
                <w:lang w:val="de-AT" w:eastAsia="de-AT"/>
              </w:rPr>
            </w:pPr>
            <w:r w:rsidRPr="00502A81">
              <w:rPr>
                <w:b/>
                <w:bCs/>
                <w:color w:val="000000"/>
                <w:szCs w:val="18"/>
                <w:lang w:val="de-AT" w:eastAsia="de-AT"/>
              </w:rPr>
              <w:t>EVIDENCE</w:t>
            </w:r>
          </w:p>
        </w:tc>
      </w:tr>
      <w:tr w:rsidR="00502A81" w:rsidRPr="00502A81" w:rsidTr="00502A81">
        <w:trPr>
          <w:trHeight w:val="288"/>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02A81" w:rsidRPr="00502A81" w:rsidRDefault="00502A81" w:rsidP="00502A81">
            <w:pPr>
              <w:spacing w:line="240" w:lineRule="auto"/>
              <w:jc w:val="center"/>
              <w:rPr>
                <w:b/>
                <w:bCs/>
                <w:color w:val="000000"/>
                <w:szCs w:val="18"/>
                <w:lang w:val="de-AT" w:eastAsia="de-AT"/>
              </w:rPr>
            </w:pPr>
            <w:r w:rsidRPr="00502A81">
              <w:rPr>
                <w:b/>
                <w:bCs/>
                <w:color w:val="000000"/>
                <w:szCs w:val="18"/>
                <w:lang w:val="de-AT" w:eastAsia="de-AT"/>
              </w:rPr>
              <w:t>Extinct</w:t>
            </w: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9B56CC">
            <w:pPr>
              <w:spacing w:line="240" w:lineRule="auto"/>
              <w:jc w:val="left"/>
              <w:rPr>
                <w:color w:val="000000"/>
                <w:szCs w:val="18"/>
                <w:lang w:eastAsia="de-AT"/>
              </w:rPr>
            </w:pPr>
            <w:r w:rsidRPr="00502A81">
              <w:rPr>
                <w:color w:val="000000"/>
                <w:szCs w:val="18"/>
                <w:lang w:eastAsia="de-AT"/>
              </w:rPr>
              <w:t xml:space="preserve">Fault does not </w:t>
            </w:r>
            <w:r w:rsidR="009B56CC">
              <w:rPr>
                <w:color w:val="000000"/>
                <w:szCs w:val="18"/>
                <w:lang w:eastAsia="de-AT"/>
              </w:rPr>
              <w:t>d</w:t>
            </w:r>
            <w:r w:rsidRPr="00502A81">
              <w:rPr>
                <w:color w:val="000000"/>
                <w:szCs w:val="18"/>
                <w:lang w:eastAsia="de-AT"/>
              </w:rPr>
              <w:t>isplace Pliocene-Quaternary sediments or structures</w:t>
            </w:r>
          </w:p>
        </w:tc>
      </w:tr>
      <w:tr w:rsidR="00502A81" w:rsidRPr="00502A81" w:rsidTr="00502A81">
        <w:trPr>
          <w:trHeight w:val="576"/>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 xml:space="preserve">The mineralogy of </w:t>
            </w:r>
            <w:r w:rsidRPr="00502A81">
              <w:rPr>
                <w:b/>
                <w:bCs/>
                <w:color w:val="000000"/>
                <w:szCs w:val="18"/>
                <w:lang w:eastAsia="de-AT"/>
              </w:rPr>
              <w:t>mechanically continuous</w:t>
            </w:r>
            <w:r w:rsidRPr="00502A81">
              <w:rPr>
                <w:color w:val="000000"/>
                <w:szCs w:val="18"/>
                <w:lang w:eastAsia="de-AT"/>
              </w:rPr>
              <w:t xml:space="preserve"> fault rock is incompatible with the current stress/temperature regime</w:t>
            </w:r>
          </w:p>
        </w:tc>
      </w:tr>
      <w:tr w:rsidR="00502A81" w:rsidRPr="00502A81" w:rsidTr="00502A81">
        <w:trPr>
          <w:trHeight w:val="300"/>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single" w:sz="8" w:space="0" w:color="auto"/>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Fault is a small secondary feature</w:t>
            </w:r>
          </w:p>
        </w:tc>
      </w:tr>
      <w:tr w:rsidR="00502A81" w:rsidRPr="00502A81" w:rsidTr="00502A81">
        <w:trPr>
          <w:trHeight w:val="288"/>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02A81" w:rsidRPr="00502A81" w:rsidRDefault="00502A81" w:rsidP="00502A81">
            <w:pPr>
              <w:spacing w:line="240" w:lineRule="auto"/>
              <w:jc w:val="center"/>
              <w:rPr>
                <w:b/>
                <w:bCs/>
                <w:color w:val="000000"/>
                <w:szCs w:val="18"/>
                <w:lang w:val="de-AT" w:eastAsia="de-AT"/>
              </w:rPr>
            </w:pPr>
            <w:r w:rsidRPr="00502A81">
              <w:rPr>
                <w:b/>
                <w:bCs/>
                <w:color w:val="000000"/>
                <w:szCs w:val="18"/>
                <w:lang w:val="de-AT" w:eastAsia="de-AT"/>
              </w:rPr>
              <w:t>Unproven</w:t>
            </w: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 xml:space="preserve">Fault does not </w:t>
            </w:r>
            <w:r>
              <w:rPr>
                <w:color w:val="000000"/>
                <w:szCs w:val="18"/>
                <w:lang w:eastAsia="de-AT"/>
              </w:rPr>
              <w:t>d</w:t>
            </w:r>
            <w:r w:rsidRPr="00502A81">
              <w:rPr>
                <w:color w:val="000000"/>
                <w:szCs w:val="18"/>
                <w:lang w:eastAsia="de-AT"/>
              </w:rPr>
              <w:t>isplace late Quaternary sediments or structures</w:t>
            </w:r>
          </w:p>
        </w:tc>
      </w:tr>
      <w:tr w:rsidR="00502A81" w:rsidRPr="00502A81" w:rsidTr="00502A81">
        <w:trPr>
          <w:trHeight w:val="576"/>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Fault style and orientation makes a displacement unlikely in the current tectonic regime</w:t>
            </w:r>
          </w:p>
        </w:tc>
      </w:tr>
      <w:tr w:rsidR="00502A81" w:rsidRPr="00502A81" w:rsidTr="00502A81">
        <w:trPr>
          <w:trHeight w:val="576"/>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 xml:space="preserve">Fault shows geographical association with small macroseismic earthquake or instrumental earthquake located by regional network </w:t>
            </w:r>
          </w:p>
        </w:tc>
      </w:tr>
      <w:tr w:rsidR="00502A81" w:rsidRPr="00502A81" w:rsidTr="00502A81">
        <w:trPr>
          <w:trHeight w:val="288"/>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Fault has undergone multiple post-</w:t>
            </w:r>
            <w:r w:rsidRPr="00BD6598">
              <w:rPr>
                <w:color w:val="000000"/>
                <w:szCs w:val="18"/>
                <w:lang w:eastAsia="de-AT"/>
              </w:rPr>
              <w:t>variscan</w:t>
            </w:r>
            <w:r w:rsidRPr="00502A81">
              <w:rPr>
                <w:color w:val="000000"/>
                <w:szCs w:val="18"/>
                <w:lang w:eastAsia="de-AT"/>
              </w:rPr>
              <w:t xml:space="preserve"> reactivation</w:t>
            </w:r>
          </w:p>
        </w:tc>
      </w:tr>
      <w:tr w:rsidR="00502A81" w:rsidRPr="00502A81" w:rsidTr="00502A81">
        <w:trPr>
          <w:trHeight w:val="576"/>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Fault influences current morphology as shown by quantitative tectonic g</w:t>
            </w:r>
            <w:r w:rsidRPr="00502A81">
              <w:rPr>
                <w:color w:val="000000"/>
                <w:szCs w:val="18"/>
                <w:lang w:eastAsia="de-AT"/>
              </w:rPr>
              <w:t>e</w:t>
            </w:r>
            <w:r w:rsidRPr="00502A81">
              <w:rPr>
                <w:color w:val="000000"/>
                <w:szCs w:val="18"/>
                <w:lang w:eastAsia="de-AT"/>
              </w:rPr>
              <w:t xml:space="preserve">omoprhology parameters </w:t>
            </w:r>
          </w:p>
        </w:tc>
      </w:tr>
      <w:tr w:rsidR="00502A81" w:rsidRPr="00502A81" w:rsidTr="00502A81">
        <w:trPr>
          <w:trHeight w:val="300"/>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single" w:sz="8" w:space="0" w:color="auto"/>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Fault has a close analogue proved active</w:t>
            </w:r>
          </w:p>
        </w:tc>
      </w:tr>
      <w:tr w:rsidR="00502A81" w:rsidRPr="00502A81" w:rsidTr="00502A81">
        <w:trPr>
          <w:trHeight w:val="477"/>
        </w:trPr>
        <w:tc>
          <w:tcPr>
            <w:tcW w:w="23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02A81" w:rsidRPr="00502A81" w:rsidRDefault="00502A81" w:rsidP="00502A81">
            <w:pPr>
              <w:spacing w:line="240" w:lineRule="auto"/>
              <w:jc w:val="center"/>
              <w:rPr>
                <w:b/>
                <w:bCs/>
                <w:color w:val="000000"/>
                <w:szCs w:val="18"/>
                <w:lang w:val="de-AT" w:eastAsia="de-AT"/>
              </w:rPr>
            </w:pPr>
            <w:r w:rsidRPr="00502A81">
              <w:rPr>
                <w:b/>
                <w:bCs/>
                <w:color w:val="000000"/>
                <w:szCs w:val="18"/>
                <w:lang w:val="de-AT" w:eastAsia="de-AT"/>
              </w:rPr>
              <w:t>Active</w:t>
            </w: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 xml:space="preserve">Fault has appropriate dimensions and is </w:t>
            </w:r>
            <w:r w:rsidRPr="00502A81">
              <w:rPr>
                <w:b/>
                <w:bCs/>
                <w:color w:val="000000"/>
                <w:szCs w:val="18"/>
                <w:lang w:eastAsia="de-AT"/>
              </w:rPr>
              <w:t>uniquely</w:t>
            </w:r>
            <w:r w:rsidRPr="00502A81">
              <w:rPr>
                <w:color w:val="000000"/>
                <w:szCs w:val="18"/>
                <w:lang w:eastAsia="de-AT"/>
              </w:rPr>
              <w:t xml:space="preserve"> implicated by well-located earthquake(s)</w:t>
            </w:r>
          </w:p>
        </w:tc>
      </w:tr>
      <w:tr w:rsidR="00502A81" w:rsidRPr="00502A81" w:rsidTr="00502A81">
        <w:trPr>
          <w:trHeight w:val="557"/>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nil"/>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 xml:space="preserve">Fault coincides with accurately located hypocentre(s) from local network </w:t>
            </w:r>
            <w:r w:rsidRPr="00502A81">
              <w:rPr>
                <w:b/>
                <w:bCs/>
                <w:color w:val="000000"/>
                <w:szCs w:val="18"/>
                <w:lang w:eastAsia="de-AT"/>
              </w:rPr>
              <w:t>and</w:t>
            </w:r>
            <w:r w:rsidRPr="00502A81">
              <w:rPr>
                <w:color w:val="000000"/>
                <w:szCs w:val="18"/>
                <w:lang w:eastAsia="de-AT"/>
              </w:rPr>
              <w:t xml:space="preserve"> is consistent with </w:t>
            </w:r>
            <w:r>
              <w:rPr>
                <w:color w:val="000000"/>
                <w:szCs w:val="18"/>
                <w:lang w:eastAsia="de-AT"/>
              </w:rPr>
              <w:t>parameters from well-const</w:t>
            </w:r>
            <w:r w:rsidRPr="00502A81">
              <w:rPr>
                <w:color w:val="000000"/>
                <w:szCs w:val="18"/>
                <w:lang w:eastAsia="de-AT"/>
              </w:rPr>
              <w:t>r</w:t>
            </w:r>
            <w:r>
              <w:rPr>
                <w:color w:val="000000"/>
                <w:szCs w:val="18"/>
                <w:lang w:eastAsia="de-AT"/>
              </w:rPr>
              <w:t>a</w:t>
            </w:r>
            <w:r w:rsidRPr="00502A81">
              <w:rPr>
                <w:color w:val="000000"/>
                <w:szCs w:val="18"/>
                <w:lang w:eastAsia="de-AT"/>
              </w:rPr>
              <w:t>ined focal mechanism(s)</w:t>
            </w:r>
          </w:p>
        </w:tc>
      </w:tr>
      <w:tr w:rsidR="00502A81" w:rsidRPr="00502A81" w:rsidTr="00502A81">
        <w:trPr>
          <w:trHeight w:val="300"/>
        </w:trPr>
        <w:tc>
          <w:tcPr>
            <w:tcW w:w="2380" w:type="dxa"/>
            <w:vMerge/>
            <w:tcBorders>
              <w:top w:val="nil"/>
              <w:left w:val="single" w:sz="8" w:space="0" w:color="auto"/>
              <w:bottom w:val="single" w:sz="8" w:space="0" w:color="000000"/>
              <w:right w:val="single" w:sz="8" w:space="0" w:color="auto"/>
            </w:tcBorders>
            <w:vAlign w:val="center"/>
            <w:hideMark/>
          </w:tcPr>
          <w:p w:rsidR="00502A81" w:rsidRPr="00502A81" w:rsidRDefault="00502A81" w:rsidP="00502A81">
            <w:pPr>
              <w:spacing w:line="240" w:lineRule="auto"/>
              <w:jc w:val="left"/>
              <w:rPr>
                <w:b/>
                <w:bCs/>
                <w:color w:val="000000"/>
                <w:szCs w:val="18"/>
                <w:lang w:eastAsia="de-AT"/>
              </w:rPr>
            </w:pPr>
          </w:p>
        </w:tc>
        <w:tc>
          <w:tcPr>
            <w:tcW w:w="6720" w:type="dxa"/>
            <w:tcBorders>
              <w:top w:val="nil"/>
              <w:left w:val="nil"/>
              <w:bottom w:val="single" w:sz="8" w:space="0" w:color="auto"/>
              <w:right w:val="single" w:sz="8" w:space="0" w:color="auto"/>
            </w:tcBorders>
            <w:shd w:val="clear" w:color="auto" w:fill="auto"/>
            <w:vAlign w:val="bottom"/>
            <w:hideMark/>
          </w:tcPr>
          <w:p w:rsidR="00502A81" w:rsidRPr="00502A81" w:rsidRDefault="00502A81" w:rsidP="00502A81">
            <w:pPr>
              <w:spacing w:line="240" w:lineRule="auto"/>
              <w:jc w:val="left"/>
              <w:rPr>
                <w:color w:val="000000"/>
                <w:szCs w:val="18"/>
                <w:lang w:eastAsia="de-AT"/>
              </w:rPr>
            </w:pPr>
            <w:r w:rsidRPr="00502A81">
              <w:rPr>
                <w:color w:val="000000"/>
                <w:szCs w:val="18"/>
                <w:lang w:eastAsia="de-AT"/>
              </w:rPr>
              <w:t>Fault displaces ground surface or Quaternary deposits and/or structures</w:t>
            </w:r>
          </w:p>
        </w:tc>
      </w:tr>
    </w:tbl>
    <w:p w:rsidR="00502A81" w:rsidRDefault="00502A81" w:rsidP="00DD416E">
      <w:pPr>
        <w:rPr>
          <w:lang w:val="en-US"/>
        </w:rPr>
      </w:pPr>
    </w:p>
    <w:p w:rsidR="00502A81" w:rsidRDefault="00502A81" w:rsidP="00502A81">
      <w:pPr>
        <w:pStyle w:val="ASAMPSAtable"/>
        <w:numPr>
          <w:ilvl w:val="0"/>
          <w:numId w:val="0"/>
        </w:numPr>
        <w:ind w:left="720" w:hanging="360"/>
      </w:pPr>
      <w:bookmarkStart w:id="142" w:name="_Ref433009743"/>
      <w:bookmarkStart w:id="143" w:name="_Ref451427104"/>
      <w:bookmarkStart w:id="144" w:name="_Toc456012033"/>
      <w:r>
        <w:t xml:space="preserve">Table </w:t>
      </w:r>
      <w:r>
        <w:fldChar w:fldCharType="begin"/>
      </w:r>
      <w:r>
        <w:instrText xml:space="preserve"> SEQ Table \* ARABIC </w:instrText>
      </w:r>
      <w:r>
        <w:fldChar w:fldCharType="separate"/>
      </w:r>
      <w:r w:rsidR="00173034">
        <w:rPr>
          <w:noProof/>
        </w:rPr>
        <w:t>9</w:t>
      </w:r>
      <w:r>
        <w:fldChar w:fldCharType="end"/>
      </w:r>
      <w:bookmarkEnd w:id="142"/>
      <w:r>
        <w:t xml:space="preserve">.  </w:t>
      </w:r>
      <w:r w:rsidR="007521BA">
        <w:t>Criteria for assessing faults as “active” or “extinct” (Mallard, 1991)</w:t>
      </w:r>
      <w:bookmarkEnd w:id="143"/>
      <w:bookmarkEnd w:id="144"/>
    </w:p>
    <w:p w:rsidR="00502A81" w:rsidRDefault="00502A81" w:rsidP="00DD416E">
      <w:pPr>
        <w:rPr>
          <w:lang w:val="en-US"/>
        </w:rPr>
      </w:pPr>
    </w:p>
    <w:p w:rsidR="007F18DD" w:rsidRDefault="007F18DD" w:rsidP="007F18DD">
      <w:pPr>
        <w:rPr>
          <w:lang w:val="en-US"/>
        </w:rPr>
      </w:pPr>
      <w:r>
        <w:rPr>
          <w:lang w:val="en-US"/>
        </w:rPr>
        <w:fldChar w:fldCharType="begin"/>
      </w:r>
      <w:r>
        <w:rPr>
          <w:lang w:val="en-US"/>
        </w:rPr>
        <w:instrText xml:space="preserve"> REF _Ref433009743 \h </w:instrText>
      </w:r>
      <w:r>
        <w:rPr>
          <w:lang w:val="en-US"/>
        </w:rPr>
      </w:r>
      <w:r>
        <w:rPr>
          <w:lang w:val="en-US"/>
        </w:rPr>
        <w:fldChar w:fldCharType="separate"/>
      </w:r>
      <w:r w:rsidR="00173034">
        <w:t xml:space="preserve">Table </w:t>
      </w:r>
      <w:r w:rsidR="00173034">
        <w:rPr>
          <w:noProof/>
        </w:rPr>
        <w:t>9</w:t>
      </w:r>
      <w:r>
        <w:rPr>
          <w:lang w:val="en-US"/>
        </w:rPr>
        <w:fldChar w:fldCharType="end"/>
      </w:r>
      <w:r>
        <w:rPr>
          <w:lang w:val="en-US"/>
        </w:rPr>
        <w:t xml:space="preserve"> summarizes possible criteria to assess faults as “active”, “exti</w:t>
      </w:r>
      <w:r w:rsidR="00A07F71">
        <w:rPr>
          <w:lang w:val="en-US"/>
        </w:rPr>
        <w:t>nct” (inactive), or “unproven”.</w:t>
      </w:r>
    </w:p>
    <w:p w:rsidR="007F18DD" w:rsidRDefault="007F18DD" w:rsidP="007F18DD">
      <w:pPr>
        <w:rPr>
          <w:lang w:val="en-US"/>
        </w:rPr>
      </w:pPr>
    </w:p>
    <w:p w:rsidR="007F18DD" w:rsidRDefault="007F18DD" w:rsidP="007F18DD">
      <w:pPr>
        <w:rPr>
          <w:lang w:val="en-US"/>
        </w:rPr>
      </w:pPr>
      <w:r>
        <w:rPr>
          <w:lang w:val="en-US"/>
        </w:rPr>
        <w:t>Guidance on the detailed analys</w:t>
      </w:r>
      <w:r w:rsidR="002F1320">
        <w:rPr>
          <w:lang w:val="en-US"/>
        </w:rPr>
        <w:t>is of potentially active faults</w:t>
      </w:r>
      <w:r w:rsidR="009B56CC">
        <w:rPr>
          <w:lang w:val="en-US"/>
        </w:rPr>
        <w:t xml:space="preserve"> </w:t>
      </w:r>
      <w:r>
        <w:rPr>
          <w:lang w:val="en-US"/>
        </w:rPr>
        <w:t xml:space="preserve">is provided by IAEA (2010, 2015) and references therein. The assessment generally relies on appropriate combinations of geological, geophysical, </w:t>
      </w:r>
      <w:r w:rsidR="002F1320">
        <w:rPr>
          <w:lang w:val="en-US"/>
        </w:rPr>
        <w:t>paleoseismolog</w:t>
      </w:r>
      <w:r w:rsidR="002F1320">
        <w:rPr>
          <w:lang w:val="en-US"/>
        </w:rPr>
        <w:t>i</w:t>
      </w:r>
      <w:r w:rsidR="002F1320">
        <w:rPr>
          <w:lang w:val="en-US"/>
        </w:rPr>
        <w:t xml:space="preserve">cal, </w:t>
      </w:r>
      <w:r>
        <w:rPr>
          <w:lang w:val="en-US"/>
        </w:rPr>
        <w:t xml:space="preserve">seismological, geomorphological, and geodetic methods. </w:t>
      </w:r>
      <w:r w:rsidR="009D644E">
        <w:rPr>
          <w:lang w:val="en-US"/>
        </w:rPr>
        <w:t>Among theses, the following methods are regar</w:t>
      </w:r>
      <w:r w:rsidR="00A07F71">
        <w:rPr>
          <w:lang w:val="en-US"/>
        </w:rPr>
        <w:t>ded to be of crucial importance</w:t>
      </w:r>
      <w:r w:rsidR="009D644E">
        <w:rPr>
          <w:lang w:val="en-US"/>
        </w:rPr>
        <w:t>:</w:t>
      </w:r>
    </w:p>
    <w:p w:rsidR="007A30C9" w:rsidRDefault="00003A03" w:rsidP="00860D1D">
      <w:pPr>
        <w:numPr>
          <w:ilvl w:val="0"/>
          <w:numId w:val="32"/>
        </w:numPr>
        <w:rPr>
          <w:lang w:val="en-US"/>
        </w:rPr>
      </w:pPr>
      <w:r>
        <w:rPr>
          <w:lang w:val="en-US"/>
        </w:rPr>
        <w:t>a</w:t>
      </w:r>
      <w:r w:rsidR="007A30C9">
        <w:rPr>
          <w:lang w:val="en-US"/>
        </w:rPr>
        <w:t>nalysis of seismicity from local networks to find coincidences between faults, accurately located hyp</w:t>
      </w:r>
      <w:r w:rsidR="007A30C9">
        <w:rPr>
          <w:lang w:val="en-US"/>
        </w:rPr>
        <w:t>o</w:t>
      </w:r>
      <w:r w:rsidR="00A07F71">
        <w:rPr>
          <w:lang w:val="en-US"/>
        </w:rPr>
        <w:t>centres, and focal mechanisms</w:t>
      </w:r>
      <w:r>
        <w:rPr>
          <w:lang w:val="en-US"/>
        </w:rPr>
        <w:t>,</w:t>
      </w:r>
    </w:p>
    <w:p w:rsidR="009D644E" w:rsidRDefault="00003A03" w:rsidP="00860D1D">
      <w:pPr>
        <w:numPr>
          <w:ilvl w:val="0"/>
          <w:numId w:val="32"/>
        </w:numPr>
        <w:rPr>
          <w:lang w:val="en-US"/>
        </w:rPr>
      </w:pPr>
      <w:r>
        <w:rPr>
          <w:lang w:val="en-US"/>
        </w:rPr>
        <w:t>a</w:t>
      </w:r>
      <w:r w:rsidR="002F1320">
        <w:rPr>
          <w:lang w:val="en-US"/>
        </w:rPr>
        <w:t>nalysis</w:t>
      </w:r>
      <w:r w:rsidR="007A30C9">
        <w:rPr>
          <w:lang w:val="en-US"/>
        </w:rPr>
        <w:t xml:space="preserve"> (including </w:t>
      </w:r>
      <w:r w:rsidR="002F1320">
        <w:rPr>
          <w:lang w:val="en-US"/>
        </w:rPr>
        <w:t>dating</w:t>
      </w:r>
      <w:r w:rsidR="007A30C9">
        <w:rPr>
          <w:lang w:val="en-US"/>
        </w:rPr>
        <w:t>)</w:t>
      </w:r>
      <w:r w:rsidR="002F1320">
        <w:rPr>
          <w:lang w:val="en-US"/>
        </w:rPr>
        <w:t xml:space="preserve"> of Quaternary and Pliocene sediments and their relation to the fault (offset or sealing the fault)</w:t>
      </w:r>
      <w:r>
        <w:rPr>
          <w:lang w:val="en-US"/>
        </w:rPr>
        <w:t>,</w:t>
      </w:r>
    </w:p>
    <w:p w:rsidR="009D644E" w:rsidRDefault="00003A03" w:rsidP="00860D1D">
      <w:pPr>
        <w:numPr>
          <w:ilvl w:val="0"/>
          <w:numId w:val="32"/>
        </w:numPr>
        <w:rPr>
          <w:lang w:val="en-US"/>
        </w:rPr>
      </w:pPr>
      <w:r>
        <w:rPr>
          <w:lang w:val="en-US"/>
        </w:rPr>
        <w:t>h</w:t>
      </w:r>
      <w:r w:rsidR="009D644E">
        <w:rPr>
          <w:lang w:val="en-US"/>
        </w:rPr>
        <w:t>igh-resolution geophysical surveys to map and accurately locate near-surface faults (refelction seismic, resistivity, ground penetrating radar). Preference should be given to methods prviding accurate images of subcrop structures</w:t>
      </w:r>
      <w:r w:rsidR="002F1320">
        <w:rPr>
          <w:lang w:val="en-US"/>
        </w:rPr>
        <w:t>.</w:t>
      </w:r>
    </w:p>
    <w:p w:rsidR="006A0241" w:rsidRDefault="007A30C9" w:rsidP="00E6154E">
      <w:pPr>
        <w:rPr>
          <w:lang w:val="en-US"/>
        </w:rPr>
      </w:pPr>
      <w:r>
        <w:rPr>
          <w:b/>
          <w:i/>
          <w:lang w:val="en-US"/>
        </w:rPr>
        <w:br w:type="page"/>
      </w:r>
      <w:r w:rsidR="005C624C" w:rsidRPr="005C624C">
        <w:rPr>
          <w:b/>
          <w:i/>
          <w:lang w:val="en-US"/>
        </w:rPr>
        <w:lastRenderedPageBreak/>
        <w:t>Active fault characterization.</w:t>
      </w:r>
      <w:r w:rsidR="005C624C">
        <w:rPr>
          <w:lang w:val="en-US"/>
        </w:rPr>
        <w:t xml:space="preserve"> </w:t>
      </w:r>
      <w:r w:rsidR="00E6154E">
        <w:rPr>
          <w:lang w:val="en-US"/>
        </w:rPr>
        <w:t xml:space="preserve">For </w:t>
      </w:r>
      <w:r w:rsidR="00E57F6C">
        <w:rPr>
          <w:lang w:val="en-US"/>
        </w:rPr>
        <w:t xml:space="preserve">the </w:t>
      </w:r>
      <w:r w:rsidR="00E6154E">
        <w:rPr>
          <w:lang w:val="en-US"/>
        </w:rPr>
        <w:t xml:space="preserve">modeling </w:t>
      </w:r>
      <w:r w:rsidR="00E57F6C">
        <w:rPr>
          <w:lang w:val="en-US"/>
        </w:rPr>
        <w:t xml:space="preserve">of ground motion hazard </w:t>
      </w:r>
      <w:r w:rsidR="00E6154E">
        <w:rPr>
          <w:lang w:val="en-US"/>
        </w:rPr>
        <w:t xml:space="preserve">in PSHA active fault sources </w:t>
      </w:r>
      <w:r>
        <w:rPr>
          <w:lang w:val="en-US"/>
        </w:rPr>
        <w:t xml:space="preserve">should </w:t>
      </w:r>
      <w:r w:rsidR="00E6154E">
        <w:rPr>
          <w:lang w:val="en-US"/>
        </w:rPr>
        <w:t>be represented by their 3D location (outcrop trace, dip direction, dip), fault length,</w:t>
      </w:r>
      <w:r w:rsidR="00194ECB">
        <w:rPr>
          <w:lang w:val="en-US"/>
        </w:rPr>
        <w:t xml:space="preserve"> depth and area, </w:t>
      </w:r>
      <w:r w:rsidR="00E6154E">
        <w:rPr>
          <w:lang w:val="en-US"/>
        </w:rPr>
        <w:t>fault kinematics (slip vector and slip direction), slip velocity, seismogenic depth</w:t>
      </w:r>
      <w:r w:rsidR="00194ECB">
        <w:rPr>
          <w:lang w:val="en-US"/>
        </w:rPr>
        <w:t xml:space="preserve"> (minimum/maximum depth of earthquakes)</w:t>
      </w:r>
      <w:r w:rsidR="00E6154E">
        <w:rPr>
          <w:lang w:val="en-US"/>
        </w:rPr>
        <w:t>.</w:t>
      </w:r>
      <w:r w:rsidR="00194ECB">
        <w:rPr>
          <w:lang w:val="en-US"/>
        </w:rPr>
        <w:t xml:space="preserve"> These </w:t>
      </w:r>
      <w:r w:rsidR="00A07F71">
        <w:rPr>
          <w:lang w:val="en-US"/>
        </w:rPr>
        <w:t>geologica data allow estimating:</w:t>
      </w:r>
    </w:p>
    <w:p w:rsidR="00E6154E" w:rsidRDefault="00003A03" w:rsidP="00860D1D">
      <w:pPr>
        <w:numPr>
          <w:ilvl w:val="0"/>
          <w:numId w:val="26"/>
        </w:numPr>
        <w:rPr>
          <w:lang w:val="en-US"/>
        </w:rPr>
      </w:pPr>
      <w:r>
        <w:rPr>
          <w:lang w:val="en-US"/>
        </w:rPr>
        <w:t>t</w:t>
      </w:r>
      <w:r w:rsidR="00F959E8">
        <w:rPr>
          <w:lang w:val="en-US"/>
        </w:rPr>
        <w:t>he m</w:t>
      </w:r>
      <w:r w:rsidR="00194ECB">
        <w:rPr>
          <w:lang w:val="en-US"/>
        </w:rPr>
        <w:t xml:space="preserve">aximum magnitude </w:t>
      </w:r>
      <w:r w:rsidR="00F959E8">
        <w:rPr>
          <w:lang w:val="en-US"/>
        </w:rPr>
        <w:t xml:space="preserve">of earthquakes produced by the fault </w:t>
      </w:r>
      <w:r w:rsidR="00194ECB">
        <w:rPr>
          <w:lang w:val="en-US"/>
        </w:rPr>
        <w:t xml:space="preserve">using empirical relationships between faulting </w:t>
      </w:r>
      <w:r w:rsidR="00CF01F8">
        <w:rPr>
          <w:lang w:val="en-US"/>
        </w:rPr>
        <w:t xml:space="preserve">parameters </w:t>
      </w:r>
      <w:r w:rsidR="00194ECB">
        <w:rPr>
          <w:lang w:val="en-US"/>
        </w:rPr>
        <w:t xml:space="preserve">and magnitude (e.g., Wells &amp; Coppersmith, 1994; </w:t>
      </w:r>
      <w:r w:rsidR="00B4632E">
        <w:rPr>
          <w:lang w:val="en-US"/>
        </w:rPr>
        <w:t xml:space="preserve">Vakov, 1996; </w:t>
      </w:r>
      <w:r w:rsidR="00CF01F8">
        <w:rPr>
          <w:lang w:val="en-US"/>
        </w:rPr>
        <w:t xml:space="preserve">Mohammadioun &amp; Serva, 2001; Striling et al., 2002; 2013). An in-depth discussion of </w:t>
      </w:r>
      <w:r w:rsidR="006A0241">
        <w:rPr>
          <w:lang w:val="en-US"/>
        </w:rPr>
        <w:t xml:space="preserve">the application of these methods and their uncertainties is provided by </w:t>
      </w:r>
      <w:r w:rsidR="00FF2828">
        <w:rPr>
          <w:lang w:val="en-US"/>
        </w:rPr>
        <w:t>Stirling &amp; Godet (2012)</w:t>
      </w:r>
      <w:r w:rsidR="00CF01F8">
        <w:rPr>
          <w:lang w:val="en-US"/>
        </w:rPr>
        <w:t xml:space="preserve"> </w:t>
      </w:r>
      <w:r w:rsidR="00FF2828">
        <w:rPr>
          <w:lang w:val="en-US"/>
        </w:rPr>
        <w:t>and IAEA (2015</w:t>
      </w:r>
      <w:r w:rsidR="00B07AE4">
        <w:rPr>
          <w:lang w:val="en-US"/>
        </w:rPr>
        <w:t>c</w:t>
      </w:r>
      <w:r w:rsidR="00FF2828">
        <w:rPr>
          <w:lang w:val="en-US"/>
        </w:rPr>
        <w:t xml:space="preserve">, 95 ff </w:t>
      </w:r>
      <w:r w:rsidR="00FF2828" w:rsidRPr="00152140">
        <w:rPr>
          <w:color w:val="2E74B5"/>
          <w:lang w:val="en-US"/>
        </w:rPr>
        <w:t>Tecdoc Palaeoseismol</w:t>
      </w:r>
      <w:r w:rsidR="00FF2828" w:rsidRPr="00152140">
        <w:rPr>
          <w:color w:val="2E74B5"/>
          <w:lang w:val="en-US"/>
        </w:rPr>
        <w:t>o</w:t>
      </w:r>
      <w:r w:rsidR="00FF2828" w:rsidRPr="00152140">
        <w:rPr>
          <w:color w:val="2E74B5"/>
          <w:lang w:val="en-US"/>
        </w:rPr>
        <w:t>gy</w:t>
      </w:r>
      <w:r w:rsidR="00FF2828">
        <w:rPr>
          <w:lang w:val="en-US"/>
        </w:rPr>
        <w:t>)</w:t>
      </w:r>
      <w:r>
        <w:rPr>
          <w:lang w:val="en-US"/>
        </w:rPr>
        <w:t>,</w:t>
      </w:r>
    </w:p>
    <w:p w:rsidR="006A0241" w:rsidRDefault="00003A03" w:rsidP="00860D1D">
      <w:pPr>
        <w:numPr>
          <w:ilvl w:val="0"/>
          <w:numId w:val="26"/>
        </w:numPr>
        <w:rPr>
          <w:lang w:val="en-US"/>
        </w:rPr>
      </w:pPr>
      <w:r>
        <w:rPr>
          <w:lang w:val="en-US"/>
        </w:rPr>
        <w:t>t</w:t>
      </w:r>
      <w:r w:rsidR="00F959E8">
        <w:rPr>
          <w:lang w:val="en-US"/>
        </w:rPr>
        <w:t>he r</w:t>
      </w:r>
      <w:r w:rsidR="006A0241">
        <w:rPr>
          <w:lang w:val="en-US"/>
        </w:rPr>
        <w:t>ecurrence intervals of earthquakes from geologically determined slip rates and fault dimensions.</w:t>
      </w:r>
    </w:p>
    <w:p w:rsidR="00231E16" w:rsidRDefault="00231E16" w:rsidP="001E2D8C">
      <w:pPr>
        <w:rPr>
          <w:lang w:val="en-US"/>
        </w:rPr>
      </w:pPr>
    </w:p>
    <w:p w:rsidR="001E2D8C" w:rsidRDefault="00F959E8" w:rsidP="001E2D8C">
      <w:pPr>
        <w:rPr>
          <w:lang w:val="en-US"/>
        </w:rPr>
      </w:pPr>
      <w:r>
        <w:rPr>
          <w:lang w:val="en-US"/>
        </w:rPr>
        <w:t xml:space="preserve">Both, the estimates of maximum magnitudes and recurrence intervals of strong earthquakes should be compared to and validated by paleoseismological </w:t>
      </w:r>
      <w:r w:rsidR="007A30C9">
        <w:rPr>
          <w:lang w:val="en-US"/>
        </w:rPr>
        <w:t>trenching</w:t>
      </w:r>
      <w:r w:rsidR="005C624C">
        <w:rPr>
          <w:lang w:val="en-US"/>
        </w:rPr>
        <w:t xml:space="preserve"> (see IAEA, 2015</w:t>
      </w:r>
      <w:r w:rsidR="00B07AE4">
        <w:rPr>
          <w:lang w:val="en-US"/>
        </w:rPr>
        <w:t>c</w:t>
      </w:r>
      <w:r w:rsidR="005C624C">
        <w:rPr>
          <w:lang w:val="en-US"/>
        </w:rPr>
        <w:t xml:space="preserve"> and McCalpin, 2009 for additional guidance)</w:t>
      </w:r>
      <w:r>
        <w:rPr>
          <w:lang w:val="en-US"/>
        </w:rPr>
        <w:t>.</w:t>
      </w:r>
    </w:p>
    <w:p w:rsidR="00E57F6C" w:rsidRDefault="00E57F6C" w:rsidP="001E2D8C">
      <w:pPr>
        <w:rPr>
          <w:lang w:val="en-US"/>
        </w:rPr>
      </w:pPr>
    </w:p>
    <w:p w:rsidR="00231E16" w:rsidRDefault="00E57F6C" w:rsidP="001E2D8C">
      <w:pPr>
        <w:rPr>
          <w:lang w:val="en-US"/>
        </w:rPr>
      </w:pPr>
      <w:r>
        <w:rPr>
          <w:lang w:val="en-US"/>
        </w:rPr>
        <w:t>Probabilistic Fault Displacement Hazard Analyses (PFDHA) require very detailed data to characterize the faults under consideration. Data need to characterize faults in terms of slip rate, event recurrence intervals, magnitude and direction of slip events (fault displacements), existence of secondary faults and fractures etc. (</w:t>
      </w:r>
      <w:r w:rsidR="00A07F71">
        <w:rPr>
          <w:lang w:val="en-US"/>
        </w:rPr>
        <w:t>compare IAEA, 2010, chapter 8).</w:t>
      </w:r>
    </w:p>
    <w:p w:rsidR="001E2D8C" w:rsidRPr="006628F7" w:rsidRDefault="001E2D8C" w:rsidP="00F10FCA">
      <w:pPr>
        <w:pStyle w:val="Titre3"/>
        <w:rPr>
          <w:lang w:val="fr-FR"/>
        </w:rPr>
      </w:pPr>
      <w:bookmarkStart w:id="145" w:name="_Ref451421472"/>
      <w:bookmarkStart w:id="146" w:name="_Ref451421479"/>
      <w:bookmarkStart w:id="147" w:name="_Ref451427592"/>
      <w:bookmarkStart w:id="148" w:name="_Toc456011907"/>
      <w:r w:rsidRPr="006628F7">
        <w:rPr>
          <w:lang w:val="fr-FR"/>
        </w:rPr>
        <w:t xml:space="preserve">Seismic </w:t>
      </w:r>
      <w:r w:rsidR="00521403" w:rsidRPr="006628F7">
        <w:rPr>
          <w:lang w:val="fr-FR"/>
        </w:rPr>
        <w:t xml:space="preserve">source </w:t>
      </w:r>
      <w:r w:rsidRPr="006628F7">
        <w:rPr>
          <w:lang w:val="fr-FR"/>
        </w:rPr>
        <w:t>zon</w:t>
      </w:r>
      <w:r w:rsidR="00521403" w:rsidRPr="006628F7">
        <w:rPr>
          <w:lang w:val="fr-FR"/>
        </w:rPr>
        <w:t>es (Zones of diffuse seismicity)</w:t>
      </w:r>
      <w:bookmarkEnd w:id="145"/>
      <w:bookmarkEnd w:id="146"/>
      <w:bookmarkEnd w:id="147"/>
      <w:bookmarkEnd w:id="148"/>
    </w:p>
    <w:p w:rsidR="00827C57" w:rsidRDefault="00521403" w:rsidP="00F10FCA">
      <w:pPr>
        <w:rPr>
          <w:lang w:val="en-US"/>
        </w:rPr>
      </w:pPr>
      <w:r>
        <w:rPr>
          <w:lang w:val="en-US"/>
        </w:rPr>
        <w:t xml:space="preserve">Seismic source zones (also referred to as zones of diffuse seismicity, IAEA, 2010; area sources, NAGRA, 2004) are defined as a region (or volume) of the Earth that is assumed to have uniform seismological characterisitcs with respect to the rate of seismicity, the depth distribution of earthquakes, and </w:t>
      </w:r>
      <w:r w:rsidR="00827C57">
        <w:rPr>
          <w:lang w:val="en-US"/>
        </w:rPr>
        <w:t>maximum magnitude (</w:t>
      </w:r>
      <w:r w:rsidR="00B52555">
        <w:rPr>
          <w:lang w:val="en-US"/>
        </w:rPr>
        <w:t>M</w:t>
      </w:r>
      <w:r w:rsidR="00B52555" w:rsidRPr="00B52555">
        <w:rPr>
          <w:vertAlign w:val="subscript"/>
          <w:lang w:val="en-US"/>
        </w:rPr>
        <w:t>max</w:t>
      </w:r>
      <w:r w:rsidR="00B52555">
        <w:rPr>
          <w:lang w:val="en-US"/>
        </w:rPr>
        <w:t xml:space="preserve">, </w:t>
      </w:r>
      <w:r w:rsidR="00827C57">
        <w:rPr>
          <w:lang w:val="en-US"/>
        </w:rPr>
        <w:t>see b</w:t>
      </w:r>
      <w:r w:rsidR="00827C57">
        <w:rPr>
          <w:lang w:val="en-US"/>
        </w:rPr>
        <w:t>e</w:t>
      </w:r>
      <w:r w:rsidR="00827C57">
        <w:rPr>
          <w:lang w:val="en-US"/>
        </w:rPr>
        <w:t>low).</w:t>
      </w:r>
      <w:r w:rsidR="00161386">
        <w:rPr>
          <w:lang w:val="en-US"/>
        </w:rPr>
        <w:t xml:space="preserve"> Source zones are defined as an area delimited by a polygon in a geographical coordinate space.</w:t>
      </w:r>
      <w:r w:rsidR="00502BA8" w:rsidRPr="00502BA8">
        <w:rPr>
          <w:lang w:val="en-US"/>
        </w:rPr>
        <w:t xml:space="preserve"> </w:t>
      </w:r>
      <w:r w:rsidR="00502BA8">
        <w:rPr>
          <w:lang w:val="en-US"/>
        </w:rPr>
        <w:t>Source zone boundaries consequently delimit areas with different sets of seismicity parameters.</w:t>
      </w:r>
    </w:p>
    <w:p w:rsidR="00F30422" w:rsidRDefault="00F30422" w:rsidP="00F10FCA">
      <w:pPr>
        <w:rPr>
          <w:lang w:val="en-US"/>
        </w:rPr>
      </w:pPr>
    </w:p>
    <w:p w:rsidR="00521403" w:rsidRDefault="00F30422" w:rsidP="00F10FCA">
      <w:pPr>
        <w:rPr>
          <w:lang w:val="en-US"/>
        </w:rPr>
      </w:pPr>
      <w:r>
        <w:rPr>
          <w:lang w:val="en-US"/>
        </w:rPr>
        <w:t>Due to the fact that source zones are regarded homogeneous with respect to the seismicity rates</w:t>
      </w:r>
      <w:r w:rsidR="00502BA8">
        <w:rPr>
          <w:rStyle w:val="Appelnotedebasdep"/>
          <w:lang w:val="en-US"/>
        </w:rPr>
        <w:footnoteReference w:id="9"/>
      </w:r>
      <w:r w:rsidR="00003A03">
        <w:rPr>
          <w:lang w:val="en-US"/>
        </w:rPr>
        <w:t>,</w:t>
      </w:r>
      <w:r>
        <w:rPr>
          <w:lang w:val="en-US"/>
        </w:rPr>
        <w:t xml:space="preserve"> their geom</w:t>
      </w:r>
      <w:r>
        <w:rPr>
          <w:lang w:val="en-US"/>
        </w:rPr>
        <w:t>e</w:t>
      </w:r>
      <w:r>
        <w:rPr>
          <w:lang w:val="en-US"/>
        </w:rPr>
        <w:t xml:space="preserve">tries have a very large potential effect on hazard evaluations. An </w:t>
      </w:r>
      <w:r w:rsidR="008C4523">
        <w:rPr>
          <w:lang w:val="en-US"/>
        </w:rPr>
        <w:t>extreme example is shown in</w:t>
      </w:r>
      <w:r>
        <w:rPr>
          <w:lang w:val="en-US"/>
        </w:rPr>
        <w:t xml:space="preserve"> </w:t>
      </w:r>
      <w:r w:rsidR="00B07AE4">
        <w:rPr>
          <w:highlight w:val="yellow"/>
          <w:lang w:val="en-US"/>
        </w:rPr>
        <w:fldChar w:fldCharType="begin"/>
      </w:r>
      <w:r w:rsidR="00B07AE4">
        <w:rPr>
          <w:lang w:val="en-US"/>
        </w:rPr>
        <w:instrText xml:space="preserve"> REF _Ref451165153 \h </w:instrText>
      </w:r>
      <w:r w:rsidR="00B07AE4">
        <w:rPr>
          <w:highlight w:val="yellow"/>
          <w:lang w:val="en-US"/>
        </w:rPr>
      </w:r>
      <w:r w:rsidR="00B07AE4">
        <w:rPr>
          <w:highlight w:val="yellow"/>
          <w:lang w:val="en-US"/>
        </w:rPr>
        <w:fldChar w:fldCharType="separate"/>
      </w:r>
      <w:r w:rsidR="00173034">
        <w:t xml:space="preserve">Figure </w:t>
      </w:r>
      <w:r w:rsidR="00173034">
        <w:rPr>
          <w:noProof/>
        </w:rPr>
        <w:t>15</w:t>
      </w:r>
      <w:r w:rsidR="00B07AE4">
        <w:rPr>
          <w:highlight w:val="yellow"/>
          <w:lang w:val="en-US"/>
        </w:rPr>
        <w:fldChar w:fldCharType="end"/>
      </w:r>
      <w:r w:rsidR="008C4523">
        <w:rPr>
          <w:lang w:val="en-US"/>
        </w:rPr>
        <w:t xml:space="preserve"> </w:t>
      </w:r>
      <w:r>
        <w:rPr>
          <w:lang w:val="en-US"/>
        </w:rPr>
        <w:t>where in one case a site is “fenced” from a higher seismicity by a source zone boundary preventing higher seismicity rates to “enter” to the site</w:t>
      </w:r>
      <w:r w:rsidR="00502BA8">
        <w:rPr>
          <w:lang w:val="en-US"/>
        </w:rPr>
        <w:t xml:space="preserve">, and a second </w:t>
      </w:r>
      <w:r>
        <w:rPr>
          <w:lang w:val="en-US"/>
        </w:rPr>
        <w:t xml:space="preserve">case </w:t>
      </w:r>
      <w:r w:rsidR="00502BA8">
        <w:rPr>
          <w:lang w:val="en-US"/>
        </w:rPr>
        <w:t xml:space="preserve">where </w:t>
      </w:r>
      <w:r>
        <w:rPr>
          <w:lang w:val="en-US"/>
        </w:rPr>
        <w:t>high seismicity is un</w:t>
      </w:r>
      <w:r w:rsidR="00A07F71">
        <w:rPr>
          <w:lang w:val="en-US"/>
        </w:rPr>
        <w:t>duely spread over a large area.</w:t>
      </w:r>
    </w:p>
    <w:p w:rsidR="00F30422" w:rsidRDefault="00F30422" w:rsidP="00F10FCA">
      <w:pPr>
        <w:rPr>
          <w:lang w:val="en-US"/>
        </w:rPr>
      </w:pPr>
    </w:p>
    <w:p w:rsidR="008C4523" w:rsidRDefault="00FA7DEE" w:rsidP="00F10FCA">
      <w:pPr>
        <w:rPr>
          <w:lang w:val="en-US"/>
        </w:rPr>
      </w:pPr>
      <w:r>
        <w:rPr>
          <w:lang w:val="en-US"/>
        </w:rPr>
        <w:lastRenderedPageBreak/>
        <w:pict>
          <v:shape id="_x0000_i1047" type="#_x0000_t75" style="width:467.7pt;height:177.15pt">
            <v:imagedata r:id="rId77" o:title="Fig_Source_Zones"/>
          </v:shape>
        </w:pict>
      </w:r>
    </w:p>
    <w:p w:rsidR="008C4523" w:rsidRDefault="008C4523" w:rsidP="00F10FCA">
      <w:pPr>
        <w:rPr>
          <w:lang w:val="en-US"/>
        </w:rPr>
      </w:pPr>
    </w:p>
    <w:p w:rsidR="008C4523" w:rsidRDefault="00B07AE4" w:rsidP="008C4523">
      <w:pPr>
        <w:pStyle w:val="Lgende"/>
        <w:jc w:val="center"/>
        <w:rPr>
          <w:i/>
        </w:rPr>
      </w:pPr>
      <w:bookmarkStart w:id="149" w:name="_Ref451165153"/>
      <w:bookmarkStart w:id="150" w:name="_Toc456012051"/>
      <w:r>
        <w:t xml:space="preserve">Figure </w:t>
      </w:r>
      <w:r>
        <w:fldChar w:fldCharType="begin"/>
      </w:r>
      <w:r>
        <w:instrText xml:space="preserve"> SEQ Figure \* ARABIC </w:instrText>
      </w:r>
      <w:r>
        <w:fldChar w:fldCharType="separate"/>
      </w:r>
      <w:r w:rsidR="00173034">
        <w:rPr>
          <w:noProof/>
        </w:rPr>
        <w:t>15</w:t>
      </w:r>
      <w:r>
        <w:fldChar w:fldCharType="end"/>
      </w:r>
      <w:bookmarkEnd w:id="149"/>
      <w:r>
        <w:t xml:space="preserve">. </w:t>
      </w:r>
      <w:r w:rsidR="008C4523">
        <w:t xml:space="preserve">Examples of unreasonable seismic source zone definitions. </w:t>
      </w:r>
      <w:r w:rsidR="008C4523" w:rsidRPr="006628F7">
        <w:rPr>
          <w:lang w:val="fr-FR"/>
        </w:rPr>
        <w:t>(1) Source zones B and C divide a co</w:t>
      </w:r>
      <w:r w:rsidR="008C4523" w:rsidRPr="006628F7">
        <w:rPr>
          <w:lang w:val="fr-FR"/>
        </w:rPr>
        <w:t>n</w:t>
      </w:r>
      <w:r w:rsidR="008C4523" w:rsidRPr="006628F7">
        <w:rPr>
          <w:lang w:val="fr-FR"/>
        </w:rPr>
        <w:t xml:space="preserve">tinuous fault zone. </w:t>
      </w:r>
      <w:r w:rsidR="008C4523">
        <w:t>(2) High seismicity in source zone C (prob</w:t>
      </w:r>
      <w:r w:rsidR="00A1327C">
        <w:t>ab</w:t>
      </w:r>
      <w:r w:rsidR="008C4523">
        <w:t xml:space="preserve">ly related to a seismic swarm) is unduely spread over a large area. (3) Source zone C “fences” a facility from other source zones with higher seismicity.   </w:t>
      </w:r>
      <w:r w:rsidR="008C4523" w:rsidRPr="00923C7F">
        <w:rPr>
          <w:i/>
        </w:rPr>
        <w:t>[</w:t>
      </w:r>
      <w:r w:rsidR="00EC3235" w:rsidRPr="00EC3235">
        <w:rPr>
          <w:i/>
        </w:rPr>
        <w:t>Fig_Source_Zones</w:t>
      </w:r>
      <w:r w:rsidR="008C4523" w:rsidRPr="00923C7F">
        <w:rPr>
          <w:i/>
        </w:rPr>
        <w:t>.JPG]</w:t>
      </w:r>
      <w:bookmarkEnd w:id="150"/>
    </w:p>
    <w:p w:rsidR="00A33966" w:rsidRDefault="00A33966" w:rsidP="00F10FCA">
      <w:pPr>
        <w:rPr>
          <w:lang w:val="en-US"/>
        </w:rPr>
      </w:pPr>
    </w:p>
    <w:p w:rsidR="005A2D11" w:rsidRDefault="005A2D11" w:rsidP="00F10FCA">
      <w:pPr>
        <w:rPr>
          <w:lang w:val="en-US"/>
        </w:rPr>
      </w:pPr>
      <w:r>
        <w:rPr>
          <w:lang w:val="en-US"/>
        </w:rPr>
        <w:t xml:space="preserve">The definition of source zones and their boundaries is based on the seismotectonic model (or several alternative models) developed for the region of interest. The delineation of source zone boundaries should account for </w:t>
      </w:r>
      <w:r w:rsidR="00A07F71">
        <w:rPr>
          <w:lang w:val="en-US"/>
        </w:rPr>
        <w:t>the following</w:t>
      </w:r>
      <w:r>
        <w:rPr>
          <w:lang w:val="en-US"/>
        </w:rPr>
        <w:t>:</w:t>
      </w:r>
    </w:p>
    <w:p w:rsidR="00CD7AA3" w:rsidRDefault="00CD7AA3" w:rsidP="00860D1D">
      <w:pPr>
        <w:numPr>
          <w:ilvl w:val="0"/>
          <w:numId w:val="34"/>
        </w:numPr>
        <w:rPr>
          <w:lang w:val="en-US"/>
        </w:rPr>
      </w:pPr>
      <w:r>
        <w:rPr>
          <w:lang w:val="en-US"/>
        </w:rPr>
        <w:t>Lithosphaeric and /or crustal structure (</w:t>
      </w:r>
      <w:r w:rsidR="000C5BD6">
        <w:rPr>
          <w:lang w:val="en-US"/>
        </w:rPr>
        <w:t xml:space="preserve">including </w:t>
      </w:r>
      <w:r>
        <w:rPr>
          <w:lang w:val="en-US"/>
        </w:rPr>
        <w:t>crustal thickness</w:t>
      </w:r>
      <w:r w:rsidR="000C5BD6">
        <w:rPr>
          <w:lang w:val="en-US"/>
        </w:rPr>
        <w:t xml:space="preserve"> / </w:t>
      </w:r>
      <w:r>
        <w:rPr>
          <w:lang w:val="en-US"/>
        </w:rPr>
        <w:t>MOHO depth</w:t>
      </w:r>
      <w:r w:rsidR="0073014E">
        <w:rPr>
          <w:lang w:val="en-US"/>
        </w:rPr>
        <w:t>, subducting slabs</w:t>
      </w:r>
      <w:r>
        <w:rPr>
          <w:lang w:val="en-US"/>
        </w:rPr>
        <w:t xml:space="preserve">) </w:t>
      </w:r>
      <w:r w:rsidR="0073014E">
        <w:rPr>
          <w:lang w:val="en-US"/>
        </w:rPr>
        <w:t>d</w:t>
      </w:r>
      <w:r w:rsidR="0073014E">
        <w:rPr>
          <w:lang w:val="en-US"/>
        </w:rPr>
        <w:t>e</w:t>
      </w:r>
      <w:r w:rsidR="0073014E">
        <w:rPr>
          <w:lang w:val="en-US"/>
        </w:rPr>
        <w:t>lineating large-scale geological and rheological units</w:t>
      </w:r>
      <w:r w:rsidR="00E801CC">
        <w:rPr>
          <w:lang w:val="en-US"/>
        </w:rPr>
        <w:t>;</w:t>
      </w:r>
    </w:p>
    <w:p w:rsidR="00CD7AA3" w:rsidRDefault="00CD7AA3" w:rsidP="00860D1D">
      <w:pPr>
        <w:numPr>
          <w:ilvl w:val="0"/>
          <w:numId w:val="34"/>
        </w:numPr>
        <w:rPr>
          <w:lang w:val="en-US"/>
        </w:rPr>
      </w:pPr>
      <w:r>
        <w:rPr>
          <w:lang w:val="en-US"/>
        </w:rPr>
        <w:t>Tectonic evolution an</w:t>
      </w:r>
      <w:r w:rsidR="00E801CC">
        <w:rPr>
          <w:lang w:val="en-US"/>
        </w:rPr>
        <w:t>d long-term deformation history;</w:t>
      </w:r>
    </w:p>
    <w:p w:rsidR="00CD7AA3" w:rsidRDefault="00CD7AA3" w:rsidP="00860D1D">
      <w:pPr>
        <w:numPr>
          <w:ilvl w:val="0"/>
          <w:numId w:val="34"/>
        </w:numPr>
        <w:rPr>
          <w:lang w:val="en-US"/>
        </w:rPr>
      </w:pPr>
      <w:r>
        <w:rPr>
          <w:lang w:val="en-US"/>
        </w:rPr>
        <w:t>Tectonic structures (fault orientation, style of faulting)</w:t>
      </w:r>
      <w:r w:rsidR="00E801CC">
        <w:rPr>
          <w:lang w:val="en-US"/>
        </w:rPr>
        <w:t>;</w:t>
      </w:r>
    </w:p>
    <w:p w:rsidR="000C5BD6" w:rsidRDefault="00CD7AA3" w:rsidP="00860D1D">
      <w:pPr>
        <w:numPr>
          <w:ilvl w:val="0"/>
          <w:numId w:val="34"/>
        </w:numPr>
        <w:rPr>
          <w:lang w:val="en-US"/>
        </w:rPr>
      </w:pPr>
      <w:r>
        <w:rPr>
          <w:lang w:val="en-US"/>
        </w:rPr>
        <w:t>Current t</w:t>
      </w:r>
      <w:r w:rsidR="005A2D11">
        <w:rPr>
          <w:lang w:val="en-US"/>
        </w:rPr>
        <w:t>ectonic regime</w:t>
      </w:r>
      <w:r w:rsidR="000C5BD6">
        <w:rPr>
          <w:lang w:val="en-US"/>
        </w:rPr>
        <w:t xml:space="preserve"> and</w:t>
      </w:r>
      <w:r>
        <w:rPr>
          <w:lang w:val="en-US"/>
        </w:rPr>
        <w:t xml:space="preserve"> </w:t>
      </w:r>
      <w:r w:rsidR="005A2D11">
        <w:rPr>
          <w:lang w:val="en-US"/>
        </w:rPr>
        <w:t>states of stress</w:t>
      </w:r>
      <w:r w:rsidR="00E801CC">
        <w:rPr>
          <w:lang w:val="en-US"/>
        </w:rPr>
        <w:t>;</w:t>
      </w:r>
    </w:p>
    <w:p w:rsidR="005A2D11" w:rsidRDefault="000C5BD6" w:rsidP="00860D1D">
      <w:pPr>
        <w:numPr>
          <w:ilvl w:val="0"/>
          <w:numId w:val="34"/>
        </w:numPr>
        <w:rPr>
          <w:lang w:val="en-US"/>
        </w:rPr>
      </w:pPr>
      <w:r>
        <w:rPr>
          <w:lang w:val="en-US"/>
        </w:rPr>
        <w:t>K</w:t>
      </w:r>
      <w:r w:rsidR="00F30422">
        <w:rPr>
          <w:lang w:val="en-US"/>
        </w:rPr>
        <w:t>inematics of seismic rupture</w:t>
      </w:r>
      <w:r w:rsidR="0073014E">
        <w:rPr>
          <w:lang w:val="en-US"/>
        </w:rPr>
        <w:t>s</w:t>
      </w:r>
      <w:r w:rsidR="00F30422">
        <w:rPr>
          <w:lang w:val="en-US"/>
        </w:rPr>
        <w:t xml:space="preserve"> determined from focal </w:t>
      </w:r>
      <w:r>
        <w:rPr>
          <w:lang w:val="en-US"/>
        </w:rPr>
        <w:t>mechanisms</w:t>
      </w:r>
      <w:r w:rsidR="00E801CC">
        <w:rPr>
          <w:lang w:val="en-US"/>
        </w:rPr>
        <w:t>;</w:t>
      </w:r>
    </w:p>
    <w:p w:rsidR="00F30422" w:rsidRDefault="00F30422" w:rsidP="00860D1D">
      <w:pPr>
        <w:numPr>
          <w:ilvl w:val="0"/>
          <w:numId w:val="34"/>
        </w:numPr>
        <w:rPr>
          <w:lang w:val="en-US"/>
        </w:rPr>
      </w:pPr>
      <w:r>
        <w:rPr>
          <w:lang w:val="en-US"/>
        </w:rPr>
        <w:t>Depth of the brittle-ductile transition. The brittle-ductile transition</w:t>
      </w:r>
      <w:r w:rsidR="0073014E">
        <w:rPr>
          <w:lang w:val="en-US"/>
        </w:rPr>
        <w:t xml:space="preserve"> </w:t>
      </w:r>
      <w:r>
        <w:rPr>
          <w:lang w:val="en-US"/>
        </w:rPr>
        <w:t>governs the depth distribution of earthquake hypocentres. It is in turn controlled by the crustal structure and the thermal</w:t>
      </w:r>
      <w:r w:rsidR="00E801CC">
        <w:rPr>
          <w:lang w:val="en-US"/>
        </w:rPr>
        <w:t xml:space="preserve"> state (heat flow) of the crust;</w:t>
      </w:r>
    </w:p>
    <w:p w:rsidR="00F30422" w:rsidRDefault="00F30422" w:rsidP="00860D1D">
      <w:pPr>
        <w:numPr>
          <w:ilvl w:val="0"/>
          <w:numId w:val="34"/>
        </w:numPr>
        <w:rPr>
          <w:lang w:val="en-US"/>
        </w:rPr>
      </w:pPr>
      <w:r>
        <w:rPr>
          <w:lang w:val="en-US"/>
        </w:rPr>
        <w:t>Depth distribution of earthquake hypocentres</w:t>
      </w:r>
      <w:r w:rsidR="00E801CC">
        <w:rPr>
          <w:lang w:val="en-US"/>
        </w:rPr>
        <w:t>;</w:t>
      </w:r>
    </w:p>
    <w:p w:rsidR="00161386" w:rsidRDefault="005A2D11" w:rsidP="00860D1D">
      <w:pPr>
        <w:numPr>
          <w:ilvl w:val="0"/>
          <w:numId w:val="34"/>
        </w:numPr>
        <w:rPr>
          <w:lang w:val="en-US"/>
        </w:rPr>
      </w:pPr>
      <w:r>
        <w:rPr>
          <w:lang w:val="en-US"/>
        </w:rPr>
        <w:t>Significant differences of the rate of occurrence of earthquakes which may be indicative for distinct te</w:t>
      </w:r>
      <w:r>
        <w:rPr>
          <w:lang w:val="en-US"/>
        </w:rPr>
        <w:t>c</w:t>
      </w:r>
      <w:r w:rsidR="00A07F71">
        <w:rPr>
          <w:lang w:val="en-US"/>
        </w:rPr>
        <w:t>tonic conditions.</w:t>
      </w:r>
    </w:p>
    <w:p w:rsidR="00161386" w:rsidRDefault="00161386" w:rsidP="00161386">
      <w:pPr>
        <w:rPr>
          <w:lang w:val="en-US"/>
        </w:rPr>
      </w:pPr>
    </w:p>
    <w:p w:rsidR="00AC6E24" w:rsidRDefault="00FA0D04" w:rsidP="00161386">
      <w:pPr>
        <w:rPr>
          <w:lang w:val="en-US"/>
        </w:rPr>
      </w:pPr>
      <w:r>
        <w:rPr>
          <w:lang w:val="en-US"/>
        </w:rPr>
        <w:br w:type="page"/>
      </w:r>
      <w:r w:rsidR="00161386">
        <w:rPr>
          <w:lang w:val="en-US"/>
        </w:rPr>
        <w:lastRenderedPageBreak/>
        <w:t>Building seismic source zones e</w:t>
      </w:r>
      <w:r w:rsidR="0073014E">
        <w:rPr>
          <w:lang w:val="en-US"/>
        </w:rPr>
        <w:t xml:space="preserve">xclusively on seismicity rates </w:t>
      </w:r>
      <w:r w:rsidR="00161386">
        <w:rPr>
          <w:lang w:val="en-US"/>
        </w:rPr>
        <w:t xml:space="preserve">is not recommended and may be grossly misleading as the rate of earthquake recurrence </w:t>
      </w:r>
      <w:r w:rsidR="00AC6E24">
        <w:rPr>
          <w:lang w:val="en-US"/>
        </w:rPr>
        <w:t>obtained from historical / instrumental data may be not stationary over long (geological) time intervals</w:t>
      </w:r>
      <w:r w:rsidR="003830FD">
        <w:rPr>
          <w:rStyle w:val="Appelnotedebasdep"/>
          <w:lang w:val="en-US"/>
        </w:rPr>
        <w:footnoteReference w:id="10"/>
      </w:r>
      <w:r w:rsidR="000C5BD6">
        <w:rPr>
          <w:lang w:val="en-US"/>
        </w:rPr>
        <w:t xml:space="preserve">. Extrapolating the seismicity rate </w:t>
      </w:r>
      <w:r w:rsidR="003830FD">
        <w:rPr>
          <w:lang w:val="en-US"/>
        </w:rPr>
        <w:t xml:space="preserve">derived from observations through a </w:t>
      </w:r>
      <w:r w:rsidR="000C5BD6">
        <w:rPr>
          <w:lang w:val="en-US"/>
        </w:rPr>
        <w:t>geologically insignificant time window</w:t>
      </w:r>
      <w:r w:rsidR="003830FD">
        <w:rPr>
          <w:lang w:val="en-US"/>
        </w:rPr>
        <w:t xml:space="preserve"> may therefore lead to wrong estimates of the long-term seismicity rates which are a</w:t>
      </w:r>
      <w:r w:rsidR="003830FD">
        <w:rPr>
          <w:lang w:val="en-US"/>
        </w:rPr>
        <w:t>d</w:t>
      </w:r>
      <w:r w:rsidR="003830FD">
        <w:rPr>
          <w:lang w:val="en-US"/>
        </w:rPr>
        <w:t xml:space="preserve">dressed by </w:t>
      </w:r>
      <w:r w:rsidR="00AC6E24">
        <w:rPr>
          <w:lang w:val="en-US"/>
        </w:rPr>
        <w:t xml:space="preserve">seismic hazard evaluation for NPPs </w:t>
      </w:r>
      <w:r w:rsidR="003830FD">
        <w:rPr>
          <w:lang w:val="en-US"/>
        </w:rPr>
        <w:t xml:space="preserve">which </w:t>
      </w:r>
      <w:r w:rsidR="00AC6E24">
        <w:rPr>
          <w:lang w:val="en-US"/>
        </w:rPr>
        <w:t>aim</w:t>
      </w:r>
      <w:r w:rsidR="003830FD">
        <w:rPr>
          <w:lang w:val="en-US"/>
        </w:rPr>
        <w:t>s</w:t>
      </w:r>
      <w:r w:rsidR="00AC6E24">
        <w:rPr>
          <w:lang w:val="en-US"/>
        </w:rPr>
        <w:t xml:space="preserve"> for providing </w:t>
      </w:r>
      <w:r w:rsidR="0073014E">
        <w:rPr>
          <w:lang w:val="en-US"/>
        </w:rPr>
        <w:t>data</w:t>
      </w:r>
      <w:r w:rsidR="00AC6E24">
        <w:rPr>
          <w:lang w:val="en-US"/>
        </w:rPr>
        <w:t xml:space="preserve"> for very low occurrence probabilities / very long recurrence intervals</w:t>
      </w:r>
      <w:r w:rsidR="00A07F71">
        <w:rPr>
          <w:lang w:val="en-US"/>
        </w:rPr>
        <w:t>.</w:t>
      </w:r>
    </w:p>
    <w:p w:rsidR="003830FD" w:rsidRDefault="003830FD" w:rsidP="00161386">
      <w:pPr>
        <w:rPr>
          <w:lang w:val="en-US"/>
        </w:rPr>
      </w:pPr>
    </w:p>
    <w:p w:rsidR="001E2D8C" w:rsidRDefault="00827C57" w:rsidP="00F10FCA">
      <w:pPr>
        <w:pStyle w:val="Titre3"/>
        <w:rPr>
          <w:lang w:val="en-US"/>
        </w:rPr>
      </w:pPr>
      <w:r>
        <w:rPr>
          <w:lang w:val="en-US"/>
        </w:rPr>
        <w:br w:type="page"/>
      </w:r>
      <w:bookmarkStart w:id="151" w:name="_Ref451421917"/>
      <w:bookmarkStart w:id="152" w:name="_Ref451421930"/>
      <w:bookmarkStart w:id="153" w:name="_Toc456011908"/>
      <w:r w:rsidR="001E2D8C">
        <w:rPr>
          <w:lang w:val="en-US"/>
        </w:rPr>
        <w:lastRenderedPageBreak/>
        <w:t>Ground motion prediction equations</w:t>
      </w:r>
      <w:bookmarkEnd w:id="151"/>
      <w:bookmarkEnd w:id="152"/>
      <w:bookmarkEnd w:id="153"/>
    </w:p>
    <w:p w:rsidR="0001235A" w:rsidRDefault="00524CC6" w:rsidP="001E2D8C">
      <w:pPr>
        <w:rPr>
          <w:lang w:val="en-US"/>
        </w:rPr>
      </w:pPr>
      <w:r>
        <w:rPr>
          <w:lang w:val="en-US"/>
        </w:rPr>
        <w:t>Gro</w:t>
      </w:r>
      <w:r w:rsidR="00727381">
        <w:rPr>
          <w:lang w:val="en-US"/>
        </w:rPr>
        <w:t xml:space="preserve">und motion prediction equations </w:t>
      </w:r>
      <w:r w:rsidR="00C67888">
        <w:rPr>
          <w:lang w:val="en-US"/>
        </w:rPr>
        <w:t xml:space="preserve">(GMPEs) </w:t>
      </w:r>
      <w:r w:rsidR="00727381">
        <w:rPr>
          <w:lang w:val="en-US"/>
        </w:rPr>
        <w:t>and attenuation models are used to relate seismic ground motion parameters (such as ground acceleration, spectral acceleration, peak velocity, shaking duration) to magnitude and distance from the seismic source</w:t>
      </w:r>
      <w:r w:rsidR="00C33648">
        <w:rPr>
          <w:lang w:val="en-US"/>
        </w:rPr>
        <w:t xml:space="preserve"> (</w:t>
      </w:r>
      <w:r w:rsidR="00041411">
        <w:rPr>
          <w:lang w:val="en-US"/>
        </w:rPr>
        <w:fldChar w:fldCharType="begin"/>
      </w:r>
      <w:r w:rsidR="00041411">
        <w:rPr>
          <w:lang w:val="en-US"/>
        </w:rPr>
        <w:instrText xml:space="preserve"> REF _Ref451165451 \h </w:instrText>
      </w:r>
      <w:r w:rsidR="00041411">
        <w:rPr>
          <w:lang w:val="en-US"/>
        </w:rPr>
      </w:r>
      <w:r w:rsidR="00041411">
        <w:rPr>
          <w:lang w:val="en-US"/>
        </w:rPr>
        <w:fldChar w:fldCharType="separate"/>
      </w:r>
      <w:r w:rsidR="00173034">
        <w:t xml:space="preserve">Figure </w:t>
      </w:r>
      <w:r w:rsidR="00173034">
        <w:rPr>
          <w:noProof/>
        </w:rPr>
        <w:t>20</w:t>
      </w:r>
      <w:r w:rsidR="00041411">
        <w:rPr>
          <w:lang w:val="en-US"/>
        </w:rPr>
        <w:fldChar w:fldCharType="end"/>
      </w:r>
      <w:r w:rsidR="00C33648">
        <w:rPr>
          <w:lang w:val="en-US"/>
        </w:rPr>
        <w:t>)</w:t>
      </w:r>
      <w:r w:rsidR="00727381">
        <w:rPr>
          <w:lang w:val="en-US"/>
        </w:rPr>
        <w:t xml:space="preserve">. </w:t>
      </w:r>
      <w:r w:rsidR="0001235A">
        <w:rPr>
          <w:lang w:val="en-US"/>
        </w:rPr>
        <w:t>GMPEs should include algorithms for predicting the median ampl</w:t>
      </w:r>
      <w:r w:rsidR="0001235A">
        <w:rPr>
          <w:lang w:val="en-US"/>
        </w:rPr>
        <w:t>i</w:t>
      </w:r>
      <w:r w:rsidR="0001235A">
        <w:rPr>
          <w:lang w:val="en-US"/>
        </w:rPr>
        <w:t>tude, an algorithm describing the variability (standard deviation) of the scatter of observations for the same ma</w:t>
      </w:r>
      <w:r w:rsidR="0001235A">
        <w:rPr>
          <w:lang w:val="en-US"/>
        </w:rPr>
        <w:t>g</w:t>
      </w:r>
      <w:r w:rsidR="0001235A">
        <w:rPr>
          <w:lang w:val="en-US"/>
        </w:rPr>
        <w:t>nitude and distance, and the maximum ground motion that can occur (</w:t>
      </w:r>
      <w:r w:rsidR="00C33648">
        <w:rPr>
          <w:lang w:val="en-US"/>
        </w:rPr>
        <w:t>NAGRA, 2004).</w:t>
      </w:r>
    </w:p>
    <w:p w:rsidR="0001235A" w:rsidRDefault="0001235A" w:rsidP="001E2D8C">
      <w:pPr>
        <w:rPr>
          <w:lang w:val="en-US"/>
        </w:rPr>
      </w:pPr>
    </w:p>
    <w:p w:rsidR="00C67888" w:rsidRDefault="00727381" w:rsidP="001E2D8C">
      <w:pPr>
        <w:rPr>
          <w:lang w:val="en-US"/>
        </w:rPr>
      </w:pPr>
      <w:r>
        <w:rPr>
          <w:lang w:val="en-US"/>
        </w:rPr>
        <w:t>A large variety of such models which are either based on empirical attenuation relations or numerical simulations is available in seismological literature</w:t>
      </w:r>
      <w:r w:rsidR="00C67888">
        <w:rPr>
          <w:lang w:val="en-US"/>
        </w:rPr>
        <w:t xml:space="preserve"> (see, for example, refere</w:t>
      </w:r>
      <w:r w:rsidR="00A07F71">
        <w:rPr>
          <w:lang w:val="en-US"/>
        </w:rPr>
        <w:t>nces in Delavaud et al., 2012).</w:t>
      </w:r>
    </w:p>
    <w:p w:rsidR="00C67888" w:rsidRDefault="00C67888" w:rsidP="001E2D8C">
      <w:pPr>
        <w:rPr>
          <w:lang w:val="en-US"/>
        </w:rPr>
      </w:pPr>
    </w:p>
    <w:p w:rsidR="00A773C7" w:rsidRDefault="00727381" w:rsidP="00C67888">
      <w:pPr>
        <w:rPr>
          <w:lang w:val="en-US"/>
        </w:rPr>
      </w:pPr>
      <w:r>
        <w:rPr>
          <w:lang w:val="en-US"/>
        </w:rPr>
        <w:t xml:space="preserve">Empirical relations derive from </w:t>
      </w:r>
      <w:r w:rsidR="002974A8">
        <w:rPr>
          <w:lang w:val="en-US"/>
        </w:rPr>
        <w:t xml:space="preserve">instrumental </w:t>
      </w:r>
      <w:r>
        <w:rPr>
          <w:lang w:val="en-US"/>
        </w:rPr>
        <w:t>records of significant earthquakes and establish relations between ground motion</w:t>
      </w:r>
      <w:r w:rsidR="00524CC6">
        <w:rPr>
          <w:lang w:val="en-US"/>
        </w:rPr>
        <w:t>, magnitude,</w:t>
      </w:r>
      <w:r>
        <w:rPr>
          <w:lang w:val="en-US"/>
        </w:rPr>
        <w:t xml:space="preserve"> and distance to the source (measured either as hypocentral distance or as Joyner-Boore distance). </w:t>
      </w:r>
      <w:r w:rsidR="00C67888">
        <w:rPr>
          <w:lang w:val="en-US"/>
        </w:rPr>
        <w:t xml:space="preserve">Due to the </w:t>
      </w:r>
      <w:r w:rsidR="00CC31A9">
        <w:rPr>
          <w:lang w:val="en-US"/>
        </w:rPr>
        <w:t>sparsity</w:t>
      </w:r>
      <w:r w:rsidR="00C67888">
        <w:rPr>
          <w:lang w:val="en-US"/>
        </w:rPr>
        <w:t xml:space="preserve"> of strong instrumental earthquakes in Europe apart from the Medite</w:t>
      </w:r>
      <w:r w:rsidR="00C67888">
        <w:rPr>
          <w:lang w:val="en-US"/>
        </w:rPr>
        <w:t>r</w:t>
      </w:r>
      <w:r w:rsidR="00C67888">
        <w:rPr>
          <w:lang w:val="en-US"/>
        </w:rPr>
        <w:t>ranean region virtually no ground motion records exist which can be used to derive empirical attenuation relations for large parts of Europe. It is therefore necessary to rely on empirical ground motion prediction equations esta</w:t>
      </w:r>
      <w:r w:rsidR="00C67888">
        <w:rPr>
          <w:lang w:val="en-US"/>
        </w:rPr>
        <w:t>b</w:t>
      </w:r>
      <w:r w:rsidR="00C67888">
        <w:rPr>
          <w:lang w:val="en-US"/>
        </w:rPr>
        <w:t xml:space="preserve">lished in different parts of the world or </w:t>
      </w:r>
      <w:r w:rsidR="002974A8">
        <w:rPr>
          <w:lang w:val="en-US"/>
        </w:rPr>
        <w:t>on</w:t>
      </w:r>
      <w:r w:rsidR="00C67888">
        <w:rPr>
          <w:lang w:val="en-US"/>
        </w:rPr>
        <w:t xml:space="preserve"> numerical simulation. Candidate GMPEs ne</w:t>
      </w:r>
      <w:r w:rsidR="00E801CC">
        <w:rPr>
          <w:lang w:val="en-US"/>
        </w:rPr>
        <w:t>e</w:t>
      </w:r>
      <w:r w:rsidR="00C67888">
        <w:rPr>
          <w:lang w:val="en-US"/>
        </w:rPr>
        <w:t>d to be adequate with r</w:t>
      </w:r>
      <w:r w:rsidR="00C67888">
        <w:rPr>
          <w:lang w:val="en-US"/>
        </w:rPr>
        <w:t>e</w:t>
      </w:r>
      <w:r w:rsidR="00C67888">
        <w:rPr>
          <w:lang w:val="en-US"/>
        </w:rPr>
        <w:t>spect to</w:t>
      </w:r>
      <w:r w:rsidR="00A773C7">
        <w:rPr>
          <w:lang w:val="en-US"/>
        </w:rPr>
        <w:t>:</w:t>
      </w:r>
    </w:p>
    <w:p w:rsidR="00A773C7" w:rsidRDefault="00003A03" w:rsidP="00860D1D">
      <w:pPr>
        <w:numPr>
          <w:ilvl w:val="0"/>
          <w:numId w:val="53"/>
        </w:numPr>
        <w:rPr>
          <w:lang w:val="en-US"/>
        </w:rPr>
      </w:pPr>
      <w:r>
        <w:rPr>
          <w:lang w:val="en-US"/>
        </w:rPr>
        <w:t>t</w:t>
      </w:r>
      <w:r w:rsidR="00A773C7">
        <w:rPr>
          <w:lang w:val="en-US"/>
        </w:rPr>
        <w:t>he geological environment (stable continental regions, active shallow crustal regions, subduction zones)</w:t>
      </w:r>
      <w:r w:rsidR="00E801CC">
        <w:rPr>
          <w:lang w:val="en-US"/>
        </w:rPr>
        <w:t>;</w:t>
      </w:r>
    </w:p>
    <w:p w:rsidR="00A773C7" w:rsidRDefault="00003A03" w:rsidP="00860D1D">
      <w:pPr>
        <w:numPr>
          <w:ilvl w:val="0"/>
          <w:numId w:val="53"/>
        </w:numPr>
        <w:rPr>
          <w:lang w:val="en-US"/>
        </w:rPr>
      </w:pPr>
      <w:r>
        <w:rPr>
          <w:lang w:val="en-US"/>
        </w:rPr>
        <w:t>m</w:t>
      </w:r>
      <w:r w:rsidR="00C67888">
        <w:rPr>
          <w:lang w:val="en-US"/>
        </w:rPr>
        <w:t>agnitude range</w:t>
      </w:r>
      <w:r w:rsidR="00E801CC">
        <w:rPr>
          <w:lang w:val="en-US"/>
        </w:rPr>
        <w:t>;</w:t>
      </w:r>
    </w:p>
    <w:p w:rsidR="00A773C7" w:rsidRDefault="00003A03" w:rsidP="00860D1D">
      <w:pPr>
        <w:numPr>
          <w:ilvl w:val="0"/>
          <w:numId w:val="53"/>
        </w:numPr>
        <w:rPr>
          <w:lang w:val="en-US"/>
        </w:rPr>
      </w:pPr>
      <w:r>
        <w:rPr>
          <w:lang w:val="en-US"/>
        </w:rPr>
        <w:t>d</w:t>
      </w:r>
      <w:r w:rsidR="00C67888">
        <w:rPr>
          <w:lang w:val="en-US"/>
        </w:rPr>
        <w:t>istance range (including minimum distance from fault sources, if applicable)</w:t>
      </w:r>
      <w:r w:rsidR="00E801CC">
        <w:rPr>
          <w:lang w:val="en-US"/>
        </w:rPr>
        <w:t>;</w:t>
      </w:r>
    </w:p>
    <w:p w:rsidR="00A773C7" w:rsidRDefault="00003A03" w:rsidP="00860D1D">
      <w:pPr>
        <w:numPr>
          <w:ilvl w:val="0"/>
          <w:numId w:val="53"/>
        </w:numPr>
        <w:rPr>
          <w:lang w:val="en-US"/>
        </w:rPr>
      </w:pPr>
      <w:r>
        <w:rPr>
          <w:lang w:val="en-US"/>
        </w:rPr>
        <w:t>h</w:t>
      </w:r>
      <w:r w:rsidR="00C67888">
        <w:rPr>
          <w:lang w:val="en-US"/>
        </w:rPr>
        <w:t>ypocenter depth distribution</w:t>
      </w:r>
      <w:r w:rsidR="00E801CC">
        <w:rPr>
          <w:lang w:val="en-US"/>
        </w:rPr>
        <w:t>;</w:t>
      </w:r>
    </w:p>
    <w:p w:rsidR="00A773C7" w:rsidRDefault="00003A03" w:rsidP="00860D1D">
      <w:pPr>
        <w:numPr>
          <w:ilvl w:val="0"/>
          <w:numId w:val="53"/>
        </w:numPr>
        <w:rPr>
          <w:lang w:val="en-US"/>
        </w:rPr>
      </w:pPr>
      <w:r>
        <w:rPr>
          <w:lang w:val="en-US"/>
        </w:rPr>
        <w:t>t</w:t>
      </w:r>
      <w:r w:rsidR="00C67888">
        <w:rPr>
          <w:lang w:val="en-US"/>
        </w:rPr>
        <w:t>ectonic style (strike-slip, reverse and normal faulting).</w:t>
      </w:r>
    </w:p>
    <w:p w:rsidR="00A773C7" w:rsidRDefault="00A773C7" w:rsidP="00A773C7">
      <w:pPr>
        <w:rPr>
          <w:lang w:val="en-US"/>
        </w:rPr>
      </w:pPr>
    </w:p>
    <w:p w:rsidR="00B03B6C" w:rsidRDefault="00A773C7" w:rsidP="00C67888">
      <w:pPr>
        <w:rPr>
          <w:lang w:val="en-US"/>
        </w:rPr>
      </w:pPr>
      <w:r>
        <w:rPr>
          <w:lang w:val="en-US"/>
        </w:rPr>
        <w:t xml:space="preserve">Selection further needs to account for the fact that </w:t>
      </w:r>
      <w:r w:rsidR="00375DCF">
        <w:rPr>
          <w:lang w:val="en-US"/>
        </w:rPr>
        <w:t xml:space="preserve">GMPEs </w:t>
      </w:r>
      <w:r w:rsidR="00B03B6C">
        <w:rPr>
          <w:lang w:val="en-US"/>
        </w:rPr>
        <w:t>relate distance to</w:t>
      </w:r>
      <w:r w:rsidR="00375DCF">
        <w:rPr>
          <w:lang w:val="en-US"/>
        </w:rPr>
        <w:t xml:space="preserve"> </w:t>
      </w:r>
      <w:r w:rsidR="00B03B6C">
        <w:rPr>
          <w:lang w:val="en-US"/>
        </w:rPr>
        <w:t>to different ground motion param</w:t>
      </w:r>
      <w:r w:rsidR="00B03B6C">
        <w:rPr>
          <w:lang w:val="en-US"/>
        </w:rPr>
        <w:t>e</w:t>
      </w:r>
      <w:r w:rsidR="00B03B6C">
        <w:rPr>
          <w:lang w:val="en-US"/>
        </w:rPr>
        <w:t>ters such as peak ground acceleration (PGA, PGA</w:t>
      </w:r>
      <w:r w:rsidR="00B03B6C" w:rsidRPr="00A773C7">
        <w:rPr>
          <w:vertAlign w:val="subscript"/>
          <w:lang w:val="en-US"/>
        </w:rPr>
        <w:t>H</w:t>
      </w:r>
      <w:r w:rsidR="00B03B6C">
        <w:rPr>
          <w:lang w:val="en-US"/>
        </w:rPr>
        <w:t>, PGA</w:t>
      </w:r>
      <w:r w:rsidR="00B03B6C" w:rsidRPr="00A773C7">
        <w:rPr>
          <w:vertAlign w:val="subscript"/>
          <w:lang w:val="en-US"/>
        </w:rPr>
        <w:t>V</w:t>
      </w:r>
      <w:r w:rsidR="00B03B6C">
        <w:rPr>
          <w:lang w:val="en-US"/>
        </w:rPr>
        <w:t>) and/or wave periods (most available models not applic</w:t>
      </w:r>
      <w:r w:rsidR="00B03B6C">
        <w:rPr>
          <w:lang w:val="en-US"/>
        </w:rPr>
        <w:t>a</w:t>
      </w:r>
      <w:r w:rsidR="00B03B6C">
        <w:rPr>
          <w:lang w:val="en-US"/>
        </w:rPr>
        <w:t>ble for periods greater than 3 s; Delav</w:t>
      </w:r>
      <w:r w:rsidR="00003A03">
        <w:rPr>
          <w:lang w:val="en-US"/>
        </w:rPr>
        <w:t>a</w:t>
      </w:r>
      <w:r w:rsidR="00B03B6C">
        <w:rPr>
          <w:lang w:val="en-US"/>
        </w:rPr>
        <w:t xml:space="preserve">ud et al., 2012). Equations account for site </w:t>
      </w:r>
      <w:r w:rsidR="00E801CC">
        <w:rPr>
          <w:lang w:val="en-US"/>
        </w:rPr>
        <w:t xml:space="preserve">conditions in different ways such as site </w:t>
      </w:r>
      <w:r w:rsidR="00B03B6C">
        <w:rPr>
          <w:lang w:val="en-US"/>
        </w:rPr>
        <w:t>classification (rock</w:t>
      </w:r>
      <w:r w:rsidR="00E801CC">
        <w:rPr>
          <w:lang w:val="en-US"/>
        </w:rPr>
        <w:t xml:space="preserve">, shallow </w:t>
      </w:r>
      <w:r w:rsidR="00B03B6C">
        <w:rPr>
          <w:lang w:val="en-US"/>
        </w:rPr>
        <w:t>soil</w:t>
      </w:r>
      <w:r w:rsidR="00E801CC">
        <w:rPr>
          <w:lang w:val="en-US"/>
        </w:rPr>
        <w:t>, deep soil</w:t>
      </w:r>
      <w:r w:rsidR="00B03B6C">
        <w:rPr>
          <w:lang w:val="en-US"/>
        </w:rPr>
        <w:t>) or site characteristics expressed by the seismic s-wave velocity V</w:t>
      </w:r>
      <w:r w:rsidR="00B03B6C" w:rsidRPr="00B03B6C">
        <w:rPr>
          <w:vertAlign w:val="subscript"/>
          <w:lang w:val="en-US"/>
        </w:rPr>
        <w:t>S30</w:t>
      </w:r>
      <w:r w:rsidR="00B03B6C">
        <w:rPr>
          <w:lang w:val="en-US"/>
        </w:rPr>
        <w:t xml:space="preserve"> using classes or continuous functions for V</w:t>
      </w:r>
      <w:r w:rsidR="00B03B6C" w:rsidRPr="00B03B6C">
        <w:rPr>
          <w:vertAlign w:val="subscript"/>
          <w:lang w:val="en-US"/>
        </w:rPr>
        <w:t>S30</w:t>
      </w:r>
      <w:r w:rsidR="00B03B6C">
        <w:rPr>
          <w:lang w:val="en-US"/>
        </w:rPr>
        <w:t xml:space="preserve">. </w:t>
      </w:r>
      <w:r w:rsidR="00B23F73">
        <w:rPr>
          <w:lang w:val="en-US"/>
        </w:rPr>
        <w:t xml:space="preserve">Advanced GMPEs may further account for </w:t>
      </w:r>
      <w:r w:rsidR="00BA5348">
        <w:rPr>
          <w:lang w:val="en-US"/>
        </w:rPr>
        <w:t xml:space="preserve">point sources as well as extended sources, and </w:t>
      </w:r>
      <w:r w:rsidR="00B23F73">
        <w:rPr>
          <w:lang w:val="en-US"/>
        </w:rPr>
        <w:t xml:space="preserve">nonlinear site response </w:t>
      </w:r>
      <w:r w:rsidR="00BA5348">
        <w:rPr>
          <w:lang w:val="en-US"/>
        </w:rPr>
        <w:t>(Akkar et al., 2013).</w:t>
      </w:r>
    </w:p>
    <w:p w:rsidR="00B23F73" w:rsidRDefault="00B23F73" w:rsidP="00C67888">
      <w:pPr>
        <w:rPr>
          <w:lang w:val="en-US"/>
        </w:rPr>
      </w:pPr>
    </w:p>
    <w:p w:rsidR="00B23F73" w:rsidRDefault="00B23F73" w:rsidP="00B23F73">
      <w:pPr>
        <w:rPr>
          <w:lang w:val="en-US"/>
        </w:rPr>
      </w:pPr>
      <w:r>
        <w:rPr>
          <w:lang w:val="en-US"/>
        </w:rPr>
        <w:t>The results of SHA are very sensitive to the choice of GMPEs / attenuation models, and the difficulties in selecting appropriate sets of GMPEs introduce large uncertainties into the hazard assessment. It is therefore common praxis in PSHA not to base the hazard evaluation on a single GMPE but to select a group of suitable GMPEs to model the related uncertain</w:t>
      </w:r>
      <w:r w:rsidR="00A07F71">
        <w:rPr>
          <w:lang w:val="en-US"/>
        </w:rPr>
        <w:t>ty using a logic tree approach.</w:t>
      </w:r>
    </w:p>
    <w:p w:rsidR="00B23F73" w:rsidRDefault="00B23F73" w:rsidP="00C67888">
      <w:pPr>
        <w:rPr>
          <w:lang w:val="en-US"/>
        </w:rPr>
      </w:pPr>
    </w:p>
    <w:p w:rsidR="00B23F73" w:rsidRDefault="00B23F73" w:rsidP="00B23F73">
      <w:pPr>
        <w:rPr>
          <w:lang w:val="en-US"/>
        </w:rPr>
      </w:pPr>
      <w:r>
        <w:rPr>
          <w:lang w:val="en-US"/>
        </w:rPr>
        <w:t xml:space="preserve">Cirteria for selecting GMPEs for a logic tree are discussed in detail by Cotton et al. (2006). Accordingly, GMPEs should be selected in order to </w:t>
      </w:r>
      <w:r w:rsidRPr="00B23F73">
        <w:rPr>
          <w:i/>
          <w:lang w:val="en-US"/>
        </w:rPr>
        <w:t>“obtain the smallest possible suite of equations that can capture the expected range of possible ground motions in the target region”</w:t>
      </w:r>
      <w:r>
        <w:rPr>
          <w:lang w:val="en-US"/>
        </w:rPr>
        <w:t xml:space="preserve"> (Cotton et al., 2006). The selection of GMPEs may be just</w:t>
      </w:r>
      <w:r>
        <w:rPr>
          <w:lang w:val="en-US"/>
        </w:rPr>
        <w:t>i</w:t>
      </w:r>
      <w:r>
        <w:rPr>
          <w:lang w:val="en-US"/>
        </w:rPr>
        <w:lastRenderedPageBreak/>
        <w:t>fied by comparing model predictions to existing European records of moderate earthquakes (e.g., Hin</w:t>
      </w:r>
      <w:r>
        <w:rPr>
          <w:lang w:val="en-US"/>
        </w:rPr>
        <w:t>t</w:t>
      </w:r>
      <w:r>
        <w:rPr>
          <w:lang w:val="en-US"/>
        </w:rPr>
        <w:t>ersberger et al., 2007</w:t>
      </w:r>
      <w:r w:rsidRPr="00CC52AF">
        <w:rPr>
          <w:lang w:val="en-US"/>
        </w:rPr>
        <w:t>) or mathemathical approaches (Scherbaum</w:t>
      </w:r>
      <w:r>
        <w:rPr>
          <w:lang w:val="en-US"/>
        </w:rPr>
        <w:t xml:space="preserve"> et al., 2009). </w:t>
      </w:r>
      <w:r w:rsidR="00A773C7">
        <w:rPr>
          <w:lang w:val="en-US"/>
        </w:rPr>
        <w:t>Evaluation of the selected GMPEs should</w:t>
      </w:r>
      <w:r>
        <w:rPr>
          <w:lang w:val="en-US"/>
        </w:rPr>
        <w:t xml:space="preserve"> further</w:t>
      </w:r>
      <w:r w:rsidR="00A773C7">
        <w:rPr>
          <w:lang w:val="en-US"/>
        </w:rPr>
        <w:t xml:space="preserve"> lead to assign weights to their use in ground motion logic trees</w:t>
      </w:r>
      <w:r>
        <w:rPr>
          <w:lang w:val="en-US"/>
        </w:rPr>
        <w:t>, e.g., by expert judgement as described by Delav</w:t>
      </w:r>
      <w:r w:rsidR="00003A03">
        <w:rPr>
          <w:lang w:val="en-US"/>
        </w:rPr>
        <w:t>a</w:t>
      </w:r>
      <w:r>
        <w:rPr>
          <w:lang w:val="en-US"/>
        </w:rPr>
        <w:t>ud et al. (2012)</w:t>
      </w:r>
      <w:r w:rsidR="00A773C7">
        <w:rPr>
          <w:lang w:val="en-US"/>
        </w:rPr>
        <w:t>.</w:t>
      </w:r>
      <w:r>
        <w:rPr>
          <w:lang w:val="en-US"/>
        </w:rPr>
        <w:t xml:space="preserve"> A comprehensive discussion of various aspects of selecting and adapting ground motion models to a specific SHA is given in by NAGRA (2004, p. 183 ff </w:t>
      </w:r>
      <w:r w:rsidRPr="00524CC6">
        <w:rPr>
          <w:color w:val="1F4E79"/>
          <w:lang w:val="en-US"/>
        </w:rPr>
        <w:t>Vol. 1</w:t>
      </w:r>
      <w:r w:rsidRPr="00524CC6">
        <w:rPr>
          <w:lang w:val="en-US"/>
        </w:rPr>
        <w:t xml:space="preserve">; </w:t>
      </w:r>
      <w:r>
        <w:rPr>
          <w:lang w:val="en-US"/>
        </w:rPr>
        <w:t>(e.g., magnitude conversion, conversion of hypocenter to Joyner-Boore distances, adjustment for fault styles, site-conditions co</w:t>
      </w:r>
      <w:r>
        <w:rPr>
          <w:lang w:val="en-US"/>
        </w:rPr>
        <w:t>n</w:t>
      </w:r>
      <w:r>
        <w:rPr>
          <w:lang w:val="en-US"/>
        </w:rPr>
        <w:t>version accounting for V</w:t>
      </w:r>
      <w:r w:rsidRPr="00A773C7">
        <w:rPr>
          <w:vertAlign w:val="subscript"/>
          <w:lang w:val="en-US"/>
        </w:rPr>
        <w:t>S30</w:t>
      </w:r>
      <w:r>
        <w:rPr>
          <w:lang w:val="en-US"/>
        </w:rPr>
        <w:t>).</w:t>
      </w:r>
    </w:p>
    <w:p w:rsidR="00C67888" w:rsidRDefault="00C67888" w:rsidP="00C67888">
      <w:pPr>
        <w:rPr>
          <w:lang w:val="en-US"/>
        </w:rPr>
      </w:pPr>
    </w:p>
    <w:p w:rsidR="00CC63D1" w:rsidRDefault="00CC63D1" w:rsidP="00C67888">
      <w:pPr>
        <w:rPr>
          <w:lang w:val="en-US"/>
        </w:rPr>
      </w:pPr>
      <w:r>
        <w:rPr>
          <w:lang w:val="en-US"/>
        </w:rPr>
        <w:t>A comprehensive annotated collection of GMPEs published between 1968 and 2010 is provided by Douglas (2011).</w:t>
      </w:r>
    </w:p>
    <w:p w:rsidR="00CC31A9" w:rsidRDefault="00CC31A9" w:rsidP="00CC31A9">
      <w:pPr>
        <w:rPr>
          <w:lang w:val="en-US"/>
        </w:rPr>
      </w:pPr>
    </w:p>
    <w:p w:rsidR="00861A9B" w:rsidRDefault="00FA7DEE" w:rsidP="00861A9B">
      <w:pPr>
        <w:jc w:val="center"/>
        <w:rPr>
          <w:lang w:val="en-US"/>
        </w:rPr>
      </w:pPr>
      <w:r>
        <w:rPr>
          <w:lang w:val="en-US"/>
        </w:rPr>
        <w:pict>
          <v:shape id="_x0000_i1048" type="#_x0000_t75" style="width:337.7pt;height:283.55pt">
            <v:imagedata r:id="rId78" o:title="GMPEs_examples"/>
          </v:shape>
        </w:pict>
      </w:r>
    </w:p>
    <w:p w:rsidR="00861A9B" w:rsidRDefault="00861A9B" w:rsidP="00CC31A9">
      <w:pPr>
        <w:rPr>
          <w:lang w:val="en-US"/>
        </w:rPr>
      </w:pPr>
    </w:p>
    <w:p w:rsidR="00861A9B" w:rsidRPr="00CC63D1" w:rsidRDefault="00861A9B" w:rsidP="00861A9B">
      <w:pPr>
        <w:pStyle w:val="Lgende"/>
        <w:jc w:val="center"/>
      </w:pPr>
      <w:bookmarkStart w:id="154" w:name="_Ref451422227"/>
      <w:bookmarkStart w:id="155" w:name="_Toc456012052"/>
      <w:r>
        <w:t xml:space="preserve">Figure </w:t>
      </w:r>
      <w:r>
        <w:fldChar w:fldCharType="begin"/>
      </w:r>
      <w:r>
        <w:instrText xml:space="preserve"> SEQ Figure \* ARABIC </w:instrText>
      </w:r>
      <w:r>
        <w:fldChar w:fldCharType="separate"/>
      </w:r>
      <w:r w:rsidR="00173034">
        <w:rPr>
          <w:noProof/>
        </w:rPr>
        <w:t>16</w:t>
      </w:r>
      <w:r>
        <w:fldChar w:fldCharType="end"/>
      </w:r>
      <w:r>
        <w:t>. Example of different GMPEs relating PGA</w:t>
      </w:r>
      <w:r w:rsidRPr="00861A9B">
        <w:rPr>
          <w:vertAlign w:val="subscript"/>
        </w:rPr>
        <w:t>H</w:t>
      </w:r>
      <w:r>
        <w:t xml:space="preserve"> with distance for an earthquake with M = 6. </w:t>
      </w:r>
      <w:r w:rsidRPr="00CC63D1">
        <w:t>Note the large spread of predicted ground motion at, e.g., 10 km distance. GMPEs from:</w:t>
      </w:r>
      <w:bookmarkEnd w:id="154"/>
      <w:bookmarkEnd w:id="155"/>
      <w:r w:rsidRPr="00CC63D1">
        <w:t xml:space="preserve"> </w:t>
      </w:r>
    </w:p>
    <w:p w:rsidR="00861A9B" w:rsidRPr="00923C7F" w:rsidRDefault="00861A9B" w:rsidP="00861A9B">
      <w:pPr>
        <w:pStyle w:val="Lgende"/>
        <w:jc w:val="center"/>
        <w:rPr>
          <w:i/>
        </w:rPr>
      </w:pPr>
      <w:r w:rsidRPr="00CC63D1">
        <w:t>Abrahamson &amp; Silva (1997, 200</w:t>
      </w:r>
      <w:r w:rsidR="009B28B3" w:rsidRPr="00CC63D1">
        <w:t>8</w:t>
      </w:r>
      <w:r w:rsidRPr="00CC63D1">
        <w:t>); Akkar &amp; Bommer (2007); Ambraseys &amp; Douglas (200</w:t>
      </w:r>
      <w:r w:rsidR="009B28B3" w:rsidRPr="00CC63D1">
        <w:t>3</w:t>
      </w:r>
      <w:r w:rsidRPr="00CC63D1">
        <w:t>); Ambr</w:t>
      </w:r>
      <w:r w:rsidRPr="00CC63D1">
        <w:t>a</w:t>
      </w:r>
      <w:r w:rsidRPr="00CC63D1">
        <w:t>seys et al. (1996; 2005); Atkinson &amp; Boore (2006); Berge-Thierry et asl. (2003); Boore &amp; Atkinson (2007); Boore et al. (1993; 1997); Campbell &amp; Bozorgnia (200</w:t>
      </w:r>
      <w:r w:rsidR="009A50D9" w:rsidRPr="00CC63D1">
        <w:t>8</w:t>
      </w:r>
      <w:r w:rsidRPr="00CC63D1">
        <w:t>);</w:t>
      </w:r>
      <w:r w:rsidR="00CC63D1" w:rsidRPr="00CC63D1">
        <w:t xml:space="preserve"> </w:t>
      </w:r>
      <w:r w:rsidRPr="00CC63D1">
        <w:t>Campbell (1997); Kalkan &amp; Gülkan (2004); Sabetta &amp; Pugliese (1996); Sadigh et al. (1993; 1997); Tavakoli &amp; Pezeshk (2005); Toro &amp; Silva (2001)</w:t>
      </w:r>
      <w:r w:rsidR="00CC63D1" w:rsidRPr="00CC63D1">
        <w:t>.</w:t>
      </w:r>
      <w:r w:rsidRPr="00CC63D1">
        <w:t xml:space="preserve"> </w:t>
      </w:r>
      <w:r w:rsidRPr="00CC63D1">
        <w:rPr>
          <w:i/>
        </w:rPr>
        <w:t>[GMPEs_examples.JPG]</w:t>
      </w:r>
    </w:p>
    <w:p w:rsidR="00861A9B" w:rsidRPr="00861A9B" w:rsidRDefault="00861A9B" w:rsidP="00CC31A9"/>
    <w:p w:rsidR="00524CC6" w:rsidRDefault="00524CC6" w:rsidP="00C67888">
      <w:pPr>
        <w:rPr>
          <w:lang w:val="en-US"/>
        </w:rPr>
      </w:pPr>
    </w:p>
    <w:p w:rsidR="001E2D8C" w:rsidRDefault="00524CC6" w:rsidP="00F10FCA">
      <w:pPr>
        <w:pStyle w:val="Titre3"/>
        <w:rPr>
          <w:lang w:val="en-US"/>
        </w:rPr>
      </w:pPr>
      <w:r>
        <w:rPr>
          <w:lang w:val="en-US"/>
        </w:rPr>
        <w:br w:type="page"/>
      </w:r>
      <w:bookmarkStart w:id="156" w:name="_Ref451421710"/>
      <w:bookmarkStart w:id="157" w:name="_Ref451421712"/>
      <w:bookmarkStart w:id="158" w:name="_Ref451427457"/>
      <w:bookmarkStart w:id="159" w:name="_Ref451427464"/>
      <w:bookmarkStart w:id="160" w:name="_Toc456011909"/>
      <w:r w:rsidR="001E2D8C">
        <w:rPr>
          <w:lang w:val="en-US"/>
        </w:rPr>
        <w:lastRenderedPageBreak/>
        <w:t>Maximum magnitude</w:t>
      </w:r>
      <w:r w:rsidR="00E57114">
        <w:rPr>
          <w:lang w:val="en-US"/>
        </w:rPr>
        <w:t xml:space="preserve"> (M</w:t>
      </w:r>
      <w:r w:rsidR="00E57114" w:rsidRPr="00E57114">
        <w:rPr>
          <w:vertAlign w:val="subscript"/>
          <w:lang w:val="en-US"/>
        </w:rPr>
        <w:t>max</w:t>
      </w:r>
      <w:r w:rsidR="00E57114">
        <w:rPr>
          <w:lang w:val="en-US"/>
        </w:rPr>
        <w:t>)</w:t>
      </w:r>
      <w:bookmarkEnd w:id="156"/>
      <w:bookmarkEnd w:id="157"/>
      <w:bookmarkEnd w:id="158"/>
      <w:bookmarkEnd w:id="159"/>
      <w:bookmarkEnd w:id="160"/>
    </w:p>
    <w:p w:rsidR="00EA78AA" w:rsidRDefault="00EA78AA" w:rsidP="001E2D8C">
      <w:pPr>
        <w:rPr>
          <w:lang w:val="en-US"/>
        </w:rPr>
      </w:pPr>
      <w:r>
        <w:rPr>
          <w:lang w:val="en-US"/>
        </w:rPr>
        <w:t>The m</w:t>
      </w:r>
      <w:r w:rsidR="00B4632E">
        <w:rPr>
          <w:lang w:val="en-US"/>
        </w:rPr>
        <w:t xml:space="preserve">aximum magnitude </w:t>
      </w:r>
      <w:r w:rsidR="00E57114">
        <w:rPr>
          <w:lang w:val="en-US"/>
        </w:rPr>
        <w:t>(M</w:t>
      </w:r>
      <w:r w:rsidR="00E57114" w:rsidRPr="00E57114">
        <w:rPr>
          <w:vertAlign w:val="subscript"/>
          <w:lang w:val="en-US"/>
        </w:rPr>
        <w:t>max</w:t>
      </w:r>
      <w:r w:rsidR="00E57114">
        <w:rPr>
          <w:lang w:val="en-US"/>
        </w:rPr>
        <w:t>) refers to the largest earthquake that can be generated by a seismic</w:t>
      </w:r>
      <w:r w:rsidR="00605C73">
        <w:rPr>
          <w:lang w:val="en-US"/>
        </w:rPr>
        <w:t xml:space="preserve"> fault</w:t>
      </w:r>
      <w:r w:rsidR="00E57114">
        <w:rPr>
          <w:lang w:val="en-US"/>
        </w:rPr>
        <w:t xml:space="preserve"> source</w:t>
      </w:r>
      <w:r w:rsidR="00605C73">
        <w:rPr>
          <w:lang w:val="en-US"/>
        </w:rPr>
        <w:t xml:space="preserve"> or a seismic source defined as an area</w:t>
      </w:r>
      <w:r w:rsidR="00E57114">
        <w:rPr>
          <w:lang w:val="en-US"/>
        </w:rPr>
        <w:t xml:space="preserve">. </w:t>
      </w:r>
      <w:r>
        <w:rPr>
          <w:lang w:val="en-US"/>
        </w:rPr>
        <w:t>The concept is based on the assumption that a physical limit exists to the magnitude of an ear</w:t>
      </w:r>
      <w:r w:rsidR="00605C73">
        <w:rPr>
          <w:lang w:val="en-US"/>
        </w:rPr>
        <w:t xml:space="preserve">thquake that can be produced by </w:t>
      </w:r>
      <w:r>
        <w:rPr>
          <w:lang w:val="en-US"/>
        </w:rPr>
        <w:t>a seismic source.</w:t>
      </w:r>
    </w:p>
    <w:p w:rsidR="00EA78AA" w:rsidRDefault="00EA78AA" w:rsidP="001E2D8C">
      <w:pPr>
        <w:rPr>
          <w:lang w:val="en-US"/>
        </w:rPr>
      </w:pPr>
    </w:p>
    <w:p w:rsidR="00E57114" w:rsidRDefault="00E57114" w:rsidP="001E2D8C">
      <w:pPr>
        <w:rPr>
          <w:lang w:val="en-US"/>
        </w:rPr>
      </w:pPr>
      <w:r>
        <w:rPr>
          <w:lang w:val="en-US"/>
        </w:rPr>
        <w:t>M</w:t>
      </w:r>
      <w:r w:rsidRPr="00E57114">
        <w:rPr>
          <w:vertAlign w:val="subscript"/>
          <w:lang w:val="en-US"/>
        </w:rPr>
        <w:t>max</w:t>
      </w:r>
      <w:r>
        <w:rPr>
          <w:lang w:val="en-US"/>
        </w:rPr>
        <w:t xml:space="preserve"> is used in </w:t>
      </w:r>
      <w:r w:rsidR="007F7FAA">
        <w:rPr>
          <w:lang w:val="en-US"/>
        </w:rPr>
        <w:t xml:space="preserve">all </w:t>
      </w:r>
      <w:r>
        <w:rPr>
          <w:lang w:val="en-US"/>
        </w:rPr>
        <w:t xml:space="preserve">earthquake recurrence relagionships which </w:t>
      </w:r>
      <w:r w:rsidR="007F7FAA">
        <w:rPr>
          <w:lang w:val="en-US"/>
        </w:rPr>
        <w:t>rely</w:t>
      </w:r>
      <w:r>
        <w:rPr>
          <w:lang w:val="en-US"/>
        </w:rPr>
        <w:t xml:space="preserve"> on Gutenberg-Richter (or modified Gutenberg-Riochter) relations describing seismic sources (</w:t>
      </w:r>
      <w:r w:rsidR="00B07AE4">
        <w:rPr>
          <w:lang w:val="en-US"/>
        </w:rPr>
        <w:fldChar w:fldCharType="begin"/>
      </w:r>
      <w:r w:rsidR="00B07AE4">
        <w:rPr>
          <w:lang w:val="en-US"/>
        </w:rPr>
        <w:instrText xml:space="preserve"> REF _Ref451165190 \h </w:instrText>
      </w:r>
      <w:r w:rsidR="00B07AE4">
        <w:rPr>
          <w:lang w:val="en-US"/>
        </w:rPr>
      </w:r>
      <w:r w:rsidR="00B07AE4">
        <w:rPr>
          <w:lang w:val="en-US"/>
        </w:rPr>
        <w:fldChar w:fldCharType="separate"/>
      </w:r>
      <w:r w:rsidR="00173034">
        <w:t xml:space="preserve">Figure </w:t>
      </w:r>
      <w:r w:rsidR="00173034">
        <w:rPr>
          <w:noProof/>
        </w:rPr>
        <w:t>17</w:t>
      </w:r>
      <w:r w:rsidR="00B07AE4">
        <w:rPr>
          <w:lang w:val="en-US"/>
        </w:rPr>
        <w:fldChar w:fldCharType="end"/>
      </w:r>
      <w:r>
        <w:rPr>
          <w:lang w:val="en-US"/>
        </w:rPr>
        <w:t>).</w:t>
      </w:r>
      <w:r w:rsidR="00EA78AA">
        <w:rPr>
          <w:lang w:val="en-US"/>
        </w:rPr>
        <w:t xml:space="preserve"> </w:t>
      </w:r>
      <w:r>
        <w:rPr>
          <w:lang w:val="en-US"/>
        </w:rPr>
        <w:t>A</w:t>
      </w:r>
      <w:r w:rsidR="00B4632E">
        <w:rPr>
          <w:lang w:val="en-US"/>
        </w:rPr>
        <w:t xml:space="preserve">ssessments </w:t>
      </w:r>
      <w:r>
        <w:rPr>
          <w:lang w:val="en-US"/>
        </w:rPr>
        <w:t>M</w:t>
      </w:r>
      <w:r w:rsidRPr="00E57114">
        <w:rPr>
          <w:vertAlign w:val="subscript"/>
          <w:lang w:val="en-US"/>
        </w:rPr>
        <w:t>max</w:t>
      </w:r>
      <w:r>
        <w:rPr>
          <w:vertAlign w:val="subscript"/>
          <w:lang w:val="en-US"/>
        </w:rPr>
        <w:t xml:space="preserve"> </w:t>
      </w:r>
      <w:r>
        <w:rPr>
          <w:lang w:val="en-US"/>
        </w:rPr>
        <w:t>(sometimes also referred to as “max</w:t>
      </w:r>
      <w:r>
        <w:rPr>
          <w:lang w:val="en-US"/>
        </w:rPr>
        <w:t>i</w:t>
      </w:r>
      <w:r>
        <w:rPr>
          <w:lang w:val="en-US"/>
        </w:rPr>
        <w:t xml:space="preserve">mum credible earthquake” or MCE) </w:t>
      </w:r>
      <w:r w:rsidR="00B4632E">
        <w:rPr>
          <w:lang w:val="en-US"/>
        </w:rPr>
        <w:t>associated with a defined fault source or source zone are highly sensitive p</w:t>
      </w:r>
      <w:r w:rsidR="00B4632E">
        <w:rPr>
          <w:lang w:val="en-US"/>
        </w:rPr>
        <w:t>a</w:t>
      </w:r>
      <w:r w:rsidR="00B4632E">
        <w:rPr>
          <w:lang w:val="en-US"/>
        </w:rPr>
        <w:t>rameters for gr</w:t>
      </w:r>
      <w:r w:rsidR="00E4656B">
        <w:rPr>
          <w:lang w:val="en-US"/>
        </w:rPr>
        <w:t>ound motion hazard assessments.</w:t>
      </w:r>
    </w:p>
    <w:p w:rsidR="00B23F0E" w:rsidRDefault="00B23F0E" w:rsidP="001E2D8C">
      <w:pPr>
        <w:rPr>
          <w:lang w:val="en-US"/>
        </w:rPr>
      </w:pPr>
    </w:p>
    <w:p w:rsidR="00B4632E" w:rsidRDefault="00FA7DEE" w:rsidP="00B41F0C">
      <w:pPr>
        <w:jc w:val="center"/>
        <w:rPr>
          <w:lang w:val="en-US"/>
        </w:rPr>
      </w:pPr>
      <w:r>
        <w:rPr>
          <w:lang w:val="en-US"/>
        </w:rPr>
        <w:pict>
          <v:shape id="_x0000_i1049" type="#_x0000_t75" style="width:370.85pt;height:140.2pt">
            <v:imagedata r:id="rId79" o:title="Fig_Mmax_truncated_G-R"/>
          </v:shape>
        </w:pict>
      </w:r>
    </w:p>
    <w:p w:rsidR="00B41F0C" w:rsidRDefault="00B41F0C" w:rsidP="00B41F0C">
      <w:pPr>
        <w:jc w:val="center"/>
        <w:rPr>
          <w:lang w:val="en-US"/>
        </w:rPr>
      </w:pPr>
    </w:p>
    <w:p w:rsidR="00B41F0C" w:rsidRDefault="00B07AE4" w:rsidP="00B4632E">
      <w:pPr>
        <w:pStyle w:val="Lgende"/>
        <w:jc w:val="center"/>
      </w:pPr>
      <w:bookmarkStart w:id="161" w:name="_Ref433016772"/>
      <w:bookmarkStart w:id="162" w:name="_Ref451165190"/>
      <w:bookmarkStart w:id="163" w:name="_Toc456012053"/>
      <w:r>
        <w:t xml:space="preserve">Figure </w:t>
      </w:r>
      <w:r>
        <w:fldChar w:fldCharType="begin"/>
      </w:r>
      <w:r>
        <w:instrText xml:space="preserve"> SEQ Figure \* ARABIC </w:instrText>
      </w:r>
      <w:r>
        <w:fldChar w:fldCharType="separate"/>
      </w:r>
      <w:r w:rsidR="00173034">
        <w:rPr>
          <w:noProof/>
        </w:rPr>
        <w:t>17</w:t>
      </w:r>
      <w:r>
        <w:fldChar w:fldCharType="end"/>
      </w:r>
      <w:bookmarkEnd w:id="162"/>
      <w:r>
        <w:t xml:space="preserve">. </w:t>
      </w:r>
      <w:r w:rsidR="00B41F0C">
        <w:t xml:space="preserve">Maximum magnitude: </w:t>
      </w:r>
      <w:r w:rsidR="00E3079A">
        <w:t xml:space="preserve">(a) </w:t>
      </w:r>
      <w:r w:rsidR="00B41F0C">
        <w:t>cuttoff Gutenberg-Ric</w:t>
      </w:r>
      <w:r w:rsidR="00E3079A">
        <w:t>hter exponential distribution (</w:t>
      </w:r>
      <w:r w:rsidR="00B41F0C">
        <w:t xml:space="preserve">Cornell &amp; Van Marke, 1969), </w:t>
      </w:r>
      <w:r w:rsidR="00E3079A">
        <w:t xml:space="preserve">(b) </w:t>
      </w:r>
      <w:r w:rsidR="00B41F0C">
        <w:t xml:space="preserve">truncated exponential distribution, and </w:t>
      </w:r>
      <w:r w:rsidR="00E3079A">
        <w:t>(c)</w:t>
      </w:r>
      <w:r w:rsidR="00B4632E">
        <w:t xml:space="preserve"> </w:t>
      </w:r>
      <w:r w:rsidR="00B41F0C">
        <w:t xml:space="preserve">characteristic earthquake model (Youngs &amp; Coppersmith, 1985). Modified from NAGRA (2004 </w:t>
      </w:r>
      <w:r w:rsidR="00B41F0C" w:rsidRPr="00152140">
        <w:rPr>
          <w:color w:val="2E74B5"/>
        </w:rPr>
        <w:t>Pegasos Volume 1</w:t>
      </w:r>
      <w:r w:rsidR="00B41F0C">
        <w:t>)</w:t>
      </w:r>
      <w:bookmarkEnd w:id="161"/>
      <w:bookmarkEnd w:id="163"/>
    </w:p>
    <w:p w:rsidR="00B4632E" w:rsidRPr="00923C7F" w:rsidRDefault="00B4632E" w:rsidP="00B4632E">
      <w:pPr>
        <w:pStyle w:val="Lgende"/>
        <w:jc w:val="center"/>
        <w:rPr>
          <w:i/>
        </w:rPr>
      </w:pPr>
      <w:r>
        <w:t xml:space="preserve"> </w:t>
      </w:r>
      <w:r w:rsidRPr="00923C7F">
        <w:rPr>
          <w:i/>
        </w:rPr>
        <w:t>[</w:t>
      </w:r>
      <w:r w:rsidR="00E3079A" w:rsidRPr="00E3079A">
        <w:rPr>
          <w:i/>
        </w:rPr>
        <w:t>Fig_Mmax_truncated_G-R</w:t>
      </w:r>
      <w:r w:rsidRPr="00923C7F">
        <w:rPr>
          <w:i/>
        </w:rPr>
        <w:t>.JPG]</w:t>
      </w:r>
    </w:p>
    <w:p w:rsidR="00B41F0C" w:rsidRPr="00E3079A" w:rsidRDefault="00B41F0C" w:rsidP="001E2D8C"/>
    <w:p w:rsidR="007354CB" w:rsidRDefault="00E364B2" w:rsidP="007354CB">
      <w:pPr>
        <w:rPr>
          <w:lang w:val="en-US"/>
        </w:rPr>
      </w:pPr>
      <w:r w:rsidRPr="00E364B2">
        <w:rPr>
          <w:b/>
          <w:i/>
          <w:lang w:val="en-US"/>
        </w:rPr>
        <w:t>Seismic sources defined as areas.</w:t>
      </w:r>
      <w:r>
        <w:rPr>
          <w:lang w:val="en-US"/>
        </w:rPr>
        <w:t xml:space="preserve"> </w:t>
      </w:r>
      <w:r w:rsidR="007354CB">
        <w:rPr>
          <w:lang w:val="en-US"/>
        </w:rPr>
        <w:t>Approaches to assess M</w:t>
      </w:r>
      <w:r w:rsidR="007354CB" w:rsidRPr="00E57114">
        <w:rPr>
          <w:vertAlign w:val="subscript"/>
          <w:lang w:val="en-US"/>
        </w:rPr>
        <w:t>max</w:t>
      </w:r>
      <w:r w:rsidR="007354CB">
        <w:rPr>
          <w:lang w:val="en-US"/>
        </w:rPr>
        <w:t xml:space="preserve"> for seismic source zones include both, statistical and dete</w:t>
      </w:r>
      <w:r w:rsidR="00A07F71">
        <w:rPr>
          <w:lang w:val="en-US"/>
        </w:rPr>
        <w:t>rministic methods</w:t>
      </w:r>
      <w:r w:rsidR="007354CB">
        <w:rPr>
          <w:lang w:val="en-US"/>
        </w:rPr>
        <w:t>:</w:t>
      </w:r>
    </w:p>
    <w:p w:rsidR="007354CB" w:rsidRDefault="00003A03" w:rsidP="00860D1D">
      <w:pPr>
        <w:numPr>
          <w:ilvl w:val="0"/>
          <w:numId w:val="33"/>
        </w:numPr>
        <w:rPr>
          <w:lang w:val="en-US"/>
        </w:rPr>
      </w:pPr>
      <w:r>
        <w:rPr>
          <w:lang w:val="en-US"/>
        </w:rPr>
        <w:t>i</w:t>
      </w:r>
      <w:r w:rsidR="00E94C78">
        <w:rPr>
          <w:lang w:val="en-US"/>
        </w:rPr>
        <w:t xml:space="preserve">n the </w:t>
      </w:r>
      <w:r w:rsidR="007354CB">
        <w:rPr>
          <w:lang w:val="en-US"/>
        </w:rPr>
        <w:t xml:space="preserve">“EPRI-Approach” </w:t>
      </w:r>
      <w:r w:rsidR="00E94C78">
        <w:rPr>
          <w:lang w:val="en-US"/>
        </w:rPr>
        <w:t>(</w:t>
      </w:r>
      <w:r w:rsidR="007354CB">
        <w:rPr>
          <w:lang w:val="en-US"/>
        </w:rPr>
        <w:t xml:space="preserve">described by NAGRA 2004 </w:t>
      </w:r>
      <w:r w:rsidR="007354CB" w:rsidRPr="007354CB">
        <w:rPr>
          <w:color w:val="2E74B5"/>
          <w:lang w:val="en-US"/>
        </w:rPr>
        <w:t>Pegasos Vol 1</w:t>
      </w:r>
      <w:r w:rsidR="007354CB">
        <w:rPr>
          <w:lang w:val="en-US"/>
        </w:rPr>
        <w:t>, p. 107-109)</w:t>
      </w:r>
      <w:r w:rsidR="00E94C78" w:rsidRPr="00E94C78">
        <w:rPr>
          <w:lang w:val="en-US"/>
        </w:rPr>
        <w:t xml:space="preserve"> </w:t>
      </w:r>
      <w:r w:rsidR="00E94C78">
        <w:rPr>
          <w:lang w:val="en-US"/>
        </w:rPr>
        <w:t>M</w:t>
      </w:r>
      <w:r w:rsidR="00E94C78" w:rsidRPr="00E94C78">
        <w:rPr>
          <w:vertAlign w:val="subscript"/>
          <w:lang w:val="en-US"/>
        </w:rPr>
        <w:t>max</w:t>
      </w:r>
      <w:r w:rsidR="00E94C78">
        <w:rPr>
          <w:lang w:val="en-US"/>
        </w:rPr>
        <w:t xml:space="preserve"> is </w:t>
      </w:r>
      <w:r w:rsidR="007F7FAA">
        <w:rPr>
          <w:lang w:val="en-US"/>
        </w:rPr>
        <w:t xml:space="preserve">statistically </w:t>
      </w:r>
      <w:r w:rsidR="00E94C78">
        <w:rPr>
          <w:lang w:val="en-US"/>
        </w:rPr>
        <w:t>dete</w:t>
      </w:r>
      <w:r w:rsidR="00E94C78">
        <w:rPr>
          <w:lang w:val="en-US"/>
        </w:rPr>
        <w:t>r</w:t>
      </w:r>
      <w:r w:rsidR="00E94C78">
        <w:rPr>
          <w:lang w:val="en-US"/>
        </w:rPr>
        <w:t>mined from the strongest earthquake which is included in the earthquake catalogue (providing a mim</w:t>
      </w:r>
      <w:r w:rsidR="00E94C78">
        <w:rPr>
          <w:lang w:val="en-US"/>
        </w:rPr>
        <w:t>i</w:t>
      </w:r>
      <w:r w:rsidR="00E94C78">
        <w:rPr>
          <w:lang w:val="en-US"/>
        </w:rPr>
        <w:t>mum value for M</w:t>
      </w:r>
      <w:r w:rsidR="00E94C78" w:rsidRPr="00E94C78">
        <w:rPr>
          <w:vertAlign w:val="subscript"/>
          <w:lang w:val="en-US"/>
        </w:rPr>
        <w:t>max</w:t>
      </w:r>
      <w:r w:rsidR="00E94C78">
        <w:rPr>
          <w:lang w:val="en-US"/>
        </w:rPr>
        <w:t>) using a statistical approach</w:t>
      </w:r>
      <w:r>
        <w:rPr>
          <w:lang w:val="en-US"/>
        </w:rPr>
        <w:t>,</w:t>
      </w:r>
    </w:p>
    <w:p w:rsidR="007354CB" w:rsidRDefault="00003A03" w:rsidP="00860D1D">
      <w:pPr>
        <w:numPr>
          <w:ilvl w:val="0"/>
          <w:numId w:val="33"/>
        </w:numPr>
        <w:rPr>
          <w:lang w:val="en-US"/>
        </w:rPr>
      </w:pPr>
      <w:r>
        <w:rPr>
          <w:lang w:val="en-US"/>
        </w:rPr>
        <w:t>e</w:t>
      </w:r>
      <w:r w:rsidR="007354CB">
        <w:rPr>
          <w:lang w:val="en-US"/>
        </w:rPr>
        <w:t>xtrapolation from current earthquake catalogues (Kijko &amp; Graham, 1998; Kijko, 2004</w:t>
      </w:r>
      <w:r>
        <w:rPr>
          <w:lang w:val="en-US"/>
        </w:rPr>
        <w:t>;</w:t>
      </w:r>
      <w:r w:rsidR="007354CB">
        <w:rPr>
          <w:lang w:val="en-US"/>
        </w:rPr>
        <w:t xml:space="preserve"> </w:t>
      </w:r>
      <w:r>
        <w:rPr>
          <w:lang w:val="en-US"/>
        </w:rPr>
        <w:t>t</w:t>
      </w:r>
      <w:r w:rsidR="007354CB">
        <w:rPr>
          <w:lang w:val="en-US"/>
        </w:rPr>
        <w:t>he approach e</w:t>
      </w:r>
      <w:r>
        <w:rPr>
          <w:lang w:val="en-US"/>
        </w:rPr>
        <w:t>s</w:t>
      </w:r>
      <w:r w:rsidR="007354CB">
        <w:rPr>
          <w:lang w:val="en-US"/>
        </w:rPr>
        <w:t>timates M</w:t>
      </w:r>
      <w:r w:rsidR="007354CB" w:rsidRPr="007354CB">
        <w:rPr>
          <w:vertAlign w:val="subscript"/>
          <w:lang w:val="en-US"/>
        </w:rPr>
        <w:t>max</w:t>
      </w:r>
      <w:r w:rsidR="007354CB">
        <w:rPr>
          <w:lang w:val="en-US"/>
        </w:rPr>
        <w:t xml:space="preserve"> </w:t>
      </w:r>
      <w:r w:rsidR="007F7FAA">
        <w:rPr>
          <w:lang w:val="en-US"/>
        </w:rPr>
        <w:t xml:space="preserve">by a statistical approach </w:t>
      </w:r>
      <w:r w:rsidR="007354CB">
        <w:rPr>
          <w:lang w:val="en-US"/>
        </w:rPr>
        <w:t>solely from the seismicity recorded in a region</w:t>
      </w:r>
      <w:r>
        <w:rPr>
          <w:lang w:val="en-US"/>
        </w:rPr>
        <w:t>,</w:t>
      </w:r>
    </w:p>
    <w:p w:rsidR="007354CB" w:rsidRDefault="007354CB" w:rsidP="00860D1D">
      <w:pPr>
        <w:numPr>
          <w:ilvl w:val="0"/>
          <w:numId w:val="33"/>
        </w:numPr>
        <w:rPr>
          <w:lang w:val="en-US"/>
        </w:rPr>
      </w:pPr>
      <w:r w:rsidRPr="009A5A3A">
        <w:rPr>
          <w:lang w:val="en-US"/>
        </w:rPr>
        <w:t>Gümbel extreme value statistics (e.g., Kijko &amp; Ahjos, 1985)</w:t>
      </w:r>
      <w:r w:rsidR="00003A03">
        <w:rPr>
          <w:lang w:val="en-US"/>
        </w:rPr>
        <w:t>;</w:t>
      </w:r>
      <w:r w:rsidRPr="009A5A3A">
        <w:rPr>
          <w:lang w:val="en-US"/>
        </w:rPr>
        <w:t xml:space="preserve"> </w:t>
      </w:r>
      <w:r w:rsidR="00003A03">
        <w:rPr>
          <w:lang w:val="en-US"/>
        </w:rPr>
        <w:t>t</w:t>
      </w:r>
      <w:r w:rsidRPr="009A5A3A">
        <w:rPr>
          <w:lang w:val="en-US"/>
        </w:rPr>
        <w:t xml:space="preserve">he approach is regarded </w:t>
      </w:r>
      <w:r w:rsidR="00E94C78">
        <w:rPr>
          <w:lang w:val="en-US"/>
        </w:rPr>
        <w:t xml:space="preserve">highly </w:t>
      </w:r>
      <w:r w:rsidRPr="009A5A3A">
        <w:rPr>
          <w:lang w:val="en-US"/>
        </w:rPr>
        <w:t>problema</w:t>
      </w:r>
      <w:r w:rsidRPr="009A5A3A">
        <w:rPr>
          <w:lang w:val="en-US"/>
        </w:rPr>
        <w:t>t</w:t>
      </w:r>
      <w:r w:rsidRPr="009A5A3A">
        <w:rPr>
          <w:lang w:val="en-US"/>
        </w:rPr>
        <w:t>ic as extrapolations of extreme values to times exceeding the length of catalogue coverage are not reliable (Kijko &amp; Dessokey, 1987; Peruzza &amp; Slejko, 1993</w:t>
      </w:r>
      <w:r>
        <w:rPr>
          <w:lang w:val="en-US"/>
        </w:rPr>
        <w:t>)</w:t>
      </w:r>
      <w:r w:rsidR="00003A03">
        <w:rPr>
          <w:lang w:val="en-US"/>
        </w:rPr>
        <w:t>;</w:t>
      </w:r>
      <w:r>
        <w:rPr>
          <w:lang w:val="en-US"/>
        </w:rPr>
        <w:t xml:space="preserve"> </w:t>
      </w:r>
      <w:r w:rsidR="00003A03">
        <w:rPr>
          <w:lang w:val="en-US"/>
        </w:rPr>
        <w:t>i</w:t>
      </w:r>
      <w:r>
        <w:rPr>
          <w:lang w:val="en-US"/>
        </w:rPr>
        <w:t>n some cases M</w:t>
      </w:r>
      <w:r w:rsidRPr="007354CB">
        <w:rPr>
          <w:vertAlign w:val="subscript"/>
          <w:lang w:val="en-US"/>
        </w:rPr>
        <w:t>max</w:t>
      </w:r>
      <w:r>
        <w:rPr>
          <w:lang w:val="en-US"/>
        </w:rPr>
        <w:t xml:space="preserve"> derived from Gümbel statistics even fail to reproduce the maximum observed magnitude (</w:t>
      </w:r>
      <w:r w:rsidRPr="009A5A3A">
        <w:rPr>
          <w:lang w:val="en-US"/>
        </w:rPr>
        <w:t>Lenhardt, 1996</w:t>
      </w:r>
      <w:r w:rsidR="00A07F71">
        <w:rPr>
          <w:lang w:val="en-US"/>
        </w:rPr>
        <w:t>)</w:t>
      </w:r>
      <w:r w:rsidR="00003A03">
        <w:rPr>
          <w:lang w:val="en-US"/>
        </w:rPr>
        <w:t>,</w:t>
      </w:r>
    </w:p>
    <w:p w:rsidR="007B1B10" w:rsidRDefault="00003A03" w:rsidP="00860D1D">
      <w:pPr>
        <w:numPr>
          <w:ilvl w:val="0"/>
          <w:numId w:val="33"/>
        </w:numPr>
        <w:rPr>
          <w:lang w:val="en-US"/>
        </w:rPr>
      </w:pPr>
      <w:r>
        <w:rPr>
          <w:lang w:val="en-US"/>
        </w:rPr>
        <w:t>a</w:t>
      </w:r>
      <w:r w:rsidR="007B1B10">
        <w:rPr>
          <w:lang w:val="en-US"/>
        </w:rPr>
        <w:t xml:space="preserve">dding </w:t>
      </w:r>
      <w:r w:rsidR="001C1DD4">
        <w:rPr>
          <w:lang w:val="en-US"/>
        </w:rPr>
        <w:t>a margin or increment to the magnitude of the strongest observed earthquake</w:t>
      </w:r>
      <w:r>
        <w:rPr>
          <w:lang w:val="en-US"/>
        </w:rPr>
        <w:t>,</w:t>
      </w:r>
    </w:p>
    <w:p w:rsidR="001C1DD4" w:rsidRPr="009A5A3A" w:rsidRDefault="00003A03" w:rsidP="00860D1D">
      <w:pPr>
        <w:numPr>
          <w:ilvl w:val="0"/>
          <w:numId w:val="33"/>
        </w:numPr>
        <w:rPr>
          <w:lang w:val="en-US"/>
        </w:rPr>
      </w:pPr>
      <w:r>
        <w:rPr>
          <w:lang w:val="en-US"/>
        </w:rPr>
        <w:lastRenderedPageBreak/>
        <w:t>l</w:t>
      </w:r>
      <w:r w:rsidR="001C1DD4">
        <w:rPr>
          <w:lang w:val="en-US"/>
        </w:rPr>
        <w:t>arger samples earthquake data can be obtained from combining geologically similar areas (e.g., stable continental interiors, rifted margins, subduction zones etc.) in order to obtain a larger number of strong earthquakes and a database which is more robust for statistical analysis (Kagan &amp; Jackson, 2013; USNRC, 2012</w:t>
      </w:r>
      <w:r w:rsidR="00B07AE4">
        <w:rPr>
          <w:lang w:val="en-US"/>
        </w:rPr>
        <w:t>a</w:t>
      </w:r>
      <w:r w:rsidR="001C1DD4">
        <w:rPr>
          <w:lang w:val="en-US"/>
        </w:rPr>
        <w:t xml:space="preserve"> </w:t>
      </w:r>
      <w:r w:rsidR="001C1DD4" w:rsidRPr="00014E59">
        <w:rPr>
          <w:color w:val="2E74B5"/>
          <w:lang w:val="en-US"/>
        </w:rPr>
        <w:t>Central and Eastern US</w:t>
      </w:r>
      <w:r w:rsidR="001C1DD4">
        <w:rPr>
          <w:lang w:val="en-US"/>
        </w:rPr>
        <w:t>)</w:t>
      </w:r>
      <w:r>
        <w:rPr>
          <w:lang w:val="en-US"/>
        </w:rPr>
        <w:t>;</w:t>
      </w:r>
      <w:r w:rsidR="001C1DD4">
        <w:rPr>
          <w:lang w:val="en-US"/>
        </w:rPr>
        <w:t xml:space="preserve"> </w:t>
      </w:r>
      <w:r>
        <w:rPr>
          <w:lang w:val="en-US"/>
        </w:rPr>
        <w:t>s</w:t>
      </w:r>
      <w:r w:rsidR="001C1DD4">
        <w:rPr>
          <w:lang w:val="en-US"/>
        </w:rPr>
        <w:t>tatistical analysis of the larger sample proved more effective in estima</w:t>
      </w:r>
      <w:r w:rsidR="001C1DD4">
        <w:rPr>
          <w:lang w:val="en-US"/>
        </w:rPr>
        <w:t>t</w:t>
      </w:r>
      <w:r w:rsidR="001C1DD4">
        <w:rPr>
          <w:lang w:val="en-US"/>
        </w:rPr>
        <w:t>ing Mmax (Kagan &amp; Jackson, 2013)</w:t>
      </w:r>
      <w:r>
        <w:rPr>
          <w:lang w:val="en-US"/>
        </w:rPr>
        <w:t>,</w:t>
      </w:r>
    </w:p>
    <w:p w:rsidR="007354CB" w:rsidRPr="007354CB" w:rsidRDefault="00003A03" w:rsidP="00860D1D">
      <w:pPr>
        <w:numPr>
          <w:ilvl w:val="0"/>
          <w:numId w:val="33"/>
        </w:numPr>
        <w:rPr>
          <w:lang w:val="en-US"/>
        </w:rPr>
      </w:pPr>
      <w:r>
        <w:rPr>
          <w:lang w:val="en-US"/>
        </w:rPr>
        <w:t>d</w:t>
      </w:r>
      <w:r w:rsidR="00605C73">
        <w:rPr>
          <w:lang w:val="en-US"/>
        </w:rPr>
        <w:t>e</w:t>
      </w:r>
      <w:r w:rsidR="00E94C78">
        <w:rPr>
          <w:lang w:val="en-US"/>
        </w:rPr>
        <w:t>terministic assessment</w:t>
      </w:r>
      <w:r>
        <w:rPr>
          <w:lang w:val="en-US"/>
        </w:rPr>
        <w:t>;f</w:t>
      </w:r>
      <w:r w:rsidR="007354CB" w:rsidRPr="007354CB">
        <w:rPr>
          <w:lang w:val="en-US"/>
        </w:rPr>
        <w:t>or source areas where faults, fault characteristics (fault orientation and dime</w:t>
      </w:r>
      <w:r w:rsidR="007354CB" w:rsidRPr="007354CB">
        <w:rPr>
          <w:lang w:val="en-US"/>
        </w:rPr>
        <w:t>n</w:t>
      </w:r>
      <w:r w:rsidR="007354CB" w:rsidRPr="007354CB">
        <w:rPr>
          <w:lang w:val="en-US"/>
        </w:rPr>
        <w:t xml:space="preserve">sions), and the current tectonic regime (kinematics, recent stress directions) can </w:t>
      </w:r>
      <w:r w:rsidR="00E94C78">
        <w:rPr>
          <w:lang w:val="en-US"/>
        </w:rPr>
        <w:t xml:space="preserve">be </w:t>
      </w:r>
      <w:r w:rsidR="007354CB" w:rsidRPr="007354CB">
        <w:rPr>
          <w:lang w:val="en-US"/>
        </w:rPr>
        <w:t>readily described M</w:t>
      </w:r>
      <w:r w:rsidR="007354CB" w:rsidRPr="007354CB">
        <w:rPr>
          <w:vertAlign w:val="subscript"/>
          <w:lang w:val="en-US"/>
        </w:rPr>
        <w:t>max</w:t>
      </w:r>
      <w:r w:rsidR="007354CB" w:rsidRPr="007354CB">
        <w:rPr>
          <w:lang w:val="en-US"/>
        </w:rPr>
        <w:t xml:space="preserve"> can be determined by a deterministic assessment </w:t>
      </w:r>
      <w:r w:rsidR="00E94C78">
        <w:rPr>
          <w:lang w:val="en-US"/>
        </w:rPr>
        <w:t>using empirical fault dimension – magnitude rel</w:t>
      </w:r>
      <w:r w:rsidR="00E94C78">
        <w:rPr>
          <w:lang w:val="en-US"/>
        </w:rPr>
        <w:t>a</w:t>
      </w:r>
      <w:r w:rsidR="00E94C78">
        <w:rPr>
          <w:lang w:val="en-US"/>
        </w:rPr>
        <w:t xml:space="preserve">tions </w:t>
      </w:r>
      <w:r w:rsidR="007354CB" w:rsidRPr="007354CB">
        <w:rPr>
          <w:lang w:val="en-US"/>
        </w:rPr>
        <w:t>(see below)</w:t>
      </w:r>
      <w:r>
        <w:rPr>
          <w:lang w:val="en-US"/>
        </w:rPr>
        <w:t>;</w:t>
      </w:r>
      <w:r w:rsidR="007354CB" w:rsidRPr="007354CB">
        <w:rPr>
          <w:lang w:val="en-US"/>
        </w:rPr>
        <w:t xml:space="preserve"> </w:t>
      </w:r>
      <w:r>
        <w:rPr>
          <w:lang w:val="en-US"/>
        </w:rPr>
        <w:t>t</w:t>
      </w:r>
      <w:r w:rsidR="007354CB" w:rsidRPr="007354CB">
        <w:rPr>
          <w:lang w:val="en-US"/>
        </w:rPr>
        <w:t xml:space="preserve">he assessment should account for the dimensions </w:t>
      </w:r>
      <w:r w:rsidR="007354CB">
        <w:rPr>
          <w:lang w:val="en-US"/>
        </w:rPr>
        <w:t xml:space="preserve">of the largest </w:t>
      </w:r>
      <w:r w:rsidR="007354CB" w:rsidRPr="007354CB">
        <w:rPr>
          <w:lang w:val="en-US"/>
        </w:rPr>
        <w:t xml:space="preserve">faults </w:t>
      </w:r>
      <w:r w:rsidR="0052729B">
        <w:rPr>
          <w:lang w:val="en-US"/>
        </w:rPr>
        <w:t xml:space="preserve">which may be </w:t>
      </w:r>
      <w:r w:rsidR="0052729B" w:rsidRPr="007354CB">
        <w:rPr>
          <w:lang w:val="en-US"/>
        </w:rPr>
        <w:t>regarded to be activated in the</w:t>
      </w:r>
      <w:r w:rsidR="0052729B">
        <w:rPr>
          <w:lang w:val="en-US"/>
        </w:rPr>
        <w:t xml:space="preserve"> current tectonic regime. M</w:t>
      </w:r>
      <w:r w:rsidR="0052729B" w:rsidRPr="00E94C78">
        <w:rPr>
          <w:vertAlign w:val="subscript"/>
          <w:lang w:val="en-US"/>
        </w:rPr>
        <w:t>max</w:t>
      </w:r>
      <w:r w:rsidR="0052729B">
        <w:rPr>
          <w:lang w:val="en-US"/>
        </w:rPr>
        <w:t xml:space="preserve"> is derived from the </w:t>
      </w:r>
      <w:r w:rsidR="007354CB" w:rsidRPr="007354CB">
        <w:rPr>
          <w:lang w:val="en-US"/>
        </w:rPr>
        <w:t>maximum rup</w:t>
      </w:r>
      <w:r w:rsidR="0052729B">
        <w:rPr>
          <w:lang w:val="en-US"/>
        </w:rPr>
        <w:t>ture d</w:t>
      </w:r>
      <w:r w:rsidR="0052729B">
        <w:rPr>
          <w:lang w:val="en-US"/>
        </w:rPr>
        <w:t>i</w:t>
      </w:r>
      <w:r w:rsidR="0052729B">
        <w:rPr>
          <w:lang w:val="en-US"/>
        </w:rPr>
        <w:t>mensions of these faults.</w:t>
      </w:r>
    </w:p>
    <w:p w:rsidR="007354CB" w:rsidRDefault="007354CB" w:rsidP="007354CB">
      <w:pPr>
        <w:rPr>
          <w:lang w:val="en-US"/>
        </w:rPr>
      </w:pPr>
    </w:p>
    <w:p w:rsidR="007354CB" w:rsidRDefault="007354CB" w:rsidP="007354CB">
      <w:pPr>
        <w:rPr>
          <w:lang w:val="en-US"/>
        </w:rPr>
      </w:pPr>
      <w:r>
        <w:rPr>
          <w:lang w:val="en-US"/>
        </w:rPr>
        <w:t xml:space="preserve">In the absence of </w:t>
      </w:r>
      <w:r w:rsidRPr="0053094F">
        <w:rPr>
          <w:lang w:val="en-US"/>
        </w:rPr>
        <w:t>any theoretical basis</w:t>
      </w:r>
      <w:r>
        <w:rPr>
          <w:lang w:val="en-US"/>
        </w:rPr>
        <w:t xml:space="preserve"> for deriving maximum magnitudes values</w:t>
      </w:r>
      <w:r w:rsidRPr="0053094F">
        <w:rPr>
          <w:lang w:val="en-US"/>
        </w:rPr>
        <w:t xml:space="preserve">, estimates using </w:t>
      </w:r>
      <w:r>
        <w:rPr>
          <w:lang w:val="en-US"/>
        </w:rPr>
        <w:t>the various st</w:t>
      </w:r>
      <w:r>
        <w:rPr>
          <w:lang w:val="en-US"/>
        </w:rPr>
        <w:t>a</w:t>
      </w:r>
      <w:r>
        <w:rPr>
          <w:lang w:val="en-US"/>
        </w:rPr>
        <w:t xml:space="preserve">tistical approaches cited above </w:t>
      </w:r>
      <w:r w:rsidRPr="0053094F">
        <w:rPr>
          <w:lang w:val="en-US"/>
        </w:rPr>
        <w:t xml:space="preserve">often prove </w:t>
      </w:r>
      <w:r>
        <w:rPr>
          <w:lang w:val="en-US"/>
        </w:rPr>
        <w:t xml:space="preserve">to be </w:t>
      </w:r>
      <w:r w:rsidRPr="0053094F">
        <w:rPr>
          <w:lang w:val="en-US"/>
        </w:rPr>
        <w:t xml:space="preserve">too low, as </w:t>
      </w:r>
      <w:r>
        <w:rPr>
          <w:lang w:val="en-US"/>
        </w:rPr>
        <w:t xml:space="preserve">in the case of the </w:t>
      </w:r>
      <w:r w:rsidRPr="0053094F">
        <w:rPr>
          <w:lang w:val="en-US"/>
        </w:rPr>
        <w:t>2011 Tohoku earthquake</w:t>
      </w:r>
      <w:r>
        <w:rPr>
          <w:lang w:val="en-US"/>
        </w:rPr>
        <w:t xml:space="preserve"> causing the Fukushima accident (Stein et al., 2015)</w:t>
      </w:r>
      <w:r w:rsidRPr="0053094F">
        <w:rPr>
          <w:lang w:val="en-US"/>
        </w:rPr>
        <w:t>. Estimating M</w:t>
      </w:r>
      <w:r w:rsidRPr="007354CB">
        <w:rPr>
          <w:vertAlign w:val="subscript"/>
          <w:lang w:val="en-US"/>
        </w:rPr>
        <w:t>max</w:t>
      </w:r>
      <w:r w:rsidRPr="0053094F">
        <w:rPr>
          <w:lang w:val="en-US"/>
        </w:rPr>
        <w:t xml:space="preserve"> is particularly challenging </w:t>
      </w:r>
      <w:r>
        <w:rPr>
          <w:lang w:val="en-US"/>
        </w:rPr>
        <w:t>in intra-plate regions such as in Europe</w:t>
      </w:r>
      <w:r w:rsidRPr="0053094F">
        <w:rPr>
          <w:lang w:val="en-US"/>
        </w:rPr>
        <w:t xml:space="preserve">, where large earthquakes are infrequent compared to the length of earthquake </w:t>
      </w:r>
      <w:r>
        <w:rPr>
          <w:lang w:val="en-US"/>
        </w:rPr>
        <w:t>catalogues</w:t>
      </w:r>
      <w:r w:rsidRPr="0053094F">
        <w:rPr>
          <w:lang w:val="en-US"/>
        </w:rPr>
        <w:t xml:space="preserve">, and </w:t>
      </w:r>
      <w:r>
        <w:rPr>
          <w:lang w:val="en-US"/>
        </w:rPr>
        <w:t xml:space="preserve">earthquakes </w:t>
      </w:r>
      <w:r w:rsidRPr="0053094F">
        <w:rPr>
          <w:lang w:val="en-US"/>
        </w:rPr>
        <w:t>often occur on previously unrecognized</w:t>
      </w:r>
      <w:r w:rsidR="00E94C78">
        <w:rPr>
          <w:lang w:val="en-US"/>
        </w:rPr>
        <w:t xml:space="preserve"> active</w:t>
      </w:r>
      <w:r w:rsidRPr="0053094F">
        <w:rPr>
          <w:lang w:val="en-US"/>
        </w:rPr>
        <w:t xml:space="preserve"> faults.</w:t>
      </w:r>
      <w:r>
        <w:rPr>
          <w:lang w:val="en-US"/>
        </w:rPr>
        <w:t xml:space="preserve"> The difficulties of assessing maximum magn</w:t>
      </w:r>
      <w:r>
        <w:rPr>
          <w:lang w:val="en-US"/>
        </w:rPr>
        <w:t>i</w:t>
      </w:r>
      <w:r>
        <w:rPr>
          <w:lang w:val="en-US"/>
        </w:rPr>
        <w:t xml:space="preserve">tudes from historical / instrumental earthquake information have recently been described by Merino et al. (2013) using </w:t>
      </w:r>
      <w:r w:rsidR="00CB3DAF">
        <w:rPr>
          <w:lang w:val="en-US"/>
        </w:rPr>
        <w:t>Monte Carlo</w:t>
      </w:r>
      <w:r>
        <w:rPr>
          <w:lang w:val="en-US"/>
        </w:rPr>
        <w:t xml:space="preserve"> simulations of eqrthquake catalogues. The authors show that the probability of a maximum magnitude event with an assumed recurrence time of 5000 years to be included in an earthquake catalogue cove</w:t>
      </w:r>
      <w:r>
        <w:rPr>
          <w:lang w:val="en-US"/>
        </w:rPr>
        <w:t>r</w:t>
      </w:r>
      <w:r>
        <w:rPr>
          <w:lang w:val="en-US"/>
        </w:rPr>
        <w:t xml:space="preserve">ing 500 years is as low as 5%. </w:t>
      </w:r>
      <w:r w:rsidR="00707CA8" w:rsidRPr="00707CA8">
        <w:rPr>
          <w:lang w:val="en-US"/>
        </w:rPr>
        <w:t>As a result, M</w:t>
      </w:r>
      <w:r w:rsidR="00707CA8" w:rsidRPr="00707CA8">
        <w:rPr>
          <w:vertAlign w:val="subscript"/>
          <w:lang w:val="en-US"/>
        </w:rPr>
        <w:t>max</w:t>
      </w:r>
      <w:r w:rsidR="00707CA8" w:rsidRPr="00707CA8">
        <w:rPr>
          <w:lang w:val="en-US"/>
        </w:rPr>
        <w:t xml:space="preserve"> cannot be reliably estimated from earthquake catalogs. </w:t>
      </w:r>
      <w:r>
        <w:rPr>
          <w:lang w:val="en-US"/>
        </w:rPr>
        <w:t>High prob</w:t>
      </w:r>
      <w:r>
        <w:rPr>
          <w:lang w:val="en-US"/>
        </w:rPr>
        <w:t>a</w:t>
      </w:r>
      <w:r>
        <w:rPr>
          <w:lang w:val="en-US"/>
        </w:rPr>
        <w:t xml:space="preserve">bilities of capturing a maximum magnitude event only exists for earthquake records which cover at least twice the the average recurrence time of the maximum evente (i.e., 10.000 years in the example). Such times </w:t>
      </w:r>
      <w:r w:rsidR="00CB3DAF">
        <w:rPr>
          <w:lang w:val="en-US"/>
        </w:rPr>
        <w:t>are</w:t>
      </w:r>
      <w:r>
        <w:rPr>
          <w:lang w:val="en-US"/>
        </w:rPr>
        <w:t xml:space="preserve"> only co</w:t>
      </w:r>
      <w:r>
        <w:rPr>
          <w:lang w:val="en-US"/>
        </w:rPr>
        <w:t>v</w:t>
      </w:r>
      <w:r>
        <w:rPr>
          <w:lang w:val="en-US"/>
        </w:rPr>
        <w:t>ered geological and p</w:t>
      </w:r>
      <w:r w:rsidR="00A07F71">
        <w:rPr>
          <w:lang w:val="en-US"/>
        </w:rPr>
        <w:t>aleoseismological observations.</w:t>
      </w:r>
    </w:p>
    <w:p w:rsidR="007354CB" w:rsidRDefault="007354CB" w:rsidP="001E2D8C">
      <w:pPr>
        <w:rPr>
          <w:lang w:val="en-US"/>
        </w:rPr>
      </w:pPr>
    </w:p>
    <w:p w:rsidR="00707CA8" w:rsidRPr="00707CA8" w:rsidRDefault="00707CA8" w:rsidP="00E364B2">
      <w:r>
        <w:rPr>
          <w:lang w:val="en-US"/>
        </w:rPr>
        <w:t>Holschneider</w:t>
      </w:r>
      <w:r w:rsidR="00E94C78">
        <w:rPr>
          <w:lang w:val="en-US"/>
        </w:rPr>
        <w:t xml:space="preserve"> et al. </w:t>
      </w:r>
      <w:r w:rsidR="00E94C78" w:rsidRPr="00707CA8">
        <w:t>(</w:t>
      </w:r>
      <w:r w:rsidRPr="00707CA8">
        <w:t>2011</w:t>
      </w:r>
      <w:r w:rsidR="00E94C78" w:rsidRPr="00707CA8">
        <w:t xml:space="preserve">) have </w:t>
      </w:r>
      <w:r w:rsidR="00E364B2">
        <w:t xml:space="preserve">further </w:t>
      </w:r>
      <w:r w:rsidR="00E94C78" w:rsidRPr="00707CA8">
        <w:t xml:space="preserve">shown </w:t>
      </w:r>
      <w:r w:rsidRPr="00707CA8">
        <w:t xml:space="preserve">on a statistical theoretical bassis that it is </w:t>
      </w:r>
      <w:r>
        <w:t>probabilistically / mat</w:t>
      </w:r>
      <w:r>
        <w:t>h</w:t>
      </w:r>
      <w:r>
        <w:t xml:space="preserve">ematically </w:t>
      </w:r>
      <w:r w:rsidRPr="00707CA8">
        <w:t>impossible to derive M</w:t>
      </w:r>
      <w:r w:rsidRPr="00E364B2">
        <w:rPr>
          <w:vertAlign w:val="subscript"/>
        </w:rPr>
        <w:t>max</w:t>
      </w:r>
      <w:r w:rsidRPr="00707CA8">
        <w:t xml:space="preserve"> from </w:t>
      </w:r>
      <w:r>
        <w:t xml:space="preserve">a Gutenberg-Ricther relation without further boundary conditions or assumptions. They conclude that </w:t>
      </w:r>
      <w:r w:rsidR="00E364B2" w:rsidRPr="00E364B2">
        <w:rPr>
          <w:i/>
        </w:rPr>
        <w:t>“F</w:t>
      </w:r>
      <w:r w:rsidR="00492A3E">
        <w:rPr>
          <w:i/>
        </w:rPr>
        <w:t>r</w:t>
      </w:r>
      <w:r w:rsidR="00E364B2" w:rsidRPr="00E364B2">
        <w:rPr>
          <w:i/>
        </w:rPr>
        <w:t>om a statistical point of view, a limited data set does not allow us to est</w:t>
      </w:r>
      <w:r w:rsidR="00E364B2" w:rsidRPr="00E364B2">
        <w:rPr>
          <w:i/>
        </w:rPr>
        <w:t>i</w:t>
      </w:r>
      <w:r w:rsidR="00E364B2" w:rsidRPr="00E364B2">
        <w:rPr>
          <w:i/>
        </w:rPr>
        <w:t>mate a magnitude that is maximum for all times,”</w:t>
      </w:r>
      <w:r w:rsidR="00E364B2">
        <w:t xml:space="preserve"> and that </w:t>
      </w:r>
      <w:r w:rsidRPr="00E364B2">
        <w:rPr>
          <w:i/>
        </w:rPr>
        <w:t>“From a physical point of view, numerical models of the earthquake process adjusted to specific fault regions may be a powerful alternative</w:t>
      </w:r>
      <w:r w:rsidR="00E364B2" w:rsidRPr="00E364B2">
        <w:rPr>
          <w:i/>
        </w:rPr>
        <w:t xml:space="preserve"> </w:t>
      </w:r>
      <w:r w:rsidRPr="00E364B2">
        <w:rPr>
          <w:i/>
        </w:rPr>
        <w:t>to overcome the shor</w:t>
      </w:r>
      <w:r w:rsidRPr="00E364B2">
        <w:rPr>
          <w:i/>
        </w:rPr>
        <w:t>t</w:t>
      </w:r>
      <w:r w:rsidRPr="00E364B2">
        <w:rPr>
          <w:i/>
        </w:rPr>
        <w:t>comings of purely statistical inference</w:t>
      </w:r>
      <w:r w:rsidR="00E364B2" w:rsidRPr="00E364B2">
        <w:rPr>
          <w:i/>
        </w:rPr>
        <w:t>”</w:t>
      </w:r>
      <w:r w:rsidR="00E364B2">
        <w:t xml:space="preserve"> (Holschneider et al., 2011). Such numerical models are based on fault dime</w:t>
      </w:r>
      <w:r w:rsidR="00E364B2">
        <w:t>n</w:t>
      </w:r>
      <w:r w:rsidR="00E364B2">
        <w:t>sions and displacement rates.</w:t>
      </w:r>
    </w:p>
    <w:p w:rsidR="00C26C9A" w:rsidRDefault="00C26C9A" w:rsidP="00C26C9A">
      <w:pPr>
        <w:tabs>
          <w:tab w:val="left" w:pos="5670"/>
        </w:tabs>
        <w:rPr>
          <w:lang w:val="en-US"/>
        </w:rPr>
      </w:pPr>
    </w:p>
    <w:p w:rsidR="00CD5DE5" w:rsidRDefault="00605C73" w:rsidP="00C26C9A">
      <w:pPr>
        <w:tabs>
          <w:tab w:val="left" w:pos="5670"/>
        </w:tabs>
        <w:rPr>
          <w:lang w:val="en-US"/>
        </w:rPr>
      </w:pPr>
      <w:r>
        <w:rPr>
          <w:lang w:val="en-US"/>
        </w:rPr>
        <w:t xml:space="preserve">Due to the discussed </w:t>
      </w:r>
      <w:r w:rsidR="00E364B2">
        <w:rPr>
          <w:lang w:val="en-US"/>
        </w:rPr>
        <w:t xml:space="preserve">shortcommings of </w:t>
      </w:r>
      <w:r>
        <w:rPr>
          <w:lang w:val="en-US"/>
        </w:rPr>
        <w:t xml:space="preserve">statistical approaches </w:t>
      </w:r>
      <w:r w:rsidR="00707CA8">
        <w:rPr>
          <w:lang w:val="en-US"/>
        </w:rPr>
        <w:t>and the shortness of earthquake records</w:t>
      </w:r>
      <w:r w:rsidR="00492A3E">
        <w:rPr>
          <w:lang w:val="en-US"/>
        </w:rPr>
        <w:t>,</w:t>
      </w:r>
      <w:r w:rsidR="00707CA8">
        <w:rPr>
          <w:lang w:val="en-US"/>
        </w:rPr>
        <w:t xml:space="preserve"> </w:t>
      </w:r>
      <w:r>
        <w:rPr>
          <w:lang w:val="en-US"/>
        </w:rPr>
        <w:t>determini</w:t>
      </w:r>
      <w:r>
        <w:rPr>
          <w:lang w:val="en-US"/>
        </w:rPr>
        <w:t>s</w:t>
      </w:r>
      <w:r>
        <w:rPr>
          <w:lang w:val="en-US"/>
        </w:rPr>
        <w:t>tic assessment is the preferred method to estimate M</w:t>
      </w:r>
      <w:r w:rsidRPr="00605C73">
        <w:rPr>
          <w:vertAlign w:val="subscript"/>
          <w:lang w:val="en-US"/>
        </w:rPr>
        <w:t>max</w:t>
      </w:r>
      <w:r>
        <w:rPr>
          <w:lang w:val="en-US"/>
        </w:rPr>
        <w:t xml:space="preserve"> for seismic source zones defined as areas. </w:t>
      </w:r>
      <w:r w:rsidR="00CD5DE5">
        <w:rPr>
          <w:lang w:val="en-US"/>
        </w:rPr>
        <w:t>Due to the fact that source zones in all parts of Europe will contain significant numbers of faults with lengths of more than 10 km estimates of M</w:t>
      </w:r>
      <w:r w:rsidR="00CD5DE5" w:rsidRPr="00605C73">
        <w:rPr>
          <w:vertAlign w:val="subscript"/>
          <w:lang w:val="en-US"/>
        </w:rPr>
        <w:t>max</w:t>
      </w:r>
      <w:r w:rsidR="00CD5DE5">
        <w:rPr>
          <w:lang w:val="en-US"/>
        </w:rPr>
        <w:t xml:space="preserve"> &lt; 6 to 6.5 are regarded unreasonable (Mw = 6 and Mw = 6.5 correspond to ruptures of faults with 10 km and 30 km length, </w:t>
      </w:r>
      <w:r w:rsidR="007D35A1">
        <w:rPr>
          <w:lang w:val="en-US"/>
        </w:rPr>
        <w:t>respectivel</w:t>
      </w:r>
      <w:r w:rsidR="00A07F71">
        <w:rPr>
          <w:lang w:val="en-US"/>
        </w:rPr>
        <w:t>y [Wells &amp; Coppersmith, 1994]).</w:t>
      </w:r>
    </w:p>
    <w:p w:rsidR="00CD5DE5" w:rsidRDefault="00CD5DE5" w:rsidP="00C26C9A">
      <w:pPr>
        <w:tabs>
          <w:tab w:val="left" w:pos="5670"/>
        </w:tabs>
        <w:rPr>
          <w:lang w:val="en-US"/>
        </w:rPr>
      </w:pPr>
    </w:p>
    <w:p w:rsidR="00EE7D06" w:rsidRDefault="00EE7D06" w:rsidP="00C26C9A">
      <w:pPr>
        <w:tabs>
          <w:tab w:val="left" w:pos="5670"/>
        </w:tabs>
        <w:rPr>
          <w:lang w:val="en-US"/>
        </w:rPr>
      </w:pPr>
      <w:r>
        <w:rPr>
          <w:lang w:val="en-US"/>
        </w:rPr>
        <w:lastRenderedPageBreak/>
        <w:t>It should be noted that estimates of M</w:t>
      </w:r>
      <w:r w:rsidRPr="00605C73">
        <w:rPr>
          <w:vertAlign w:val="subscript"/>
          <w:lang w:val="en-US"/>
        </w:rPr>
        <w:t>max</w:t>
      </w:r>
      <w:r>
        <w:rPr>
          <w:lang w:val="en-US"/>
        </w:rPr>
        <w:t xml:space="preserve"> are made independently of the annual frequency of such events. The recurrence intervals of M</w:t>
      </w:r>
      <w:r w:rsidRPr="00605C73">
        <w:rPr>
          <w:vertAlign w:val="subscript"/>
          <w:lang w:val="en-US"/>
        </w:rPr>
        <w:t>max</w:t>
      </w:r>
      <w:r>
        <w:rPr>
          <w:lang w:val="en-US"/>
        </w:rPr>
        <w:t xml:space="preserve"> for different regions or source zones will differ significantly depending on the level of seismicity (highly active regions will be characterized with shorter recurrence intervals of M</w:t>
      </w:r>
      <w:r w:rsidRPr="00605C73">
        <w:rPr>
          <w:vertAlign w:val="subscript"/>
          <w:lang w:val="en-US"/>
        </w:rPr>
        <w:t>max</w:t>
      </w:r>
      <w:r>
        <w:rPr>
          <w:lang w:val="en-US"/>
        </w:rPr>
        <w:t xml:space="preserve"> events while much longer recurrence intervals are expected in low seismicity and stable tectonic environments).</w:t>
      </w:r>
    </w:p>
    <w:p w:rsidR="00EE7D06" w:rsidRDefault="00EE7D06" w:rsidP="00C26C9A">
      <w:pPr>
        <w:tabs>
          <w:tab w:val="left" w:pos="5670"/>
        </w:tabs>
        <w:rPr>
          <w:lang w:val="en-US"/>
        </w:rPr>
      </w:pPr>
    </w:p>
    <w:p w:rsidR="00E94C78" w:rsidRDefault="007D35A1" w:rsidP="00C26C9A">
      <w:pPr>
        <w:tabs>
          <w:tab w:val="left" w:pos="5670"/>
        </w:tabs>
        <w:rPr>
          <w:lang w:val="en-US"/>
        </w:rPr>
      </w:pPr>
      <w:r>
        <w:rPr>
          <w:lang w:val="en-US"/>
        </w:rPr>
        <w:t>E</w:t>
      </w:r>
      <w:r w:rsidR="00C26C9A">
        <w:rPr>
          <w:lang w:val="en-US"/>
        </w:rPr>
        <w:t xml:space="preserve">stimates </w:t>
      </w:r>
      <w:r>
        <w:rPr>
          <w:lang w:val="en-US"/>
        </w:rPr>
        <w:t>of M</w:t>
      </w:r>
      <w:r w:rsidRPr="00605C73">
        <w:rPr>
          <w:vertAlign w:val="subscript"/>
          <w:lang w:val="en-US"/>
        </w:rPr>
        <w:t>max</w:t>
      </w:r>
      <w:r>
        <w:rPr>
          <w:lang w:val="en-US"/>
        </w:rPr>
        <w:t xml:space="preserve"> </w:t>
      </w:r>
      <w:r w:rsidR="00C26C9A">
        <w:rPr>
          <w:lang w:val="en-US"/>
        </w:rPr>
        <w:t>should as far as possible be validated by paleoseismological data.</w:t>
      </w:r>
    </w:p>
    <w:p w:rsidR="00605C73" w:rsidRDefault="00605C73" w:rsidP="001E2D8C">
      <w:pPr>
        <w:rPr>
          <w:lang w:val="en-US"/>
        </w:rPr>
      </w:pPr>
    </w:p>
    <w:p w:rsidR="001E649E" w:rsidRDefault="00E364B2" w:rsidP="00605C73">
      <w:pPr>
        <w:rPr>
          <w:lang w:val="en-US"/>
        </w:rPr>
      </w:pPr>
      <w:r w:rsidRPr="001E649E">
        <w:rPr>
          <w:b/>
          <w:i/>
          <w:lang w:val="en-US"/>
        </w:rPr>
        <w:t>Fault sources.</w:t>
      </w:r>
      <w:r>
        <w:rPr>
          <w:lang w:val="en-US"/>
        </w:rPr>
        <w:t xml:space="preserve"> </w:t>
      </w:r>
      <w:r w:rsidR="00605C73">
        <w:rPr>
          <w:lang w:val="en-US"/>
        </w:rPr>
        <w:t>Approaches to assess M</w:t>
      </w:r>
      <w:r w:rsidR="00605C73" w:rsidRPr="00E57114">
        <w:rPr>
          <w:vertAlign w:val="subscript"/>
          <w:lang w:val="en-US"/>
        </w:rPr>
        <w:t>max</w:t>
      </w:r>
      <w:r w:rsidR="00605C73">
        <w:rPr>
          <w:lang w:val="en-US"/>
        </w:rPr>
        <w:t xml:space="preserve"> for </w:t>
      </w:r>
      <w:r>
        <w:rPr>
          <w:lang w:val="en-US"/>
        </w:rPr>
        <w:t xml:space="preserve">fault sources </w:t>
      </w:r>
      <w:r w:rsidR="001E649E">
        <w:rPr>
          <w:lang w:val="en-US"/>
        </w:rPr>
        <w:t>are based on empirical relations between the maximum rupture area of a fault and M</w:t>
      </w:r>
      <w:r w:rsidR="001E649E" w:rsidRPr="00E57114">
        <w:rPr>
          <w:vertAlign w:val="subscript"/>
          <w:lang w:val="en-US"/>
        </w:rPr>
        <w:t>max</w:t>
      </w:r>
      <w:r w:rsidR="001E649E">
        <w:rPr>
          <w:lang w:val="en-US"/>
        </w:rPr>
        <w:t xml:space="preserve"> accounting for the fault kinematics (e.g., Wells &amp; Coppersmith, 1994; Vakov, 1996; Mohammadioun &amp; Serva, 2001; Striling et al., 2002; 2013).</w:t>
      </w:r>
      <w:r w:rsidR="001E649E" w:rsidRPr="001E649E">
        <w:rPr>
          <w:lang w:val="en-US"/>
        </w:rPr>
        <w:t xml:space="preserve"> </w:t>
      </w:r>
      <w:r w:rsidR="0019757F">
        <w:rPr>
          <w:lang w:val="en-US"/>
        </w:rPr>
        <w:t>Summaries and d</w:t>
      </w:r>
      <w:r w:rsidR="001E649E">
        <w:rPr>
          <w:lang w:val="en-US"/>
        </w:rPr>
        <w:t>iscussion</w:t>
      </w:r>
      <w:r w:rsidR="0019757F">
        <w:rPr>
          <w:lang w:val="en-US"/>
        </w:rPr>
        <w:t>s</w:t>
      </w:r>
      <w:r w:rsidR="001E649E">
        <w:rPr>
          <w:lang w:val="en-US"/>
        </w:rPr>
        <w:t xml:space="preserve"> of the method and </w:t>
      </w:r>
      <w:r w:rsidR="0019757F">
        <w:rPr>
          <w:lang w:val="en-US"/>
        </w:rPr>
        <w:t xml:space="preserve">its uncertainties are included in </w:t>
      </w:r>
      <w:r w:rsidR="001E649E">
        <w:rPr>
          <w:lang w:val="en-US"/>
        </w:rPr>
        <w:t xml:space="preserve">Stirling &amp; Godet (2012) and IAEA (2015, </w:t>
      </w:r>
      <w:r w:rsidR="0019757F">
        <w:rPr>
          <w:lang w:val="en-US"/>
        </w:rPr>
        <w:t xml:space="preserve">p. </w:t>
      </w:r>
      <w:r w:rsidR="001E649E">
        <w:rPr>
          <w:lang w:val="en-US"/>
        </w:rPr>
        <w:t>95 ff)</w:t>
      </w:r>
      <w:r w:rsidR="0019757F">
        <w:rPr>
          <w:lang w:val="en-US"/>
        </w:rPr>
        <w:t>.</w:t>
      </w:r>
    </w:p>
    <w:p w:rsidR="007354CB" w:rsidRDefault="007354CB" w:rsidP="007354CB">
      <w:pPr>
        <w:rPr>
          <w:lang w:val="en-US"/>
        </w:rPr>
      </w:pPr>
    </w:p>
    <w:p w:rsidR="00BD50BE" w:rsidRDefault="001E649E" w:rsidP="00BD50BE">
      <w:pPr>
        <w:rPr>
          <w:lang w:val="en-US"/>
        </w:rPr>
      </w:pPr>
      <w:r>
        <w:rPr>
          <w:lang w:val="en-US"/>
        </w:rPr>
        <w:t xml:space="preserve">The maximum rupture area </w:t>
      </w:r>
      <w:r w:rsidR="0019757F">
        <w:rPr>
          <w:lang w:val="en-US"/>
        </w:rPr>
        <w:t xml:space="preserve">of a fault that is used as an input to the assessment </w:t>
      </w:r>
      <w:r>
        <w:rPr>
          <w:lang w:val="en-US"/>
        </w:rPr>
        <w:t>may be equal to the total dime</w:t>
      </w:r>
      <w:r>
        <w:rPr>
          <w:lang w:val="en-US"/>
        </w:rPr>
        <w:t>n</w:t>
      </w:r>
      <w:r>
        <w:rPr>
          <w:lang w:val="en-US"/>
        </w:rPr>
        <w:t xml:space="preserve">sion of a fault, or to a segment </w:t>
      </w:r>
      <w:r w:rsidR="0019757F">
        <w:rPr>
          <w:lang w:val="en-US"/>
        </w:rPr>
        <w:t xml:space="preserve">of a fault which is believed to rupture during a seismic event. </w:t>
      </w:r>
      <w:r w:rsidR="00D3428E">
        <w:rPr>
          <w:lang w:val="en-US"/>
        </w:rPr>
        <w:t xml:space="preserve">The concept of fault segmentation derived from the common observation </w:t>
      </w:r>
      <w:r w:rsidR="00D3428E" w:rsidRPr="00D3428E">
        <w:rPr>
          <w:lang w:val="en-US"/>
        </w:rPr>
        <w:t>that especially long faults do not rupture along their entire length during one single earthquake (</w:t>
      </w:r>
      <w:r w:rsidR="00D3428E">
        <w:rPr>
          <w:lang w:val="en-US"/>
        </w:rPr>
        <w:t xml:space="preserve">e.g., </w:t>
      </w:r>
      <w:r w:rsidR="00F72337">
        <w:rPr>
          <w:lang w:val="en-US"/>
        </w:rPr>
        <w:t xml:space="preserve">King &amp; Nabelek, 1984; </w:t>
      </w:r>
      <w:r w:rsidR="00D3428E">
        <w:rPr>
          <w:lang w:val="en-US"/>
        </w:rPr>
        <w:t>S</w:t>
      </w:r>
      <w:r w:rsidR="00D3428E" w:rsidRPr="00D3428E">
        <w:rPr>
          <w:lang w:val="en-US"/>
        </w:rPr>
        <w:t xml:space="preserve">chwartz </w:t>
      </w:r>
      <w:r w:rsidR="00D3428E">
        <w:rPr>
          <w:lang w:val="en-US"/>
        </w:rPr>
        <w:t>&amp;</w:t>
      </w:r>
      <w:r w:rsidR="00D3428E" w:rsidRPr="00D3428E">
        <w:rPr>
          <w:lang w:val="en-US"/>
        </w:rPr>
        <w:t xml:space="preserve"> </w:t>
      </w:r>
      <w:r w:rsidR="00D3428E">
        <w:rPr>
          <w:lang w:val="en-US"/>
        </w:rPr>
        <w:t>C</w:t>
      </w:r>
      <w:r w:rsidR="00D3428E" w:rsidRPr="00D3428E">
        <w:rPr>
          <w:lang w:val="en-US"/>
        </w:rPr>
        <w:t>oppersmith 1984</w:t>
      </w:r>
      <w:r w:rsidR="00D3428E">
        <w:rPr>
          <w:lang w:val="en-US"/>
        </w:rPr>
        <w:t>; Tsutsumi &amp; Ok</w:t>
      </w:r>
      <w:r w:rsidR="00D3428E">
        <w:rPr>
          <w:lang w:val="en-US"/>
        </w:rPr>
        <w:t>a</w:t>
      </w:r>
      <w:r w:rsidR="00D3428E">
        <w:rPr>
          <w:lang w:val="en-US"/>
        </w:rPr>
        <w:t>da,</w:t>
      </w:r>
      <w:r w:rsidR="00D3428E" w:rsidRPr="00D3428E">
        <w:rPr>
          <w:lang w:val="en-US"/>
        </w:rPr>
        <w:t xml:space="preserve"> 1996</w:t>
      </w:r>
      <w:r w:rsidR="00D3428E">
        <w:rPr>
          <w:lang w:val="en-US"/>
        </w:rPr>
        <w:t>; Z</w:t>
      </w:r>
      <w:r w:rsidR="00D3428E" w:rsidRPr="00D3428E">
        <w:rPr>
          <w:lang w:val="en-US"/>
        </w:rPr>
        <w:t>hang et al</w:t>
      </w:r>
      <w:r w:rsidR="00D3428E">
        <w:rPr>
          <w:lang w:val="en-US"/>
        </w:rPr>
        <w:t>.,</w:t>
      </w:r>
      <w:r w:rsidR="00D3428E" w:rsidRPr="00D3428E">
        <w:rPr>
          <w:lang w:val="en-US"/>
        </w:rPr>
        <w:t xml:space="preserve"> 1991)</w:t>
      </w:r>
      <w:r w:rsidR="00F72337">
        <w:rPr>
          <w:lang w:val="en-US"/>
        </w:rPr>
        <w:t>. Dynamic fault rupture may be impede</w:t>
      </w:r>
      <w:r w:rsidR="00BD50BE">
        <w:rPr>
          <w:lang w:val="en-US"/>
        </w:rPr>
        <w:t>d</w:t>
      </w:r>
      <w:r w:rsidR="00F72337">
        <w:rPr>
          <w:lang w:val="en-US"/>
        </w:rPr>
        <w:t xml:space="preserve"> at geometric fault segment boundaries such as changes in fault strike, increase of the number of faults or the width of the fault zone, increased fault comple</w:t>
      </w:r>
      <w:r w:rsidR="00F72337">
        <w:rPr>
          <w:lang w:val="en-US"/>
        </w:rPr>
        <w:t>x</w:t>
      </w:r>
      <w:r w:rsidR="00F72337">
        <w:rPr>
          <w:lang w:val="en-US"/>
        </w:rPr>
        <w:t>ity, stepover of fault segments, or branch lines of s</w:t>
      </w:r>
      <w:r w:rsidR="00BD50BE">
        <w:rPr>
          <w:lang w:val="en-US"/>
        </w:rPr>
        <w:t>play faults (Zhang et al., 1991</w:t>
      </w:r>
      <w:r w:rsidR="00F72337">
        <w:rPr>
          <w:lang w:val="en-US"/>
        </w:rPr>
        <w:t xml:space="preserve">). Among these, </w:t>
      </w:r>
      <w:r w:rsidR="00F72337" w:rsidRPr="00F72337">
        <w:rPr>
          <w:lang w:val="en-US"/>
        </w:rPr>
        <w:t>significant fault bends are regarded to act as</w:t>
      </w:r>
      <w:r w:rsidR="00BD50BE">
        <w:rPr>
          <w:lang w:val="en-US"/>
        </w:rPr>
        <w:t xml:space="preserve"> </w:t>
      </w:r>
      <w:r w:rsidR="00CB3DAF">
        <w:rPr>
          <w:lang w:val="en-US"/>
        </w:rPr>
        <w:t xml:space="preserve">the </w:t>
      </w:r>
      <w:r w:rsidR="00BD50BE">
        <w:rPr>
          <w:lang w:val="en-US"/>
        </w:rPr>
        <w:t>strong</w:t>
      </w:r>
      <w:r w:rsidR="00CB3DAF">
        <w:rPr>
          <w:lang w:val="en-US"/>
        </w:rPr>
        <w:t>est</w:t>
      </w:r>
      <w:r w:rsidR="00BD50BE">
        <w:rPr>
          <w:lang w:val="en-US"/>
        </w:rPr>
        <w:t xml:space="preserve"> </w:t>
      </w:r>
      <w:r w:rsidR="00F72337" w:rsidRPr="00F72337">
        <w:rPr>
          <w:lang w:val="en-US"/>
        </w:rPr>
        <w:t>impediments during dynamic rupture propagation.</w:t>
      </w:r>
    </w:p>
    <w:p w:rsidR="00BD50BE" w:rsidRDefault="00BD50BE" w:rsidP="00BD50BE">
      <w:pPr>
        <w:rPr>
          <w:lang w:val="en-US"/>
        </w:rPr>
      </w:pPr>
    </w:p>
    <w:p w:rsidR="00F72337" w:rsidRDefault="00BD50BE" w:rsidP="00BD50BE">
      <w:pPr>
        <w:rPr>
          <w:lang w:val="en-US"/>
        </w:rPr>
      </w:pPr>
      <w:r>
        <w:rPr>
          <w:lang w:val="en-US"/>
        </w:rPr>
        <w:t>In cases where it is possible to precisely define the 3D geometry of a fault</w:t>
      </w:r>
      <w:r w:rsidR="00CB3DAF">
        <w:rPr>
          <w:lang w:val="en-US"/>
        </w:rPr>
        <w:t>,</w:t>
      </w:r>
      <w:r>
        <w:rPr>
          <w:lang w:val="en-US"/>
        </w:rPr>
        <w:t xml:space="preserve"> f</w:t>
      </w:r>
      <w:r w:rsidRPr="00BD50BE">
        <w:rPr>
          <w:lang w:val="en-US"/>
        </w:rPr>
        <w:t xml:space="preserve">ault segment dimensions </w:t>
      </w:r>
      <w:r>
        <w:rPr>
          <w:lang w:val="en-US"/>
        </w:rPr>
        <w:t>may cons</w:t>
      </w:r>
      <w:r>
        <w:rPr>
          <w:lang w:val="en-US"/>
        </w:rPr>
        <w:t>e</w:t>
      </w:r>
      <w:r>
        <w:rPr>
          <w:lang w:val="en-US"/>
        </w:rPr>
        <w:t xml:space="preserve">quently </w:t>
      </w:r>
      <w:r w:rsidRPr="00BD50BE">
        <w:rPr>
          <w:lang w:val="en-US"/>
        </w:rPr>
        <w:t>be used for</w:t>
      </w:r>
      <w:r>
        <w:rPr>
          <w:lang w:val="en-US"/>
        </w:rPr>
        <w:t xml:space="preserve"> </w:t>
      </w:r>
      <w:r w:rsidRPr="00BD50BE">
        <w:rPr>
          <w:lang w:val="en-US"/>
        </w:rPr>
        <w:t>constraining the maximum fault surface, which can break during single earthquakes</w:t>
      </w:r>
      <w:r>
        <w:rPr>
          <w:lang w:val="en-US"/>
        </w:rPr>
        <w:t>, and to assess M</w:t>
      </w:r>
      <w:r w:rsidRPr="00BD50BE">
        <w:rPr>
          <w:vertAlign w:val="subscript"/>
          <w:lang w:val="en-US"/>
        </w:rPr>
        <w:t>max</w:t>
      </w:r>
      <w:r>
        <w:rPr>
          <w:lang w:val="en-US"/>
        </w:rPr>
        <w:t xml:space="preserve"> (e.g., Beidinger &amp; Decker, 2011)</w:t>
      </w:r>
      <w:r w:rsidRPr="00BD50BE">
        <w:rPr>
          <w:lang w:val="en-US"/>
        </w:rPr>
        <w:t>.</w:t>
      </w:r>
      <w:r>
        <w:rPr>
          <w:lang w:val="en-US"/>
        </w:rPr>
        <w:t xml:space="preserve"> It must, however, be noted that </w:t>
      </w:r>
      <w:r w:rsidR="009E35D2">
        <w:rPr>
          <w:lang w:val="en-US"/>
        </w:rPr>
        <w:t xml:space="preserve">in </w:t>
      </w:r>
      <w:r w:rsidR="007F7FAA">
        <w:rPr>
          <w:lang w:val="en-US"/>
        </w:rPr>
        <w:t xml:space="preserve">many </w:t>
      </w:r>
      <w:r w:rsidR="00CB3DAF">
        <w:rPr>
          <w:lang w:val="en-US"/>
        </w:rPr>
        <w:t>c</w:t>
      </w:r>
      <w:r w:rsidR="007F7FAA">
        <w:rPr>
          <w:lang w:val="en-US"/>
        </w:rPr>
        <w:t xml:space="preserve">ases such detailed fault analyses </w:t>
      </w:r>
      <w:r w:rsidR="00CB3DAF">
        <w:rPr>
          <w:lang w:val="en-US"/>
        </w:rPr>
        <w:t>will</w:t>
      </w:r>
      <w:r w:rsidR="007F7FAA">
        <w:rPr>
          <w:lang w:val="en-US"/>
        </w:rPr>
        <w:t xml:space="preserve"> not available</w:t>
      </w:r>
      <w:r w:rsidR="00CB3DAF">
        <w:rPr>
          <w:lang w:val="en-US"/>
        </w:rPr>
        <w:t>. E</w:t>
      </w:r>
      <w:r w:rsidR="007F7FAA">
        <w:rPr>
          <w:lang w:val="en-US"/>
        </w:rPr>
        <w:t>rroneous assumptions of fault segmentation may lead to underestimat</w:t>
      </w:r>
      <w:r w:rsidR="00CB3DAF">
        <w:rPr>
          <w:lang w:val="en-US"/>
        </w:rPr>
        <w:t>ing</w:t>
      </w:r>
      <w:r w:rsidR="007F7FAA">
        <w:rPr>
          <w:lang w:val="en-US"/>
        </w:rPr>
        <w:t xml:space="preserve"> M</w:t>
      </w:r>
      <w:r w:rsidR="007F7FAA" w:rsidRPr="00CB3DAF">
        <w:rPr>
          <w:vertAlign w:val="subscript"/>
          <w:lang w:val="en-US"/>
        </w:rPr>
        <w:t>max</w:t>
      </w:r>
      <w:r w:rsidR="007F7FAA">
        <w:rPr>
          <w:lang w:val="en-US"/>
        </w:rPr>
        <w:t xml:space="preserve"> as it has been the case in the 2011, Tohoku earthquake. In </w:t>
      </w:r>
      <w:r w:rsidR="00845B3F">
        <w:rPr>
          <w:lang w:val="en-US"/>
        </w:rPr>
        <w:t xml:space="preserve">cases where </w:t>
      </w:r>
      <w:r w:rsidR="007F7FAA">
        <w:rPr>
          <w:lang w:val="en-US"/>
        </w:rPr>
        <w:t xml:space="preserve">reliable and detailed studies </w:t>
      </w:r>
      <w:r w:rsidR="00845B3F">
        <w:rPr>
          <w:lang w:val="en-US"/>
        </w:rPr>
        <w:t xml:space="preserve">on the subsurface geometry are not available </w:t>
      </w:r>
      <w:r w:rsidR="007F7FAA">
        <w:rPr>
          <w:lang w:val="en-US"/>
        </w:rPr>
        <w:t>the total fault area should consequently be used to assess M</w:t>
      </w:r>
      <w:r w:rsidR="007F7FAA" w:rsidRPr="007F7FAA">
        <w:rPr>
          <w:vertAlign w:val="subscript"/>
          <w:lang w:val="en-US"/>
        </w:rPr>
        <w:t>max</w:t>
      </w:r>
      <w:r w:rsidR="007F7FAA">
        <w:rPr>
          <w:lang w:val="en-US"/>
        </w:rPr>
        <w:t>.</w:t>
      </w:r>
    </w:p>
    <w:p w:rsidR="00BD50BE" w:rsidRDefault="00BD50BE" w:rsidP="00F72337">
      <w:pPr>
        <w:rPr>
          <w:lang w:val="en-US"/>
        </w:rPr>
      </w:pPr>
    </w:p>
    <w:p w:rsidR="00BD50BE" w:rsidRDefault="00BD50BE" w:rsidP="00F72337">
      <w:pPr>
        <w:rPr>
          <w:lang w:val="en-US"/>
        </w:rPr>
      </w:pPr>
    </w:p>
    <w:p w:rsidR="001E649E" w:rsidRDefault="001E649E" w:rsidP="001E649E">
      <w:pPr>
        <w:rPr>
          <w:lang w:val="en-US"/>
        </w:rPr>
      </w:pPr>
    </w:p>
    <w:p w:rsidR="00B41F0C" w:rsidRDefault="00B41F0C" w:rsidP="001E2D8C">
      <w:pPr>
        <w:rPr>
          <w:lang w:val="en-US"/>
        </w:rPr>
      </w:pPr>
    </w:p>
    <w:p w:rsidR="001E2D8C" w:rsidRDefault="0019757F" w:rsidP="00F10FCA">
      <w:pPr>
        <w:pStyle w:val="Titre3"/>
        <w:rPr>
          <w:lang w:val="en-US"/>
        </w:rPr>
      </w:pPr>
      <w:r>
        <w:rPr>
          <w:lang w:val="en-US"/>
        </w:rPr>
        <w:br w:type="page"/>
      </w:r>
      <w:bookmarkStart w:id="164" w:name="_Toc456011910"/>
      <w:r w:rsidR="00733CC1">
        <w:rPr>
          <w:lang w:val="en-US"/>
        </w:rPr>
        <w:lastRenderedPageBreak/>
        <w:t>Lower Bound</w:t>
      </w:r>
      <w:r w:rsidR="001E2D8C">
        <w:rPr>
          <w:lang w:val="en-US"/>
        </w:rPr>
        <w:t xml:space="preserve"> magnitude</w:t>
      </w:r>
      <w:bookmarkEnd w:id="164"/>
    </w:p>
    <w:p w:rsidR="00815B65" w:rsidRDefault="001C4656" w:rsidP="001E2D8C">
      <w:pPr>
        <w:rPr>
          <w:lang w:val="en-US"/>
        </w:rPr>
      </w:pPr>
      <w:r>
        <w:rPr>
          <w:lang w:val="en-US"/>
        </w:rPr>
        <w:t xml:space="preserve">The </w:t>
      </w:r>
      <w:r w:rsidR="00733CC1">
        <w:rPr>
          <w:lang w:val="en-US"/>
        </w:rPr>
        <w:t>lower bound magnitude (</w:t>
      </w:r>
      <w:r w:rsidR="00733CC1" w:rsidRPr="00815B65">
        <w:rPr>
          <w:lang w:val="en-US"/>
        </w:rPr>
        <w:t>LBM</w:t>
      </w:r>
      <w:r w:rsidR="00733CC1">
        <w:rPr>
          <w:lang w:val="en-US"/>
        </w:rPr>
        <w:t xml:space="preserve">) or </w:t>
      </w:r>
      <w:r>
        <w:rPr>
          <w:lang w:val="en-US"/>
        </w:rPr>
        <w:t xml:space="preserve">mimimum magnitude </w:t>
      </w:r>
      <w:r w:rsidR="00FF1A3A">
        <w:rPr>
          <w:lang w:val="en-US"/>
        </w:rPr>
        <w:t>(m</w:t>
      </w:r>
      <w:r w:rsidR="00FF1A3A" w:rsidRPr="001C4656">
        <w:rPr>
          <w:vertAlign w:val="subscript"/>
          <w:lang w:val="en-US"/>
        </w:rPr>
        <w:t>0</w:t>
      </w:r>
      <w:r w:rsidR="00FF1A3A">
        <w:rPr>
          <w:lang w:val="en-US"/>
        </w:rPr>
        <w:t xml:space="preserve">) </w:t>
      </w:r>
      <w:r>
        <w:rPr>
          <w:lang w:val="en-US"/>
        </w:rPr>
        <w:t>refers to the lowest earthquake magnitude which is considered in deriving ground sh</w:t>
      </w:r>
      <w:r w:rsidR="00A07F71">
        <w:rPr>
          <w:lang w:val="en-US"/>
        </w:rPr>
        <w:t>aking hazard curves for a site.</w:t>
      </w:r>
    </w:p>
    <w:p w:rsidR="00815B65" w:rsidRDefault="00815B65" w:rsidP="001E2D8C">
      <w:pPr>
        <w:rPr>
          <w:lang w:val="en-US"/>
        </w:rPr>
      </w:pPr>
    </w:p>
    <w:p w:rsidR="00F10FCA" w:rsidRDefault="00815B65" w:rsidP="00357F16">
      <w:pPr>
        <w:rPr>
          <w:lang w:val="en-US"/>
        </w:rPr>
      </w:pPr>
      <w:r w:rsidRPr="00815B65">
        <w:rPr>
          <w:lang w:val="en-US"/>
        </w:rPr>
        <w:t xml:space="preserve">The </w:t>
      </w:r>
      <w:r w:rsidR="00733CC1">
        <w:rPr>
          <w:lang w:val="en-US"/>
        </w:rPr>
        <w:t>lower bound</w:t>
      </w:r>
      <w:r w:rsidRPr="00815B65">
        <w:rPr>
          <w:lang w:val="en-US"/>
        </w:rPr>
        <w:t xml:space="preserve"> magnitude (</w:t>
      </w:r>
      <w:r w:rsidR="00733CC1" w:rsidRPr="00815B65">
        <w:rPr>
          <w:lang w:val="en-US"/>
        </w:rPr>
        <w:t>LBM</w:t>
      </w:r>
      <w:r w:rsidRPr="00815B65">
        <w:rPr>
          <w:lang w:val="en-US"/>
        </w:rPr>
        <w:t>) is significant parameter influencing the results of PSHA</w:t>
      </w:r>
      <w:r w:rsidR="00357F16">
        <w:rPr>
          <w:lang w:val="en-US"/>
        </w:rPr>
        <w:t xml:space="preserve"> in the way that higher values for m</w:t>
      </w:r>
      <w:r w:rsidR="00357F16" w:rsidRPr="001C4656">
        <w:rPr>
          <w:vertAlign w:val="subscript"/>
          <w:lang w:val="en-US"/>
        </w:rPr>
        <w:t>0</w:t>
      </w:r>
      <w:r w:rsidR="00357F16">
        <w:rPr>
          <w:lang w:val="en-US"/>
        </w:rPr>
        <w:t xml:space="preserve"> commonly result in lower apparent ground motion hazards. </w:t>
      </w:r>
      <w:r w:rsidR="00357F16" w:rsidRPr="00815B65">
        <w:rPr>
          <w:lang w:val="en-US"/>
        </w:rPr>
        <w:t xml:space="preserve">The minimum magnitude </w:t>
      </w:r>
      <w:r w:rsidRPr="00815B65">
        <w:rPr>
          <w:lang w:val="en-US"/>
        </w:rPr>
        <w:t xml:space="preserve">is a </w:t>
      </w:r>
      <w:r>
        <w:rPr>
          <w:lang w:val="en-US"/>
        </w:rPr>
        <w:t xml:space="preserve">lower </w:t>
      </w:r>
      <w:r w:rsidRPr="00815B65">
        <w:rPr>
          <w:lang w:val="en-US"/>
        </w:rPr>
        <w:t xml:space="preserve">cut-off value for the analysis, </w:t>
      </w:r>
      <w:r w:rsidR="00357F16">
        <w:rPr>
          <w:lang w:val="en-US"/>
        </w:rPr>
        <w:t>applied</w:t>
      </w:r>
      <w:r w:rsidRPr="00815B65">
        <w:rPr>
          <w:lang w:val="en-US"/>
        </w:rPr>
        <w:t xml:space="preserve"> because small-magnitude earthquakes can generate high PGA values in impulsive spikes. </w:t>
      </w:r>
      <w:r w:rsidR="00D13976">
        <w:rPr>
          <w:lang w:val="en-US"/>
        </w:rPr>
        <w:t>It is commonly assumed that t</w:t>
      </w:r>
      <w:r w:rsidRPr="00815B65">
        <w:rPr>
          <w:lang w:val="en-US"/>
        </w:rPr>
        <w:t xml:space="preserve">hese high accelerations do not have the capacity to cause damage </w:t>
      </w:r>
      <w:r>
        <w:rPr>
          <w:lang w:val="en-US"/>
        </w:rPr>
        <w:t>to eng</w:t>
      </w:r>
      <w:r>
        <w:rPr>
          <w:lang w:val="en-US"/>
        </w:rPr>
        <w:t>e</w:t>
      </w:r>
      <w:r>
        <w:rPr>
          <w:lang w:val="en-US"/>
        </w:rPr>
        <w:t>neered structures</w:t>
      </w:r>
      <w:r w:rsidRPr="00815B65">
        <w:rPr>
          <w:lang w:val="en-US"/>
        </w:rPr>
        <w:t xml:space="preserve"> </w:t>
      </w:r>
      <w:r w:rsidR="00FF1A3A">
        <w:rPr>
          <w:lang w:val="en-US"/>
        </w:rPr>
        <w:t xml:space="preserve">as </w:t>
      </w:r>
      <w:r w:rsidRPr="00815B65">
        <w:rPr>
          <w:lang w:val="en-US"/>
        </w:rPr>
        <w:t>they have insufficient energy or duration</w:t>
      </w:r>
      <w:r w:rsidR="00D13976">
        <w:rPr>
          <w:lang w:val="en-US"/>
        </w:rPr>
        <w:t xml:space="preserve">. They are consequently </w:t>
      </w:r>
      <w:r w:rsidRPr="00815B65">
        <w:rPr>
          <w:lang w:val="en-US"/>
        </w:rPr>
        <w:t>filtered out of the hazard calculations</w:t>
      </w:r>
      <w:r w:rsidR="00D2180C">
        <w:rPr>
          <w:lang w:val="en-US"/>
        </w:rPr>
        <w:t>.</w:t>
      </w:r>
      <w:r w:rsidR="00D13976">
        <w:rPr>
          <w:lang w:val="en-US"/>
        </w:rPr>
        <w:t xml:space="preserve"> </w:t>
      </w:r>
      <w:r w:rsidR="00D2180C" w:rsidRPr="00095CB5">
        <w:rPr>
          <w:lang w:val="en-US"/>
        </w:rPr>
        <w:t xml:space="preserve">The definition of </w:t>
      </w:r>
      <w:r w:rsidR="00FF1A3A">
        <w:rPr>
          <w:lang w:val="en-US"/>
        </w:rPr>
        <w:t>m</w:t>
      </w:r>
      <w:r w:rsidR="00FF1A3A" w:rsidRPr="001C4656">
        <w:rPr>
          <w:vertAlign w:val="subscript"/>
          <w:lang w:val="en-US"/>
        </w:rPr>
        <w:t>0</w:t>
      </w:r>
      <w:r w:rsidR="00FF1A3A">
        <w:rPr>
          <w:lang w:val="en-US"/>
        </w:rPr>
        <w:t xml:space="preserve"> </w:t>
      </w:r>
      <w:r w:rsidR="00D2180C" w:rsidRPr="00095CB5">
        <w:rPr>
          <w:lang w:val="en-US"/>
        </w:rPr>
        <w:t xml:space="preserve">is to some extent arbitrary. For ordinary masonry structures, it is common to use M = 4 as the </w:t>
      </w:r>
      <w:r w:rsidR="00733CC1" w:rsidRPr="00815B65">
        <w:rPr>
          <w:lang w:val="en-US"/>
        </w:rPr>
        <w:t>LBM</w:t>
      </w:r>
      <w:r w:rsidR="00D2180C" w:rsidRPr="00095CB5">
        <w:rPr>
          <w:lang w:val="en-US"/>
        </w:rPr>
        <w:t>, but engineered structures of good design should not be damaged by earthquakes smaller than M = 5, so this higher value is generally used</w:t>
      </w:r>
      <w:r w:rsidR="00D2180C">
        <w:rPr>
          <w:lang w:val="en-US"/>
        </w:rPr>
        <w:t xml:space="preserve"> for major engineering projects</w:t>
      </w:r>
      <w:r w:rsidR="00FF1A3A">
        <w:rPr>
          <w:lang w:val="en-US"/>
        </w:rPr>
        <w:t xml:space="preserve">. </w:t>
      </w:r>
      <w:r w:rsidR="00357F16">
        <w:rPr>
          <w:lang w:val="en-US"/>
        </w:rPr>
        <w:t>Seismic hazard evaluations</w:t>
      </w:r>
      <w:r w:rsidR="001C4656">
        <w:rPr>
          <w:lang w:val="en-US"/>
        </w:rPr>
        <w:t xml:space="preserve"> </w:t>
      </w:r>
      <w:r w:rsidR="00D2180C">
        <w:rPr>
          <w:lang w:val="en-US"/>
        </w:rPr>
        <w:t xml:space="preserve">for nuclear installations </w:t>
      </w:r>
      <w:r w:rsidR="00357F16">
        <w:rPr>
          <w:lang w:val="en-US"/>
        </w:rPr>
        <w:t>therefore frequently</w:t>
      </w:r>
      <w:r w:rsidR="001C4656">
        <w:rPr>
          <w:lang w:val="en-US"/>
        </w:rPr>
        <w:t xml:space="preserve"> consider only earthquakes with magnitudes greater than Mw = 5 (e.g., NAGRA, 2004).</w:t>
      </w:r>
      <w:r w:rsidR="00357F16">
        <w:rPr>
          <w:lang w:val="en-US"/>
        </w:rPr>
        <w:t xml:space="preserve"> This value corresponds to IAEA’s recommended maximum value for m</w:t>
      </w:r>
      <w:r w:rsidR="00357F16" w:rsidRPr="001C4656">
        <w:rPr>
          <w:vertAlign w:val="subscript"/>
          <w:lang w:val="en-US"/>
        </w:rPr>
        <w:t>0</w:t>
      </w:r>
      <w:r w:rsidR="00357F16" w:rsidRPr="00815B65">
        <w:rPr>
          <w:lang w:val="en-US"/>
        </w:rPr>
        <w:t xml:space="preserve"> </w:t>
      </w:r>
      <w:r w:rsidR="00891E09">
        <w:rPr>
          <w:lang w:val="en-US"/>
        </w:rPr>
        <w:t>(</w:t>
      </w:r>
      <w:r w:rsidR="00357F16" w:rsidRPr="00357F16">
        <w:rPr>
          <w:i/>
          <w:lang w:val="en-US"/>
        </w:rPr>
        <w:t xml:space="preserve">“a selected lower bound magnitude </w:t>
      </w:r>
      <w:r w:rsidR="00357F16">
        <w:rPr>
          <w:lang w:val="en-US"/>
        </w:rPr>
        <w:t>[</w:t>
      </w:r>
      <w:r w:rsidR="00733CC1" w:rsidRPr="00815B65">
        <w:rPr>
          <w:lang w:val="en-US"/>
        </w:rPr>
        <w:t>LBM</w:t>
      </w:r>
      <w:r w:rsidR="00357F16">
        <w:rPr>
          <w:lang w:val="en-US"/>
        </w:rPr>
        <w:t>]</w:t>
      </w:r>
      <w:r w:rsidR="00357F16" w:rsidRPr="00815B65">
        <w:rPr>
          <w:lang w:val="en-US"/>
        </w:rPr>
        <w:t xml:space="preserve"> </w:t>
      </w:r>
      <w:r w:rsidR="00357F16" w:rsidRPr="00357F16">
        <w:rPr>
          <w:i/>
          <w:lang w:val="en-US"/>
        </w:rPr>
        <w:t>should not exceed Mw = 5.0.”</w:t>
      </w:r>
      <w:r w:rsidR="00357F16">
        <w:rPr>
          <w:lang w:val="en-US"/>
        </w:rPr>
        <w:t xml:space="preserve"> IAEA, 2010, p. 44).</w:t>
      </w:r>
    </w:p>
    <w:p w:rsidR="00095CB5" w:rsidRDefault="00095CB5" w:rsidP="001E2D8C">
      <w:pPr>
        <w:rPr>
          <w:lang w:val="en-US"/>
        </w:rPr>
      </w:pPr>
    </w:p>
    <w:p w:rsidR="00D2180C" w:rsidRDefault="00095CB5" w:rsidP="00D2180C">
      <w:r w:rsidRPr="00D2180C">
        <w:rPr>
          <w:lang w:val="en-US"/>
        </w:rPr>
        <w:t xml:space="preserve">The selection of </w:t>
      </w:r>
      <w:r w:rsidR="00733CC1" w:rsidRPr="00815B65">
        <w:rPr>
          <w:lang w:val="en-US"/>
        </w:rPr>
        <w:t>LBM</w:t>
      </w:r>
      <w:r w:rsidR="00733CC1" w:rsidRPr="00D2180C">
        <w:rPr>
          <w:lang w:val="en-US"/>
        </w:rPr>
        <w:t xml:space="preserve"> </w:t>
      </w:r>
      <w:r w:rsidRPr="00D2180C">
        <w:rPr>
          <w:lang w:val="en-US"/>
        </w:rPr>
        <w:t xml:space="preserve">as Mw = 5 apparently is stimulated by </w:t>
      </w:r>
      <w:r w:rsidR="00D2180C" w:rsidRPr="00D2180C">
        <w:rPr>
          <w:lang w:val="en-US"/>
        </w:rPr>
        <w:t>operating experience from the USA where two eart</w:t>
      </w:r>
      <w:r w:rsidR="00D2180C" w:rsidRPr="00D2180C">
        <w:rPr>
          <w:lang w:val="en-US"/>
        </w:rPr>
        <w:t>h</w:t>
      </w:r>
      <w:r w:rsidR="00D2180C" w:rsidRPr="00D2180C">
        <w:rPr>
          <w:lang w:val="en-US"/>
        </w:rPr>
        <w:t>quake occurrences (</w:t>
      </w:r>
      <w:r w:rsidR="00D2180C" w:rsidRPr="00D2180C">
        <w:t>NPP North Anna, Earthquake of Mineral, Virginia, 23.08.2011, Mw = 5.8; Perry NPP, Leroy</w:t>
      </w:r>
      <w:r w:rsidR="00D2180C">
        <w:t xml:space="preserve"> earthquake 31.01.1986, M = 5) were found to induce no or only </w:t>
      </w:r>
      <w:r w:rsidR="00D2180C" w:rsidRPr="00D2180C">
        <w:t>low damage because of their short duration and high frequency content</w:t>
      </w:r>
      <w:r w:rsidR="00D2180C">
        <w:t xml:space="preserve"> (IAEA, 2003 </w:t>
      </w:r>
      <w:r w:rsidR="00D2180C" w:rsidRPr="008C257B">
        <w:rPr>
          <w:color w:val="0070C0"/>
        </w:rPr>
        <w:t>TECDOC-1341</w:t>
      </w:r>
      <w:r w:rsidR="00A07F71">
        <w:t>).</w:t>
      </w:r>
    </w:p>
    <w:p w:rsidR="00D2180C" w:rsidRDefault="00D2180C" w:rsidP="00D2180C"/>
    <w:p w:rsidR="00095CB5" w:rsidRDefault="00D2180C" w:rsidP="00095CB5">
      <w:pPr>
        <w:rPr>
          <w:lang w:val="en-US"/>
        </w:rPr>
      </w:pPr>
      <w:r>
        <w:t xml:space="preserve">No operating experience </w:t>
      </w:r>
      <w:r w:rsidR="00891E09">
        <w:t xml:space="preserve">about the effects of earthquakes with M ~ 5 </w:t>
      </w:r>
      <w:r>
        <w:t xml:space="preserve">exists from European NPPs. </w:t>
      </w:r>
      <w:r w:rsidR="00891E09">
        <w:t xml:space="preserve">In Europe </w:t>
      </w:r>
      <w:r w:rsidR="005254A8">
        <w:t>the design base earthquakes for a number of NPPs were originally defined by macroseismic intensities</w:t>
      </w:r>
      <w:r w:rsidR="00891E09">
        <w:t>. I</w:t>
      </w:r>
      <w:r w:rsidR="005254A8">
        <w:t xml:space="preserve">n some cases </w:t>
      </w:r>
      <w:r w:rsidR="00891E09">
        <w:t xml:space="preserve">hazard assessments performed during the siting process </w:t>
      </w:r>
      <w:r w:rsidR="005254A8">
        <w:t xml:space="preserve">resulting in DBEs with intensity </w:t>
      </w:r>
      <w:r w:rsidR="001378C5">
        <w:t xml:space="preserve">I = 7 to </w:t>
      </w:r>
      <w:r w:rsidR="00891E09">
        <w:t xml:space="preserve">8. </w:t>
      </w:r>
      <w:r w:rsidR="001378C5">
        <w:t xml:space="preserve">In intraplate Europe intensities </w:t>
      </w:r>
      <w:r w:rsidR="00FF1A3A">
        <w:t>of I</w:t>
      </w:r>
      <w:r w:rsidR="00891E09" w:rsidRPr="00891E09">
        <w:rPr>
          <w:vertAlign w:val="subscript"/>
        </w:rPr>
        <w:t>0</w:t>
      </w:r>
      <w:r w:rsidR="00FF1A3A">
        <w:t xml:space="preserve"> = 7 </w:t>
      </w:r>
      <w:r w:rsidR="001378C5">
        <w:t xml:space="preserve">correlate with earthquake magnitudes </w:t>
      </w:r>
      <w:r w:rsidR="00FF1A3A">
        <w:t>Mw ~ 5</w:t>
      </w:r>
      <w:r w:rsidR="00704D8D">
        <w:t xml:space="preserve"> (Grünthal et al., 2009)</w:t>
      </w:r>
      <w:r w:rsidR="00FF1A3A">
        <w:t xml:space="preserve"> indicating that the design basis of some NPPs is close to the </w:t>
      </w:r>
      <w:r w:rsidR="00891E09">
        <w:t xml:space="preserve">maximum value of </w:t>
      </w:r>
      <w:r w:rsidR="00733CC1" w:rsidRPr="00815B65">
        <w:rPr>
          <w:lang w:val="en-US"/>
        </w:rPr>
        <w:t>LBM</w:t>
      </w:r>
      <w:r w:rsidR="00733CC1">
        <w:t xml:space="preserve"> </w:t>
      </w:r>
      <w:r w:rsidR="00891E09">
        <w:t>(Mw = 5) proposed by IAEA</w:t>
      </w:r>
      <w:r w:rsidR="00FF1A3A">
        <w:t>. It appears ther</w:t>
      </w:r>
      <w:r w:rsidR="00FF1A3A">
        <w:t>e</w:t>
      </w:r>
      <w:r w:rsidR="00FF1A3A">
        <w:t xml:space="preserve">fore not straight foreward to apply </w:t>
      </w:r>
      <w:r w:rsidR="00733CC1" w:rsidRPr="00815B65">
        <w:rPr>
          <w:lang w:val="en-US"/>
        </w:rPr>
        <w:t>LBM</w:t>
      </w:r>
      <w:r w:rsidR="00733CC1">
        <w:t xml:space="preserve"> </w:t>
      </w:r>
      <w:r w:rsidR="00FF1A3A">
        <w:t xml:space="preserve">= 5 to such sites. In addition, </w:t>
      </w:r>
      <w:r w:rsidR="00095CB5">
        <w:rPr>
          <w:lang w:val="en-US"/>
        </w:rPr>
        <w:t xml:space="preserve">WENRA (2016; </w:t>
      </w:r>
      <w:r w:rsidR="00095CB5" w:rsidRPr="00014E59">
        <w:rPr>
          <w:color w:val="2E74B5"/>
          <w:lang w:val="en-US"/>
        </w:rPr>
        <w:t>Seismic Guidance</w:t>
      </w:r>
      <w:r w:rsidR="00095CB5">
        <w:rPr>
          <w:lang w:val="en-US"/>
        </w:rPr>
        <w:t>) addresses high-frequency v</w:t>
      </w:r>
      <w:r w:rsidR="00095CB5" w:rsidRPr="00815B65">
        <w:rPr>
          <w:lang w:val="en-US"/>
        </w:rPr>
        <w:t>ibratory movement with a frequency higher than 15 Hz</w:t>
      </w:r>
      <w:r w:rsidR="00095CB5">
        <w:rPr>
          <w:lang w:val="en-US"/>
        </w:rPr>
        <w:t xml:space="preserve"> as </w:t>
      </w:r>
      <w:r w:rsidR="00095CB5" w:rsidRPr="00815B65">
        <w:rPr>
          <w:lang w:val="en-US"/>
        </w:rPr>
        <w:t>such waves are important for sensitive co</w:t>
      </w:r>
      <w:r w:rsidR="00095CB5" w:rsidRPr="00815B65">
        <w:rPr>
          <w:lang w:val="en-US"/>
        </w:rPr>
        <w:t>m</w:t>
      </w:r>
      <w:r w:rsidR="00095CB5" w:rsidRPr="00815B65">
        <w:rPr>
          <w:lang w:val="en-US"/>
        </w:rPr>
        <w:t>ponents, e.g. relays.</w:t>
      </w:r>
      <w:r w:rsidR="00095CB5">
        <w:rPr>
          <w:lang w:val="en-US"/>
        </w:rPr>
        <w:t xml:space="preserve"> </w:t>
      </w:r>
      <w:r w:rsidR="00891E09">
        <w:rPr>
          <w:lang w:val="en-US"/>
        </w:rPr>
        <w:t>In</w:t>
      </w:r>
      <w:r w:rsidR="00D13976">
        <w:rPr>
          <w:lang w:val="en-US"/>
        </w:rPr>
        <w:t xml:space="preserve"> the selection </w:t>
      </w:r>
      <w:r w:rsidR="00891E09">
        <w:rPr>
          <w:lang w:val="en-US"/>
        </w:rPr>
        <w:t xml:space="preserve">process for </w:t>
      </w:r>
      <w:r w:rsidR="00FF1A3A">
        <w:rPr>
          <w:lang w:val="en-US"/>
        </w:rPr>
        <w:t>m</w:t>
      </w:r>
      <w:r w:rsidR="00FF1A3A" w:rsidRPr="001C4656">
        <w:rPr>
          <w:vertAlign w:val="subscript"/>
          <w:lang w:val="en-US"/>
        </w:rPr>
        <w:t>0</w:t>
      </w:r>
      <w:r w:rsidR="00FF1A3A">
        <w:rPr>
          <w:lang w:val="en-US"/>
        </w:rPr>
        <w:t xml:space="preserve"> </w:t>
      </w:r>
      <w:r w:rsidR="00D13976" w:rsidRPr="00D13976">
        <w:rPr>
          <w:lang w:val="en-US"/>
        </w:rPr>
        <w:t xml:space="preserve">it should </w:t>
      </w:r>
      <w:r w:rsidR="00095CB5">
        <w:rPr>
          <w:lang w:val="en-US"/>
        </w:rPr>
        <w:t xml:space="preserve">therefore </w:t>
      </w:r>
      <w:r w:rsidR="00D13976" w:rsidRPr="00D13976">
        <w:rPr>
          <w:lang w:val="en-US"/>
        </w:rPr>
        <w:t>be clarified whether or not the co</w:t>
      </w:r>
      <w:r w:rsidR="00D13976" w:rsidRPr="00D13976">
        <w:rPr>
          <w:lang w:val="en-US"/>
        </w:rPr>
        <w:t>n</w:t>
      </w:r>
      <w:r w:rsidR="00D13976" w:rsidRPr="00D13976">
        <w:rPr>
          <w:lang w:val="en-US"/>
        </w:rPr>
        <w:t xml:space="preserve">cept of the </w:t>
      </w:r>
      <w:r w:rsidR="00D13976">
        <w:rPr>
          <w:lang w:val="en-US"/>
        </w:rPr>
        <w:t>lower bound magnitude and the same level of m</w:t>
      </w:r>
      <w:r w:rsidR="00D13976" w:rsidRPr="001C4656">
        <w:rPr>
          <w:vertAlign w:val="subscript"/>
          <w:lang w:val="en-US"/>
        </w:rPr>
        <w:t>0</w:t>
      </w:r>
      <w:r w:rsidR="00D13976">
        <w:rPr>
          <w:lang w:val="en-US"/>
        </w:rPr>
        <w:t xml:space="preserve"> </w:t>
      </w:r>
      <w:r w:rsidR="00D13976" w:rsidRPr="00D13976">
        <w:rPr>
          <w:lang w:val="en-US"/>
        </w:rPr>
        <w:t xml:space="preserve">can be applied to all </w:t>
      </w:r>
      <w:r w:rsidR="00D13976">
        <w:rPr>
          <w:lang w:val="en-US"/>
        </w:rPr>
        <w:t>SSCs</w:t>
      </w:r>
      <w:r w:rsidR="00D13976" w:rsidRPr="00D13976">
        <w:rPr>
          <w:lang w:val="en-US"/>
        </w:rPr>
        <w:t xml:space="preserve"> of </w:t>
      </w:r>
      <w:r w:rsidR="00D13976">
        <w:rPr>
          <w:lang w:val="en-US"/>
        </w:rPr>
        <w:t>an</w:t>
      </w:r>
      <w:r w:rsidR="00D13976" w:rsidRPr="00D13976">
        <w:rPr>
          <w:lang w:val="en-US"/>
        </w:rPr>
        <w:t xml:space="preserve"> NPP which are su</w:t>
      </w:r>
      <w:r w:rsidR="00D13976" w:rsidRPr="00D13976">
        <w:rPr>
          <w:lang w:val="en-US"/>
        </w:rPr>
        <w:t>b</w:t>
      </w:r>
      <w:r w:rsidR="00D13976" w:rsidRPr="00D13976">
        <w:rPr>
          <w:lang w:val="en-US"/>
        </w:rPr>
        <w:t>jected to seismic qualification</w:t>
      </w:r>
      <w:r w:rsidR="00095CB5">
        <w:rPr>
          <w:lang w:val="en-US"/>
        </w:rPr>
        <w:t xml:space="preserve">, an all </w:t>
      </w:r>
      <w:r w:rsidR="00E047E9">
        <w:rPr>
          <w:lang w:val="en-US"/>
        </w:rPr>
        <w:t xml:space="preserve">civil  </w:t>
      </w:r>
      <w:r w:rsidR="00095CB5">
        <w:rPr>
          <w:lang w:val="en-US"/>
        </w:rPr>
        <w:t>str</w:t>
      </w:r>
      <w:r w:rsidR="00E047E9">
        <w:rPr>
          <w:lang w:val="en-US"/>
        </w:rPr>
        <w:t>u</w:t>
      </w:r>
      <w:r w:rsidR="00095CB5">
        <w:rPr>
          <w:lang w:val="en-US"/>
        </w:rPr>
        <w:t>ctures which are credited in a protection and defense in depth concept</w:t>
      </w:r>
      <w:r w:rsidR="00095CB5">
        <w:rPr>
          <w:rStyle w:val="Appelnotedebasdep"/>
          <w:lang w:val="en-US"/>
        </w:rPr>
        <w:footnoteReference w:id="11"/>
      </w:r>
      <w:r w:rsidR="00D13976" w:rsidRPr="00D13976">
        <w:rPr>
          <w:lang w:val="en-US"/>
        </w:rPr>
        <w:t xml:space="preserve">. </w:t>
      </w:r>
      <w:r w:rsidR="00095CB5">
        <w:rPr>
          <w:lang w:val="en-US"/>
        </w:rPr>
        <w:lastRenderedPageBreak/>
        <w:t xml:space="preserve">When applying a specific level of </w:t>
      </w:r>
      <w:r w:rsidR="00733CC1">
        <w:rPr>
          <w:lang w:val="en-US"/>
        </w:rPr>
        <w:t xml:space="preserve">the </w:t>
      </w:r>
      <w:r w:rsidR="00E047E9">
        <w:rPr>
          <w:lang w:val="en-US"/>
        </w:rPr>
        <w:t>L</w:t>
      </w:r>
      <w:r w:rsidR="00733CC1" w:rsidRPr="00815B65">
        <w:rPr>
          <w:lang w:val="en-US"/>
        </w:rPr>
        <w:t>BM</w:t>
      </w:r>
      <w:r w:rsidR="00733CC1">
        <w:rPr>
          <w:lang w:val="en-US"/>
        </w:rPr>
        <w:t xml:space="preserve"> </w:t>
      </w:r>
      <w:r w:rsidR="00095CB5">
        <w:rPr>
          <w:lang w:val="en-US"/>
        </w:rPr>
        <w:t xml:space="preserve">it should be </w:t>
      </w:r>
      <w:r w:rsidR="00D13976" w:rsidRPr="00D13976">
        <w:rPr>
          <w:lang w:val="en-US"/>
        </w:rPr>
        <w:t>rule</w:t>
      </w:r>
      <w:r w:rsidR="00095CB5">
        <w:rPr>
          <w:lang w:val="en-US"/>
        </w:rPr>
        <w:t>d</w:t>
      </w:r>
      <w:r w:rsidR="00D13976" w:rsidRPr="00D13976">
        <w:rPr>
          <w:lang w:val="en-US"/>
        </w:rPr>
        <w:t xml:space="preserve"> out that some critical components can be damaged by </w:t>
      </w:r>
      <w:r w:rsidR="00891E09">
        <w:rPr>
          <w:lang w:val="en-US"/>
        </w:rPr>
        <w:t>ground motion resulting from earthquakes</w:t>
      </w:r>
      <w:r w:rsidR="00D13976" w:rsidRPr="00D13976">
        <w:rPr>
          <w:lang w:val="en-US"/>
        </w:rPr>
        <w:t xml:space="preserve"> with M &lt; </w:t>
      </w:r>
      <w:r w:rsidR="00733CC1" w:rsidRPr="00815B65">
        <w:rPr>
          <w:lang w:val="en-US"/>
        </w:rPr>
        <w:t>LBM</w:t>
      </w:r>
      <w:r w:rsidR="00095CB5">
        <w:rPr>
          <w:lang w:val="en-US"/>
        </w:rPr>
        <w:t>.</w:t>
      </w:r>
    </w:p>
    <w:p w:rsidR="00815B65" w:rsidRDefault="00815B65" w:rsidP="001E2D8C">
      <w:pPr>
        <w:rPr>
          <w:lang w:val="en-US"/>
        </w:rPr>
      </w:pPr>
    </w:p>
    <w:p w:rsidR="00F02632" w:rsidRPr="00F02632" w:rsidRDefault="00F02632" w:rsidP="00F02632">
      <w:r w:rsidRPr="00F02632">
        <w:t>It is further suggested to base the selection of minimum magnitude a sensitivity study to determine how much influence it has on the hazard results (Reiter, 1990).</w:t>
      </w:r>
    </w:p>
    <w:p w:rsidR="00F02632" w:rsidRPr="00F02632" w:rsidRDefault="00F02632" w:rsidP="001E2D8C"/>
    <w:p w:rsidR="00095CB5" w:rsidRDefault="00095CB5" w:rsidP="001E2D8C">
      <w:pPr>
        <w:rPr>
          <w:lang w:val="en-US"/>
        </w:rPr>
      </w:pPr>
    </w:p>
    <w:p w:rsidR="00815B65" w:rsidRDefault="00815B65" w:rsidP="001E2D8C">
      <w:pPr>
        <w:rPr>
          <w:lang w:val="en-US"/>
        </w:rPr>
      </w:pPr>
    </w:p>
    <w:p w:rsidR="00815B65" w:rsidRDefault="00815B65" w:rsidP="001E2D8C">
      <w:pPr>
        <w:rPr>
          <w:lang w:val="en-US"/>
        </w:rPr>
      </w:pPr>
    </w:p>
    <w:p w:rsidR="00B41BEE" w:rsidRDefault="00B41BEE" w:rsidP="001E2D8C">
      <w:pPr>
        <w:rPr>
          <w:lang w:val="en-US"/>
        </w:rPr>
      </w:pPr>
    </w:p>
    <w:p w:rsidR="001E2D8C" w:rsidRPr="001E2D8C" w:rsidRDefault="005701D1" w:rsidP="001E2D8C">
      <w:pPr>
        <w:pStyle w:val="Titre2"/>
        <w:rPr>
          <w:lang w:val="en-US"/>
        </w:rPr>
      </w:pPr>
      <w:r>
        <w:rPr>
          <w:lang w:val="en-US"/>
        </w:rPr>
        <w:br w:type="page"/>
      </w:r>
      <w:bookmarkStart w:id="165" w:name="_Toc456011911"/>
      <w:r w:rsidR="001E2D8C" w:rsidRPr="001E2D8C">
        <w:rPr>
          <w:lang w:val="en-US"/>
        </w:rPr>
        <w:lastRenderedPageBreak/>
        <w:t>Methods commonly applied.</w:t>
      </w:r>
      <w:bookmarkEnd w:id="165"/>
      <w:r w:rsidR="001E2D8C" w:rsidRPr="001E2D8C">
        <w:rPr>
          <w:lang w:val="en-US"/>
        </w:rPr>
        <w:t xml:space="preserve"> </w:t>
      </w:r>
    </w:p>
    <w:p w:rsidR="00A33966" w:rsidRDefault="00A33966" w:rsidP="00A33966">
      <w:pPr>
        <w:pStyle w:val="Titre3"/>
        <w:rPr>
          <w:lang w:val="en-US"/>
        </w:rPr>
      </w:pPr>
      <w:bookmarkStart w:id="166" w:name="_Toc456011912"/>
      <w:r>
        <w:rPr>
          <w:lang w:val="en-US"/>
        </w:rPr>
        <w:t>Probabilistic Seismic Hazard Analysis (PSHA)</w:t>
      </w:r>
      <w:bookmarkEnd w:id="166"/>
    </w:p>
    <w:p w:rsidR="00C00ACD" w:rsidRPr="00C00ACD" w:rsidRDefault="00C00ACD" w:rsidP="00C00ACD">
      <w:pPr>
        <w:rPr>
          <w:lang w:val="en-US"/>
        </w:rPr>
      </w:pPr>
      <w:r>
        <w:rPr>
          <w:lang w:val="en-US"/>
        </w:rPr>
        <w:t>PSHA a</w:t>
      </w:r>
      <w:r w:rsidRPr="00C00ACD">
        <w:rPr>
          <w:lang w:val="en-US"/>
        </w:rPr>
        <w:t xml:space="preserve">ssesses the probability that a given </w:t>
      </w:r>
      <w:r>
        <w:rPr>
          <w:lang w:val="en-US"/>
        </w:rPr>
        <w:t>vibratory ground</w:t>
      </w:r>
      <w:r w:rsidRPr="00C00ACD">
        <w:rPr>
          <w:lang w:val="en-US"/>
        </w:rPr>
        <w:t xml:space="preserve"> motion (characterized by ground motion parameter</w:t>
      </w:r>
      <w:r>
        <w:rPr>
          <w:lang w:val="en-US"/>
        </w:rPr>
        <w:t>s expressed by</w:t>
      </w:r>
      <w:r w:rsidRPr="00C00ACD">
        <w:rPr>
          <w:lang w:val="en-US"/>
        </w:rPr>
        <w:t xml:space="preserve"> </w:t>
      </w:r>
      <w:r>
        <w:rPr>
          <w:lang w:val="en-US"/>
        </w:rPr>
        <w:t xml:space="preserve">PGA, spectral </w:t>
      </w:r>
      <w:r w:rsidRPr="00C00ACD">
        <w:rPr>
          <w:lang w:val="en-US"/>
        </w:rPr>
        <w:t>acceleration</w:t>
      </w:r>
      <w:r>
        <w:rPr>
          <w:lang w:val="en-US"/>
        </w:rPr>
        <w:t xml:space="preserve"> etc.; see chapter </w:t>
      </w:r>
      <w:r>
        <w:rPr>
          <w:lang w:val="en-US"/>
        </w:rPr>
        <w:fldChar w:fldCharType="begin"/>
      </w:r>
      <w:r>
        <w:rPr>
          <w:lang w:val="en-US"/>
        </w:rPr>
        <w:instrText xml:space="preserve"> REF _Ref451420144 \r \h </w:instrText>
      </w:r>
      <w:r>
        <w:rPr>
          <w:lang w:val="en-US"/>
        </w:rPr>
      </w:r>
      <w:r>
        <w:rPr>
          <w:lang w:val="en-US"/>
        </w:rPr>
        <w:fldChar w:fldCharType="separate"/>
      </w:r>
      <w:r w:rsidR="00173034">
        <w:rPr>
          <w:lang w:val="en-US"/>
        </w:rPr>
        <w:t>4.1</w:t>
      </w:r>
      <w:r>
        <w:rPr>
          <w:lang w:val="en-US"/>
        </w:rPr>
        <w:fldChar w:fldCharType="end"/>
      </w:r>
      <w:r>
        <w:rPr>
          <w:lang w:val="en-US"/>
        </w:rPr>
        <w:t xml:space="preserve">, page </w:t>
      </w:r>
      <w:r>
        <w:rPr>
          <w:lang w:val="en-US"/>
        </w:rPr>
        <w:fldChar w:fldCharType="begin"/>
      </w:r>
      <w:r>
        <w:rPr>
          <w:lang w:val="en-US"/>
        </w:rPr>
        <w:instrText xml:space="preserve"> PAGEREF _Ref451420147 \h </w:instrText>
      </w:r>
      <w:r>
        <w:rPr>
          <w:lang w:val="en-US"/>
        </w:rPr>
      </w:r>
      <w:r>
        <w:rPr>
          <w:lang w:val="en-US"/>
        </w:rPr>
        <w:fldChar w:fldCharType="separate"/>
      </w:r>
      <w:r w:rsidR="00173034">
        <w:rPr>
          <w:noProof/>
          <w:lang w:val="en-US"/>
        </w:rPr>
        <w:t>64</w:t>
      </w:r>
      <w:r>
        <w:rPr>
          <w:lang w:val="en-US"/>
        </w:rPr>
        <w:fldChar w:fldCharType="end"/>
      </w:r>
      <w:r w:rsidRPr="00C00ACD">
        <w:rPr>
          <w:lang w:val="en-US"/>
        </w:rPr>
        <w:t xml:space="preserve">) happens at least once in a given place and during a given time </w:t>
      </w:r>
      <w:r>
        <w:rPr>
          <w:lang w:val="en-US"/>
        </w:rPr>
        <w:t>period</w:t>
      </w:r>
      <w:r w:rsidR="009118FB">
        <w:rPr>
          <w:lang w:val="en-US"/>
        </w:rPr>
        <w:t xml:space="preserve">. The method is </w:t>
      </w:r>
      <w:r w:rsidRPr="00C00ACD">
        <w:rPr>
          <w:lang w:val="en-US"/>
        </w:rPr>
        <w:t>originally based on Cornell</w:t>
      </w:r>
      <w:r w:rsidR="009118FB">
        <w:rPr>
          <w:lang w:val="en-US"/>
        </w:rPr>
        <w:t xml:space="preserve"> (</w:t>
      </w:r>
      <w:r w:rsidRPr="00C00ACD">
        <w:rPr>
          <w:lang w:val="en-US"/>
        </w:rPr>
        <w:t>1968).</w:t>
      </w:r>
      <w:r>
        <w:rPr>
          <w:lang w:val="en-US"/>
        </w:rPr>
        <w:t xml:space="preserve"> The calculation of probabilities is based on a Poisson model which a</w:t>
      </w:r>
      <w:r w:rsidRPr="00C00ACD">
        <w:rPr>
          <w:lang w:val="en-US"/>
        </w:rPr>
        <w:t>ssumes that all events are independent in both time and space</w:t>
      </w:r>
      <w:r>
        <w:rPr>
          <w:rStyle w:val="Appelnotedebasdep"/>
          <w:lang w:val="en-US"/>
        </w:rPr>
        <w:footnoteReference w:id="12"/>
      </w:r>
      <w:r w:rsidRPr="00C00ACD">
        <w:rPr>
          <w:lang w:val="en-US"/>
        </w:rPr>
        <w:t xml:space="preserve">. The model is </w:t>
      </w:r>
      <w:r w:rsidR="009118FB">
        <w:rPr>
          <w:lang w:val="en-US"/>
        </w:rPr>
        <w:t xml:space="preserve">therefore </w:t>
      </w:r>
      <w:r w:rsidRPr="00C00ACD">
        <w:rPr>
          <w:lang w:val="en-US"/>
        </w:rPr>
        <w:t>“stationary”</w:t>
      </w:r>
      <w:r>
        <w:rPr>
          <w:lang w:val="en-US"/>
        </w:rPr>
        <w:t xml:space="preserve"> meaning that the l</w:t>
      </w:r>
      <w:r w:rsidRPr="00C00ACD">
        <w:rPr>
          <w:lang w:val="en-US"/>
        </w:rPr>
        <w:t>ikeliness of an earthquake does increase with the time elapsed from the last event. It therefore does not account for the buildup of stress.</w:t>
      </w:r>
    </w:p>
    <w:p w:rsidR="00C00ACD" w:rsidRDefault="00C00ACD" w:rsidP="00BB27FD">
      <w:pPr>
        <w:rPr>
          <w:lang w:val="en-US"/>
        </w:rPr>
      </w:pPr>
    </w:p>
    <w:p w:rsidR="00A33966" w:rsidRDefault="00C00ACD" w:rsidP="00BB27FD">
      <w:pPr>
        <w:rPr>
          <w:lang w:val="en-US"/>
        </w:rPr>
      </w:pPr>
      <w:r>
        <w:rPr>
          <w:lang w:val="en-US"/>
        </w:rPr>
        <w:t xml:space="preserve">The </w:t>
      </w:r>
      <w:r w:rsidR="0019249C">
        <w:rPr>
          <w:lang w:val="en-US"/>
        </w:rPr>
        <w:t xml:space="preserve">PSHA </w:t>
      </w:r>
      <w:r>
        <w:rPr>
          <w:lang w:val="en-US"/>
        </w:rPr>
        <w:t>methodology for calculating the probability of occurrence of vibratory ground motion at a specific site is well established since the 1970ies (Cornell, 1971; Der Kiureghian &amp; Ang, 1975; McGuire, 1976</w:t>
      </w:r>
      <w:r w:rsidR="00583747">
        <w:rPr>
          <w:lang w:val="en-US"/>
        </w:rPr>
        <w:t>;</w:t>
      </w:r>
      <w:r>
        <w:rPr>
          <w:lang w:val="en-US"/>
        </w:rPr>
        <w:t xml:space="preserve"> 1978</w:t>
      </w:r>
      <w:r w:rsidR="00583747">
        <w:rPr>
          <w:lang w:val="en-US"/>
        </w:rPr>
        <w:t>; 1995</w:t>
      </w:r>
      <w:r w:rsidR="00A07F71">
        <w:rPr>
          <w:lang w:val="en-US"/>
        </w:rPr>
        <w:t>).</w:t>
      </w:r>
    </w:p>
    <w:p w:rsidR="00233FE7" w:rsidRDefault="00233FE7" w:rsidP="00BB27FD">
      <w:pPr>
        <w:rPr>
          <w:lang w:val="en-US"/>
        </w:rPr>
      </w:pPr>
    </w:p>
    <w:p w:rsidR="00012258" w:rsidRDefault="00765ACA" w:rsidP="00BB27FD">
      <w:pPr>
        <w:rPr>
          <w:lang w:val="en-US"/>
        </w:rPr>
      </w:pPr>
      <w:r>
        <w:rPr>
          <w:lang w:val="en-US"/>
        </w:rPr>
        <w:t>C</w:t>
      </w:r>
      <w:r w:rsidR="00041411">
        <w:rPr>
          <w:lang w:val="en-US"/>
        </w:rPr>
        <w:t>omprehensive description</w:t>
      </w:r>
      <w:r>
        <w:rPr>
          <w:lang w:val="en-US"/>
        </w:rPr>
        <w:t>s</w:t>
      </w:r>
      <w:r w:rsidR="00041411">
        <w:rPr>
          <w:lang w:val="en-US"/>
        </w:rPr>
        <w:t xml:space="preserve"> of </w:t>
      </w:r>
      <w:r>
        <w:rPr>
          <w:lang w:val="en-US"/>
        </w:rPr>
        <w:t xml:space="preserve">the </w:t>
      </w:r>
      <w:r w:rsidR="00041411">
        <w:rPr>
          <w:lang w:val="en-US"/>
        </w:rPr>
        <w:t xml:space="preserve">PSHA approach </w:t>
      </w:r>
      <w:r>
        <w:rPr>
          <w:lang w:val="en-US"/>
        </w:rPr>
        <w:t>are, for example,</w:t>
      </w:r>
      <w:r w:rsidR="00041411">
        <w:rPr>
          <w:lang w:val="en-US"/>
        </w:rPr>
        <w:t xml:space="preserve"> included in </w:t>
      </w:r>
      <w:r>
        <w:rPr>
          <w:lang w:val="en-US"/>
        </w:rPr>
        <w:t>Gre</w:t>
      </w:r>
      <w:r w:rsidR="00E047E9">
        <w:rPr>
          <w:lang w:val="en-US"/>
        </w:rPr>
        <w:t>e</w:t>
      </w:r>
      <w:r>
        <w:rPr>
          <w:lang w:val="en-US"/>
        </w:rPr>
        <w:t xml:space="preserve">n &amp; Hall (1994) and </w:t>
      </w:r>
      <w:r w:rsidR="00041411">
        <w:rPr>
          <w:lang w:val="en-US"/>
        </w:rPr>
        <w:t>NAGRA (2004</w:t>
      </w:r>
      <w:r w:rsidR="00681111">
        <w:rPr>
          <w:lang w:val="en-US"/>
        </w:rPr>
        <w:t>, volume 1</w:t>
      </w:r>
      <w:r w:rsidR="00041411">
        <w:rPr>
          <w:lang w:val="en-US"/>
        </w:rPr>
        <w:t xml:space="preserve">). </w:t>
      </w:r>
      <w:r w:rsidR="00F02632">
        <w:rPr>
          <w:lang w:val="en-US"/>
        </w:rPr>
        <w:t>PSHA</w:t>
      </w:r>
      <w:r w:rsidR="00041411">
        <w:rPr>
          <w:lang w:val="en-US"/>
        </w:rPr>
        <w:t xml:space="preserve"> h</w:t>
      </w:r>
      <w:r w:rsidR="00012258">
        <w:rPr>
          <w:lang w:val="en-US"/>
        </w:rPr>
        <w:t>azard calculation is based on specifications of the following inputs</w:t>
      </w:r>
      <w:r w:rsidR="00F02632">
        <w:rPr>
          <w:lang w:val="en-US"/>
        </w:rPr>
        <w:t xml:space="preserve"> and steps</w:t>
      </w:r>
      <w:r w:rsidR="00012258">
        <w:rPr>
          <w:lang w:val="en-US"/>
        </w:rPr>
        <w:t>:</w:t>
      </w:r>
    </w:p>
    <w:p w:rsidR="00681111" w:rsidRDefault="00F02632" w:rsidP="00860D1D">
      <w:pPr>
        <w:numPr>
          <w:ilvl w:val="0"/>
          <w:numId w:val="50"/>
        </w:numPr>
        <w:rPr>
          <w:lang w:val="en-US"/>
        </w:rPr>
      </w:pPr>
      <w:r>
        <w:rPr>
          <w:lang w:val="en-US"/>
        </w:rPr>
        <w:t>Identification of sources and establishement of s</w:t>
      </w:r>
      <w:r w:rsidR="00012258" w:rsidRPr="00681111">
        <w:rPr>
          <w:lang w:val="en-US"/>
        </w:rPr>
        <w:t xml:space="preserve">ource geometry. PSHA requires to specify the </w:t>
      </w:r>
      <w:r w:rsidR="001D5ED4" w:rsidRPr="00681111">
        <w:rPr>
          <w:lang w:val="en-US"/>
        </w:rPr>
        <w:t xml:space="preserve">geometry and </w:t>
      </w:r>
      <w:r w:rsidR="00012258" w:rsidRPr="00681111">
        <w:rPr>
          <w:lang w:val="en-US"/>
        </w:rPr>
        <w:t xml:space="preserve">geographical location of fault </w:t>
      </w:r>
      <w:r>
        <w:rPr>
          <w:lang w:val="en-US"/>
        </w:rPr>
        <w:t xml:space="preserve">(or line) </w:t>
      </w:r>
      <w:r w:rsidR="00012258" w:rsidRPr="00681111">
        <w:rPr>
          <w:lang w:val="en-US"/>
        </w:rPr>
        <w:t xml:space="preserve">sources (chapter </w:t>
      </w:r>
      <w:r w:rsidR="00012258" w:rsidRPr="00681111">
        <w:rPr>
          <w:lang w:val="en-US"/>
        </w:rPr>
        <w:fldChar w:fldCharType="begin"/>
      </w:r>
      <w:r w:rsidR="00012258" w:rsidRPr="00681111">
        <w:rPr>
          <w:lang w:val="en-US"/>
        </w:rPr>
        <w:instrText xml:space="preserve"> REF _Ref433386373 \r \h </w:instrText>
      </w:r>
      <w:r w:rsidR="00012258">
        <w:rPr>
          <w:lang w:val="en-US"/>
        </w:rPr>
      </w:r>
      <w:r w:rsidR="00012258" w:rsidRPr="00681111">
        <w:rPr>
          <w:lang w:val="en-US"/>
        </w:rPr>
        <w:fldChar w:fldCharType="separate"/>
      </w:r>
      <w:r w:rsidR="00173034">
        <w:rPr>
          <w:lang w:val="en-US"/>
        </w:rPr>
        <w:t>4.2.1</w:t>
      </w:r>
      <w:r w:rsidR="00012258" w:rsidRPr="00681111">
        <w:rPr>
          <w:lang w:val="en-US"/>
        </w:rPr>
        <w:fldChar w:fldCharType="end"/>
      </w:r>
      <w:r w:rsidR="00012258" w:rsidRPr="00681111">
        <w:rPr>
          <w:lang w:val="en-US"/>
        </w:rPr>
        <w:t xml:space="preserve">, page </w:t>
      </w:r>
      <w:r w:rsidR="00012258" w:rsidRPr="00681111">
        <w:rPr>
          <w:lang w:val="en-US"/>
        </w:rPr>
        <w:fldChar w:fldCharType="begin"/>
      </w:r>
      <w:r w:rsidR="00012258" w:rsidRPr="00681111">
        <w:rPr>
          <w:lang w:val="en-US"/>
        </w:rPr>
        <w:instrText xml:space="preserve"> PAGEREF _Ref433386373 \h </w:instrText>
      </w:r>
      <w:r w:rsidR="00012258">
        <w:rPr>
          <w:lang w:val="en-US"/>
        </w:rPr>
      </w:r>
      <w:r w:rsidR="00012258" w:rsidRPr="00681111">
        <w:rPr>
          <w:lang w:val="en-US"/>
        </w:rPr>
        <w:fldChar w:fldCharType="separate"/>
      </w:r>
      <w:r w:rsidR="00173034">
        <w:rPr>
          <w:noProof/>
          <w:lang w:val="en-US"/>
        </w:rPr>
        <w:t>69</w:t>
      </w:r>
      <w:r w:rsidR="00012258" w:rsidRPr="00681111">
        <w:rPr>
          <w:lang w:val="en-US"/>
        </w:rPr>
        <w:fldChar w:fldCharType="end"/>
      </w:r>
      <w:r w:rsidR="00012258" w:rsidRPr="00681111">
        <w:rPr>
          <w:lang w:val="en-US"/>
        </w:rPr>
        <w:t xml:space="preserve">) and seismic source zones </w:t>
      </w:r>
      <w:r>
        <w:rPr>
          <w:lang w:val="en-US"/>
        </w:rPr>
        <w:t>(a</w:t>
      </w:r>
      <w:r>
        <w:rPr>
          <w:lang w:val="en-US"/>
        </w:rPr>
        <w:t>r</w:t>
      </w:r>
      <w:r>
        <w:rPr>
          <w:lang w:val="en-US"/>
        </w:rPr>
        <w:t xml:space="preserve">ea sources; </w:t>
      </w:r>
      <w:r w:rsidR="00012258" w:rsidRPr="00681111">
        <w:rPr>
          <w:lang w:val="en-US"/>
        </w:rPr>
        <w:t xml:space="preserve">chapter </w:t>
      </w:r>
      <w:r w:rsidR="00012258" w:rsidRPr="00681111">
        <w:rPr>
          <w:lang w:val="en-US"/>
        </w:rPr>
        <w:fldChar w:fldCharType="begin"/>
      </w:r>
      <w:r w:rsidR="00012258" w:rsidRPr="00681111">
        <w:rPr>
          <w:lang w:val="en-US"/>
        </w:rPr>
        <w:instrText xml:space="preserve"> REF _Ref451421479 \r \h </w:instrText>
      </w:r>
      <w:r w:rsidR="00012258">
        <w:rPr>
          <w:lang w:val="en-US"/>
        </w:rPr>
      </w:r>
      <w:r w:rsidR="00012258" w:rsidRPr="00681111">
        <w:rPr>
          <w:lang w:val="en-US"/>
        </w:rPr>
        <w:fldChar w:fldCharType="separate"/>
      </w:r>
      <w:r w:rsidR="00173034">
        <w:rPr>
          <w:lang w:val="en-US"/>
        </w:rPr>
        <w:t>4.2.2</w:t>
      </w:r>
      <w:r w:rsidR="00012258" w:rsidRPr="00681111">
        <w:rPr>
          <w:lang w:val="en-US"/>
        </w:rPr>
        <w:fldChar w:fldCharType="end"/>
      </w:r>
      <w:r w:rsidR="00012258" w:rsidRPr="00681111">
        <w:rPr>
          <w:lang w:val="en-US"/>
        </w:rPr>
        <w:t xml:space="preserve">, page </w:t>
      </w:r>
      <w:r w:rsidR="00012258" w:rsidRPr="00681111">
        <w:rPr>
          <w:lang w:val="en-US"/>
        </w:rPr>
        <w:fldChar w:fldCharType="begin"/>
      </w:r>
      <w:r w:rsidR="00012258" w:rsidRPr="00681111">
        <w:rPr>
          <w:lang w:val="en-US"/>
        </w:rPr>
        <w:instrText xml:space="preserve"> PAGEREF _Ref451421472 \h </w:instrText>
      </w:r>
      <w:r w:rsidR="00012258">
        <w:rPr>
          <w:lang w:val="en-US"/>
        </w:rPr>
      </w:r>
      <w:r w:rsidR="00012258" w:rsidRPr="00681111">
        <w:rPr>
          <w:lang w:val="en-US"/>
        </w:rPr>
        <w:fldChar w:fldCharType="separate"/>
      </w:r>
      <w:r w:rsidR="00173034">
        <w:rPr>
          <w:noProof/>
          <w:lang w:val="en-US"/>
        </w:rPr>
        <w:t>74</w:t>
      </w:r>
      <w:r w:rsidR="00012258" w:rsidRPr="00681111">
        <w:rPr>
          <w:lang w:val="en-US"/>
        </w:rPr>
        <w:fldChar w:fldCharType="end"/>
      </w:r>
      <w:r w:rsidR="00A07F71">
        <w:rPr>
          <w:lang w:val="en-US"/>
        </w:rPr>
        <w:t>).</w:t>
      </w:r>
    </w:p>
    <w:p w:rsidR="0001235A" w:rsidRPr="00681111" w:rsidRDefault="0001235A" w:rsidP="00860D1D">
      <w:pPr>
        <w:numPr>
          <w:ilvl w:val="0"/>
          <w:numId w:val="50"/>
        </w:numPr>
        <w:rPr>
          <w:lang w:val="en-US"/>
        </w:rPr>
      </w:pPr>
      <w:r w:rsidRPr="00681111">
        <w:rPr>
          <w:lang w:val="en-US"/>
        </w:rPr>
        <w:t>Earthquake recurrence</w:t>
      </w:r>
      <w:r w:rsidR="00F02632">
        <w:rPr>
          <w:lang w:val="en-US"/>
        </w:rPr>
        <w:t xml:space="preserve"> relationships</w:t>
      </w:r>
      <w:r w:rsidRPr="00681111">
        <w:rPr>
          <w:lang w:val="en-US"/>
        </w:rPr>
        <w:t xml:space="preserve">: For each source the mean annual rate of </w:t>
      </w:r>
      <w:r w:rsidR="00F02632">
        <w:rPr>
          <w:lang w:val="en-US"/>
        </w:rPr>
        <w:t xml:space="preserve">earthquake </w:t>
      </w:r>
      <w:r w:rsidRPr="00681111">
        <w:rPr>
          <w:lang w:val="en-US"/>
        </w:rPr>
        <w:t xml:space="preserve">occurrence and the magnitude distribution needs to be defined. </w:t>
      </w:r>
      <w:r w:rsidR="00F02632">
        <w:rPr>
          <w:lang w:val="en-US"/>
        </w:rPr>
        <w:t>In most cases, the recurrence is eypressed by a Gute</w:t>
      </w:r>
      <w:r w:rsidR="00F02632">
        <w:rPr>
          <w:lang w:val="en-US"/>
        </w:rPr>
        <w:t>n</w:t>
      </w:r>
      <w:r w:rsidR="00F02632">
        <w:rPr>
          <w:lang w:val="en-US"/>
        </w:rPr>
        <w:t>berg-Richter relation with appropriate a- and b-values (</w:t>
      </w:r>
      <w:r w:rsidR="003B00F7">
        <w:rPr>
          <w:lang w:val="en-US"/>
        </w:rPr>
        <w:t xml:space="preserve">Gutenberg &amp; </w:t>
      </w:r>
      <w:r w:rsidR="00F02632">
        <w:rPr>
          <w:lang w:val="en-US"/>
        </w:rPr>
        <w:t>Richter, 195</w:t>
      </w:r>
      <w:r w:rsidR="003B00F7">
        <w:rPr>
          <w:lang w:val="en-US"/>
        </w:rPr>
        <w:t>6</w:t>
      </w:r>
      <w:r w:rsidR="00F02632">
        <w:rPr>
          <w:lang w:val="en-US"/>
        </w:rPr>
        <w:t>)</w:t>
      </w:r>
      <w:r w:rsidR="00765ACA">
        <w:rPr>
          <w:lang w:val="en-US"/>
        </w:rPr>
        <w:t xml:space="preserve">. The step includes the selection of a </w:t>
      </w:r>
      <w:r w:rsidR="00F02632" w:rsidRPr="00681111">
        <w:rPr>
          <w:lang w:val="en-US"/>
        </w:rPr>
        <w:t>maximum magnitude</w:t>
      </w:r>
      <w:r w:rsidR="0019249C">
        <w:rPr>
          <w:lang w:val="en-US"/>
        </w:rPr>
        <w:t xml:space="preserve"> for eac</w:t>
      </w:r>
      <w:r w:rsidR="00765ACA">
        <w:rPr>
          <w:lang w:val="en-US"/>
        </w:rPr>
        <w:t>h source zone (</w:t>
      </w:r>
      <w:r w:rsidR="00F02632" w:rsidRPr="00681111">
        <w:rPr>
          <w:lang w:val="en-US"/>
        </w:rPr>
        <w:t xml:space="preserve">chapter </w:t>
      </w:r>
      <w:r w:rsidR="00F02632" w:rsidRPr="00681111">
        <w:rPr>
          <w:lang w:val="en-US"/>
        </w:rPr>
        <w:fldChar w:fldCharType="begin"/>
      </w:r>
      <w:r w:rsidR="00F02632" w:rsidRPr="00681111">
        <w:rPr>
          <w:lang w:val="en-US"/>
        </w:rPr>
        <w:instrText xml:space="preserve"> REF _Ref451421710 \r \h </w:instrText>
      </w:r>
      <w:r w:rsidR="00F02632">
        <w:rPr>
          <w:lang w:val="en-US"/>
        </w:rPr>
      </w:r>
      <w:r w:rsidR="00F02632" w:rsidRPr="00681111">
        <w:rPr>
          <w:lang w:val="en-US"/>
        </w:rPr>
        <w:fldChar w:fldCharType="separate"/>
      </w:r>
      <w:r w:rsidR="00173034">
        <w:rPr>
          <w:lang w:val="en-US"/>
        </w:rPr>
        <w:t>4.2.4</w:t>
      </w:r>
      <w:r w:rsidR="00F02632" w:rsidRPr="00681111">
        <w:rPr>
          <w:lang w:val="en-US"/>
        </w:rPr>
        <w:fldChar w:fldCharType="end"/>
      </w:r>
      <w:r w:rsidR="00F02632" w:rsidRPr="00681111">
        <w:rPr>
          <w:lang w:val="en-US"/>
        </w:rPr>
        <w:t xml:space="preserve">, page </w:t>
      </w:r>
      <w:r w:rsidR="00F02632" w:rsidRPr="00681111">
        <w:rPr>
          <w:lang w:val="en-US"/>
        </w:rPr>
        <w:fldChar w:fldCharType="begin"/>
      </w:r>
      <w:r w:rsidR="00F02632" w:rsidRPr="00681111">
        <w:rPr>
          <w:lang w:val="en-US"/>
        </w:rPr>
        <w:instrText xml:space="preserve"> PAGEREF _Ref451421712 \h </w:instrText>
      </w:r>
      <w:r w:rsidR="00F02632">
        <w:rPr>
          <w:lang w:val="en-US"/>
        </w:rPr>
      </w:r>
      <w:r w:rsidR="00F02632" w:rsidRPr="00681111">
        <w:rPr>
          <w:lang w:val="en-US"/>
        </w:rPr>
        <w:fldChar w:fldCharType="separate"/>
      </w:r>
      <w:r w:rsidR="00173034">
        <w:rPr>
          <w:noProof/>
          <w:lang w:val="en-US"/>
        </w:rPr>
        <w:t>79</w:t>
      </w:r>
      <w:r w:rsidR="00F02632" w:rsidRPr="00681111">
        <w:rPr>
          <w:lang w:val="en-US"/>
        </w:rPr>
        <w:fldChar w:fldCharType="end"/>
      </w:r>
      <w:r w:rsidR="00F02632" w:rsidRPr="00681111">
        <w:rPr>
          <w:lang w:val="en-US"/>
        </w:rPr>
        <w:t>)</w:t>
      </w:r>
    </w:p>
    <w:p w:rsidR="00012258" w:rsidRDefault="0001235A" w:rsidP="00860D1D">
      <w:pPr>
        <w:numPr>
          <w:ilvl w:val="0"/>
          <w:numId w:val="50"/>
        </w:numPr>
        <w:rPr>
          <w:lang w:val="en-US"/>
        </w:rPr>
      </w:pPr>
      <w:r>
        <w:rPr>
          <w:lang w:val="en-US"/>
        </w:rPr>
        <w:t xml:space="preserve">Ground motion prediction equation (attenuation function): Algorithms for the estimation of ground motion at a site (e.g., expressed as PGA or spectral acceleration) need to be defined (chapter </w:t>
      </w:r>
      <w:r>
        <w:rPr>
          <w:lang w:val="en-US"/>
        </w:rPr>
        <w:fldChar w:fldCharType="begin"/>
      </w:r>
      <w:r>
        <w:rPr>
          <w:lang w:val="en-US"/>
        </w:rPr>
        <w:instrText xml:space="preserve"> REF _Ref451421917 \r \h </w:instrText>
      </w:r>
      <w:r>
        <w:rPr>
          <w:lang w:val="en-US"/>
        </w:rPr>
      </w:r>
      <w:r>
        <w:rPr>
          <w:lang w:val="en-US"/>
        </w:rPr>
        <w:fldChar w:fldCharType="separate"/>
      </w:r>
      <w:r w:rsidR="00173034">
        <w:rPr>
          <w:lang w:val="en-US"/>
        </w:rPr>
        <w:t>4.2.3</w:t>
      </w:r>
      <w:r>
        <w:rPr>
          <w:lang w:val="en-US"/>
        </w:rPr>
        <w:fldChar w:fldCharType="end"/>
      </w:r>
      <w:r>
        <w:rPr>
          <w:lang w:val="en-US"/>
        </w:rPr>
        <w:t xml:space="preserve">, page </w:t>
      </w:r>
      <w:r>
        <w:rPr>
          <w:lang w:val="en-US"/>
        </w:rPr>
        <w:fldChar w:fldCharType="begin"/>
      </w:r>
      <w:r>
        <w:rPr>
          <w:lang w:val="en-US"/>
        </w:rPr>
        <w:instrText xml:space="preserve"> PAGEREF _Ref451421930 \h </w:instrText>
      </w:r>
      <w:r>
        <w:rPr>
          <w:lang w:val="en-US"/>
        </w:rPr>
      </w:r>
      <w:r>
        <w:rPr>
          <w:lang w:val="en-US"/>
        </w:rPr>
        <w:fldChar w:fldCharType="separate"/>
      </w:r>
      <w:r w:rsidR="00173034">
        <w:rPr>
          <w:noProof/>
          <w:lang w:val="en-US"/>
        </w:rPr>
        <w:t>77</w:t>
      </w:r>
      <w:r>
        <w:rPr>
          <w:lang w:val="en-US"/>
        </w:rPr>
        <w:fldChar w:fldCharType="end"/>
      </w:r>
      <w:r>
        <w:rPr>
          <w:lang w:val="en-US"/>
        </w:rPr>
        <w:t>).</w:t>
      </w:r>
    </w:p>
    <w:p w:rsidR="00012258" w:rsidRDefault="00012258" w:rsidP="00BB27FD">
      <w:pPr>
        <w:rPr>
          <w:lang w:val="en-US"/>
        </w:rPr>
      </w:pPr>
    </w:p>
    <w:p w:rsidR="00041411" w:rsidRDefault="00765ACA" w:rsidP="00041411">
      <w:pPr>
        <w:rPr>
          <w:lang w:val="en-US"/>
        </w:rPr>
      </w:pPr>
      <w:r>
        <w:rPr>
          <w:lang w:val="en-US"/>
        </w:rPr>
        <w:t>Gr</w:t>
      </w:r>
      <w:r w:rsidR="009118FB">
        <w:rPr>
          <w:lang w:val="en-US"/>
        </w:rPr>
        <w:t>e</w:t>
      </w:r>
      <w:r>
        <w:rPr>
          <w:lang w:val="en-US"/>
        </w:rPr>
        <w:t xml:space="preserve">en &amp; Hall (1994) and </w:t>
      </w:r>
      <w:r w:rsidR="00307F36">
        <w:rPr>
          <w:lang w:val="en-US"/>
        </w:rPr>
        <w:t>NAGRA (2004, Volume 1) provide</w:t>
      </w:r>
      <w:r w:rsidR="009118FB">
        <w:rPr>
          <w:lang w:val="en-US"/>
        </w:rPr>
        <w:t xml:space="preserve"> detailed descriptions of</w:t>
      </w:r>
      <w:r w:rsidR="00307F36">
        <w:rPr>
          <w:lang w:val="en-US"/>
        </w:rPr>
        <w:t xml:space="preserve"> </w:t>
      </w:r>
      <w:r w:rsidR="00681111">
        <w:rPr>
          <w:lang w:val="en-US"/>
        </w:rPr>
        <w:t xml:space="preserve">both, the </w:t>
      </w:r>
      <w:r w:rsidR="00307F36">
        <w:rPr>
          <w:lang w:val="en-US"/>
        </w:rPr>
        <w:t>general PSHA approach and its mathematical formulation</w:t>
      </w:r>
      <w:r w:rsidR="00681111">
        <w:rPr>
          <w:lang w:val="en-US"/>
        </w:rPr>
        <w:t>s</w:t>
      </w:r>
      <w:r w:rsidR="00307F36">
        <w:rPr>
          <w:lang w:val="en-US"/>
        </w:rPr>
        <w:t xml:space="preserve">. Seismic source characterization, earthquake recurrence models, and </w:t>
      </w:r>
      <w:r w:rsidR="00B954BD">
        <w:rPr>
          <w:lang w:val="en-US"/>
        </w:rPr>
        <w:t>grou</w:t>
      </w:r>
      <w:r w:rsidR="00307F36">
        <w:rPr>
          <w:lang w:val="en-US"/>
        </w:rPr>
        <w:t xml:space="preserve">nd motion characterization are discussed in detail on the background of relevant literature. </w:t>
      </w:r>
      <w:r w:rsidR="00534374">
        <w:rPr>
          <w:lang w:val="en-US"/>
        </w:rPr>
        <w:t xml:space="preserve">Additional discussion on some specific aspects of the methodology (minimum magnitude, site effects) is provided by </w:t>
      </w:r>
      <w:r w:rsidR="00041411" w:rsidRPr="006E4071">
        <w:rPr>
          <w:lang w:val="en-US"/>
        </w:rPr>
        <w:t>McGuire</w:t>
      </w:r>
      <w:r w:rsidR="00534374">
        <w:rPr>
          <w:lang w:val="en-US"/>
        </w:rPr>
        <w:t xml:space="preserve"> (</w:t>
      </w:r>
      <w:r w:rsidR="00041411" w:rsidRPr="006E4071">
        <w:rPr>
          <w:lang w:val="en-US"/>
        </w:rPr>
        <w:t>2009</w:t>
      </w:r>
      <w:r w:rsidR="00A07F71">
        <w:rPr>
          <w:lang w:val="en-US"/>
        </w:rPr>
        <w:t>).</w:t>
      </w:r>
    </w:p>
    <w:p w:rsidR="00621DE6" w:rsidRDefault="00621DE6" w:rsidP="00041411">
      <w:pPr>
        <w:rPr>
          <w:lang w:val="en-US"/>
        </w:rPr>
      </w:pPr>
    </w:p>
    <w:p w:rsidR="00233FE7" w:rsidRDefault="00621DE6" w:rsidP="00233FE7">
      <w:pPr>
        <w:rPr>
          <w:lang w:val="en-US"/>
        </w:rPr>
      </w:pPr>
      <w:r>
        <w:rPr>
          <w:lang w:val="en-US"/>
        </w:rPr>
        <w:t>PSHA includes formalized ways to treat both, aleatory and epistemic u</w:t>
      </w:r>
      <w:r w:rsidR="009118FB">
        <w:rPr>
          <w:lang w:val="en-US"/>
        </w:rPr>
        <w:t>ncertainties</w:t>
      </w:r>
      <w:r>
        <w:rPr>
          <w:lang w:val="en-US"/>
        </w:rPr>
        <w:t>. Epistemic uncertainty resulting from the limited knowledge of key input parameters (seismic soure zones, earthquake recurrence, maximum ma</w:t>
      </w:r>
      <w:r>
        <w:rPr>
          <w:lang w:val="en-US"/>
        </w:rPr>
        <w:t>g</w:t>
      </w:r>
      <w:r>
        <w:rPr>
          <w:lang w:val="en-US"/>
        </w:rPr>
        <w:t xml:space="preserve">nitude, </w:t>
      </w:r>
      <w:r w:rsidR="008D173E">
        <w:rPr>
          <w:lang w:val="en-US"/>
        </w:rPr>
        <w:t>GMPEs</w:t>
      </w:r>
      <w:r>
        <w:rPr>
          <w:lang w:val="en-US"/>
        </w:rPr>
        <w:t xml:space="preserve">, </w:t>
      </w:r>
      <w:r w:rsidR="008D173E">
        <w:rPr>
          <w:lang w:val="en-US"/>
        </w:rPr>
        <w:t xml:space="preserve">etc.) are incorporated via logic trees (chapter </w:t>
      </w:r>
      <w:r w:rsidR="008D173E">
        <w:rPr>
          <w:lang w:val="en-US"/>
        </w:rPr>
        <w:fldChar w:fldCharType="begin"/>
      </w:r>
      <w:r w:rsidR="008D173E">
        <w:rPr>
          <w:lang w:val="en-US"/>
        </w:rPr>
        <w:instrText xml:space="preserve"> REF _Ref451431701 \r \h </w:instrText>
      </w:r>
      <w:r w:rsidR="008D173E">
        <w:rPr>
          <w:lang w:val="en-US"/>
        </w:rPr>
      </w:r>
      <w:r w:rsidR="008D173E">
        <w:rPr>
          <w:lang w:val="en-US"/>
        </w:rPr>
        <w:fldChar w:fldCharType="separate"/>
      </w:r>
      <w:r w:rsidR="00173034">
        <w:rPr>
          <w:lang w:val="en-US"/>
        </w:rPr>
        <w:t>4.4.1</w:t>
      </w:r>
      <w:r w:rsidR="008D173E">
        <w:rPr>
          <w:lang w:val="en-US"/>
        </w:rPr>
        <w:fldChar w:fldCharType="end"/>
      </w:r>
      <w:r w:rsidR="008D173E">
        <w:rPr>
          <w:lang w:val="en-US"/>
        </w:rPr>
        <w:t xml:space="preserve">, page </w:t>
      </w:r>
      <w:r w:rsidR="008D173E">
        <w:rPr>
          <w:lang w:val="en-US"/>
        </w:rPr>
        <w:fldChar w:fldCharType="begin"/>
      </w:r>
      <w:r w:rsidR="008D173E">
        <w:rPr>
          <w:lang w:val="en-US"/>
        </w:rPr>
        <w:instrText xml:space="preserve"> PAGEREF _Ref451431701 \h </w:instrText>
      </w:r>
      <w:r w:rsidR="008D173E">
        <w:rPr>
          <w:lang w:val="en-US"/>
        </w:rPr>
      </w:r>
      <w:r w:rsidR="008D173E">
        <w:rPr>
          <w:lang w:val="en-US"/>
        </w:rPr>
        <w:fldChar w:fldCharType="separate"/>
      </w:r>
      <w:r w:rsidR="00173034">
        <w:rPr>
          <w:noProof/>
          <w:lang w:val="en-US"/>
        </w:rPr>
        <w:t>91</w:t>
      </w:r>
      <w:r w:rsidR="008D173E">
        <w:rPr>
          <w:lang w:val="en-US"/>
        </w:rPr>
        <w:fldChar w:fldCharType="end"/>
      </w:r>
      <w:r w:rsidR="008D173E">
        <w:rPr>
          <w:lang w:val="en-US"/>
        </w:rPr>
        <w:t>)</w:t>
      </w:r>
      <w:r w:rsidR="009F14B2">
        <w:rPr>
          <w:lang w:val="en-US"/>
        </w:rPr>
        <w:t>. T</w:t>
      </w:r>
      <w:r w:rsidR="008D173E">
        <w:rPr>
          <w:lang w:val="en-US"/>
        </w:rPr>
        <w:t xml:space="preserve">he weighting of alternative input </w:t>
      </w:r>
      <w:r w:rsidR="008D173E">
        <w:rPr>
          <w:lang w:val="en-US"/>
        </w:rPr>
        <w:lastRenderedPageBreak/>
        <w:t xml:space="preserve">parameters or models </w:t>
      </w:r>
      <w:r w:rsidR="009F14B2">
        <w:rPr>
          <w:lang w:val="en-US"/>
        </w:rPr>
        <w:t>of the logic tree is based on</w:t>
      </w:r>
      <w:r w:rsidR="008D173E">
        <w:rPr>
          <w:lang w:val="en-US"/>
        </w:rPr>
        <w:t xml:space="preserve"> expert opinion</w:t>
      </w:r>
      <w:r w:rsidR="00233FE7">
        <w:rPr>
          <w:lang w:val="en-US"/>
        </w:rPr>
        <w:t xml:space="preserve">, which </w:t>
      </w:r>
      <w:r w:rsidR="009118FB">
        <w:rPr>
          <w:lang w:val="en-US"/>
        </w:rPr>
        <w:t xml:space="preserve">may be </w:t>
      </w:r>
      <w:r w:rsidR="00233FE7">
        <w:rPr>
          <w:lang w:val="en-US"/>
        </w:rPr>
        <w:t xml:space="preserve">formalized </w:t>
      </w:r>
      <w:r w:rsidR="009118FB">
        <w:rPr>
          <w:lang w:val="en-US"/>
        </w:rPr>
        <w:t xml:space="preserve">by an </w:t>
      </w:r>
      <w:r w:rsidR="00233FE7">
        <w:rPr>
          <w:lang w:val="en-US"/>
        </w:rPr>
        <w:t xml:space="preserve">SSHAC approach </w:t>
      </w:r>
      <w:r w:rsidR="008D173E">
        <w:rPr>
          <w:lang w:val="en-US"/>
        </w:rPr>
        <w:t>(</w:t>
      </w:r>
      <w:r w:rsidR="00233FE7">
        <w:rPr>
          <w:lang w:val="en-US"/>
        </w:rPr>
        <w:t xml:space="preserve">Hanks et al., 2009; U.S.NRC, 2012; </w:t>
      </w:r>
      <w:r w:rsidR="008D173E">
        <w:rPr>
          <w:lang w:val="en-US"/>
        </w:rPr>
        <w:t xml:space="preserve">chapter </w:t>
      </w:r>
      <w:r w:rsidR="008D173E">
        <w:rPr>
          <w:lang w:val="en-US"/>
        </w:rPr>
        <w:fldChar w:fldCharType="begin"/>
      </w:r>
      <w:r w:rsidR="008D173E">
        <w:rPr>
          <w:lang w:val="en-US"/>
        </w:rPr>
        <w:instrText xml:space="preserve"> REF _Ref451432042 \r \h </w:instrText>
      </w:r>
      <w:r w:rsidR="008D173E">
        <w:rPr>
          <w:lang w:val="en-US"/>
        </w:rPr>
      </w:r>
      <w:r w:rsidR="008D173E">
        <w:rPr>
          <w:lang w:val="en-US"/>
        </w:rPr>
        <w:fldChar w:fldCharType="separate"/>
      </w:r>
      <w:r w:rsidR="00173034">
        <w:rPr>
          <w:lang w:val="en-US"/>
        </w:rPr>
        <w:t>4.7</w:t>
      </w:r>
      <w:r w:rsidR="008D173E">
        <w:rPr>
          <w:lang w:val="en-US"/>
        </w:rPr>
        <w:fldChar w:fldCharType="end"/>
      </w:r>
      <w:r w:rsidR="008D173E">
        <w:rPr>
          <w:lang w:val="en-US"/>
        </w:rPr>
        <w:t xml:space="preserve">, page </w:t>
      </w:r>
      <w:r w:rsidR="008D173E">
        <w:rPr>
          <w:lang w:val="en-US"/>
        </w:rPr>
        <w:fldChar w:fldCharType="begin"/>
      </w:r>
      <w:r w:rsidR="008D173E">
        <w:rPr>
          <w:lang w:val="en-US"/>
        </w:rPr>
        <w:instrText xml:space="preserve"> PAGEREF _Ref451432051 \h </w:instrText>
      </w:r>
      <w:r w:rsidR="008D173E">
        <w:rPr>
          <w:lang w:val="en-US"/>
        </w:rPr>
      </w:r>
      <w:r w:rsidR="008D173E">
        <w:rPr>
          <w:lang w:val="en-US"/>
        </w:rPr>
        <w:fldChar w:fldCharType="separate"/>
      </w:r>
      <w:r w:rsidR="00173034">
        <w:rPr>
          <w:noProof/>
          <w:lang w:val="en-US"/>
        </w:rPr>
        <w:t>99</w:t>
      </w:r>
      <w:r w:rsidR="008D173E">
        <w:rPr>
          <w:lang w:val="en-US"/>
        </w:rPr>
        <w:fldChar w:fldCharType="end"/>
      </w:r>
      <w:r w:rsidR="008D173E">
        <w:rPr>
          <w:lang w:val="en-US"/>
        </w:rPr>
        <w:t>).</w:t>
      </w:r>
      <w:r w:rsidR="00233FE7">
        <w:rPr>
          <w:lang w:val="en-US"/>
        </w:rPr>
        <w:t xml:space="preserve"> </w:t>
      </w:r>
      <w:r w:rsidR="009118FB">
        <w:rPr>
          <w:lang w:val="en-US"/>
        </w:rPr>
        <w:t>The</w:t>
      </w:r>
      <w:r w:rsidR="00233FE7">
        <w:rPr>
          <w:lang w:val="en-US"/>
        </w:rPr>
        <w:t xml:space="preserve"> </w:t>
      </w:r>
      <w:r w:rsidR="009118FB">
        <w:rPr>
          <w:lang w:val="en-US"/>
        </w:rPr>
        <w:t xml:space="preserve">type </w:t>
      </w:r>
      <w:r w:rsidR="00233FE7">
        <w:rPr>
          <w:lang w:val="en-US"/>
        </w:rPr>
        <w:t>PSHA is therefore sometimes referred to as the Cornell-McGuire-SSHAC model of PSHA.</w:t>
      </w:r>
    </w:p>
    <w:p w:rsidR="00681111" w:rsidRDefault="00681111" w:rsidP="00681111">
      <w:pPr>
        <w:rPr>
          <w:b/>
          <w:lang w:val="en-US"/>
        </w:rPr>
      </w:pPr>
    </w:p>
    <w:p w:rsidR="00681111" w:rsidRDefault="004D0EF2" w:rsidP="00681111">
      <w:pPr>
        <w:rPr>
          <w:lang w:val="en-US"/>
        </w:rPr>
      </w:pPr>
      <w:r>
        <w:rPr>
          <w:lang w:val="en-US"/>
        </w:rPr>
        <w:t>Recent a</w:t>
      </w:r>
      <w:r w:rsidR="00681111">
        <w:rPr>
          <w:lang w:val="en-US"/>
        </w:rPr>
        <w:t>dvance</w:t>
      </w:r>
      <w:r>
        <w:rPr>
          <w:lang w:val="en-US"/>
        </w:rPr>
        <w:t xml:space="preserve">s of </w:t>
      </w:r>
      <w:r w:rsidR="00681111">
        <w:rPr>
          <w:lang w:val="en-US"/>
        </w:rPr>
        <w:t>PSHA</w:t>
      </w:r>
      <w:r>
        <w:rPr>
          <w:lang w:val="en-US"/>
        </w:rPr>
        <w:t>, e.g., driven by the Global Earthq</w:t>
      </w:r>
      <w:r w:rsidR="00E047E9">
        <w:rPr>
          <w:lang w:val="en-US"/>
        </w:rPr>
        <w:t>u</w:t>
      </w:r>
      <w:r>
        <w:rPr>
          <w:lang w:val="en-US"/>
        </w:rPr>
        <w:t xml:space="preserve">ake Model programme (GEM) and the development of the </w:t>
      </w:r>
      <w:r w:rsidRPr="00CC311C">
        <w:rPr>
          <w:lang w:val="en-US"/>
        </w:rPr>
        <w:t>OpenQuake</w:t>
      </w:r>
      <w:r>
        <w:rPr>
          <w:lang w:val="en-US"/>
        </w:rPr>
        <w:t xml:space="preserve"> risk calculation software allow for a realistic</w:t>
      </w:r>
      <w:r w:rsidR="00681111">
        <w:rPr>
          <w:lang w:val="en-US"/>
        </w:rPr>
        <w:t xml:space="preserve"> representation of </w:t>
      </w:r>
      <w:r w:rsidR="00681111" w:rsidRPr="00CC311C">
        <w:rPr>
          <w:lang w:val="en-US"/>
        </w:rPr>
        <w:t>active fault</w:t>
      </w:r>
      <w:r w:rsidR="00681111">
        <w:rPr>
          <w:lang w:val="en-US"/>
        </w:rPr>
        <w:t xml:space="preserve">s </w:t>
      </w:r>
      <w:r>
        <w:rPr>
          <w:lang w:val="en-US"/>
        </w:rPr>
        <w:t>in the hazard asses</w:t>
      </w:r>
      <w:r>
        <w:rPr>
          <w:lang w:val="en-US"/>
        </w:rPr>
        <w:t>s</w:t>
      </w:r>
      <w:r>
        <w:rPr>
          <w:lang w:val="en-US"/>
        </w:rPr>
        <w:t xml:space="preserve">ment </w:t>
      </w:r>
      <w:r w:rsidR="00681111" w:rsidRPr="00CC311C">
        <w:rPr>
          <w:lang w:val="en-US"/>
        </w:rPr>
        <w:t xml:space="preserve">both in terms of </w:t>
      </w:r>
      <w:r>
        <w:rPr>
          <w:lang w:val="en-US"/>
        </w:rPr>
        <w:t>fault</w:t>
      </w:r>
      <w:r w:rsidR="00681111">
        <w:rPr>
          <w:lang w:val="en-US"/>
        </w:rPr>
        <w:t xml:space="preserve"> </w:t>
      </w:r>
      <w:r w:rsidR="00681111" w:rsidRPr="00CC311C">
        <w:rPr>
          <w:lang w:val="en-US"/>
        </w:rPr>
        <w:t xml:space="preserve">geometry and earthquake </w:t>
      </w:r>
      <w:r w:rsidR="00681111">
        <w:rPr>
          <w:lang w:val="en-US"/>
        </w:rPr>
        <w:t xml:space="preserve">behavior. </w:t>
      </w:r>
      <w:r>
        <w:rPr>
          <w:lang w:val="en-US"/>
        </w:rPr>
        <w:t xml:space="preserve">Advanced </w:t>
      </w:r>
      <w:r w:rsidR="00681111" w:rsidRPr="00CC311C">
        <w:rPr>
          <w:lang w:val="en-US"/>
        </w:rPr>
        <w:t>seismic hazard calculations can take into account complexities such as geometrical irregularity of faults in the prediction of ground motion</w:t>
      </w:r>
      <w:r>
        <w:rPr>
          <w:lang w:val="en-US"/>
        </w:rPr>
        <w:t>, and near-fault effects such as fault directivity (</w:t>
      </w:r>
      <w:r w:rsidR="00681111">
        <w:rPr>
          <w:lang w:val="en-US"/>
        </w:rPr>
        <w:t>Weatherill et al., 2016</w:t>
      </w:r>
      <w:r>
        <w:rPr>
          <w:lang w:val="en-US"/>
        </w:rPr>
        <w:t xml:space="preserve">). </w:t>
      </w:r>
      <w:r w:rsidR="009118FB">
        <w:rPr>
          <w:lang w:val="en-US"/>
        </w:rPr>
        <w:t>The corresponding methods and computer codes are currently developing and a</w:t>
      </w:r>
      <w:r w:rsidR="00A07F71">
        <w:rPr>
          <w:lang w:val="en-US"/>
        </w:rPr>
        <w:t>re not yet standard approaches.</w:t>
      </w:r>
    </w:p>
    <w:p w:rsidR="00681111" w:rsidRDefault="00681111" w:rsidP="00681111">
      <w:pPr>
        <w:rPr>
          <w:lang w:val="en-US"/>
        </w:rPr>
      </w:pPr>
    </w:p>
    <w:p w:rsidR="00621DE6" w:rsidRDefault="008D173E" w:rsidP="00041411">
      <w:pPr>
        <w:rPr>
          <w:i/>
          <w:lang w:val="en-US"/>
        </w:rPr>
      </w:pPr>
      <w:r>
        <w:rPr>
          <w:lang w:val="en-US"/>
        </w:rPr>
        <w:t>Although several critical opinions on th</w:t>
      </w:r>
      <w:r w:rsidR="004D0EF2">
        <w:rPr>
          <w:lang w:val="en-US"/>
        </w:rPr>
        <w:t xml:space="preserve">e PSHA </w:t>
      </w:r>
      <w:r>
        <w:rPr>
          <w:lang w:val="en-US"/>
        </w:rPr>
        <w:t>approach were published in the past (</w:t>
      </w:r>
      <w:r w:rsidR="00233FE7">
        <w:rPr>
          <w:lang w:val="en-US"/>
        </w:rPr>
        <w:t xml:space="preserve">Klügel, 2008 </w:t>
      </w:r>
      <w:r w:rsidR="00233FE7">
        <w:rPr>
          <w:rStyle w:val="Appelnotedebasdep"/>
          <w:lang w:val="en-US"/>
        </w:rPr>
        <w:footnoteReference w:id="13"/>
      </w:r>
      <w:r w:rsidR="00233FE7">
        <w:rPr>
          <w:lang w:val="en-US"/>
        </w:rPr>
        <w:t xml:space="preserve">; </w:t>
      </w:r>
      <w:r w:rsidR="00621DE6">
        <w:rPr>
          <w:lang w:val="en-US"/>
        </w:rPr>
        <w:t>Krinitzsky</w:t>
      </w:r>
      <w:r>
        <w:rPr>
          <w:lang w:val="en-US"/>
        </w:rPr>
        <w:t>, 1995</w:t>
      </w:r>
      <w:r w:rsidR="00233FE7">
        <w:rPr>
          <w:lang w:val="en-US"/>
        </w:rPr>
        <w:t xml:space="preserve"> </w:t>
      </w:r>
      <w:r w:rsidR="00233FE7">
        <w:rPr>
          <w:rStyle w:val="Appelnotedebasdep"/>
          <w:lang w:val="en-US"/>
        </w:rPr>
        <w:footnoteReference w:id="14"/>
      </w:r>
      <w:r>
        <w:rPr>
          <w:lang w:val="en-US"/>
        </w:rPr>
        <w:t xml:space="preserve">; </w:t>
      </w:r>
      <w:r w:rsidR="00621DE6">
        <w:rPr>
          <w:lang w:val="en-US"/>
        </w:rPr>
        <w:t>2003)</w:t>
      </w:r>
      <w:r w:rsidR="00233FE7">
        <w:rPr>
          <w:lang w:val="en-US"/>
        </w:rPr>
        <w:t xml:space="preserve"> the method is most widely used for the assessment of vibratory ground motion </w:t>
      </w:r>
      <w:r w:rsidR="003E6FAD">
        <w:rPr>
          <w:lang w:val="en-US"/>
        </w:rPr>
        <w:t xml:space="preserve">hazards. </w:t>
      </w:r>
      <w:r w:rsidR="00681111">
        <w:rPr>
          <w:lang w:val="en-US"/>
        </w:rPr>
        <w:t>The applic</w:t>
      </w:r>
      <w:r w:rsidR="00681111">
        <w:rPr>
          <w:lang w:val="en-US"/>
        </w:rPr>
        <w:t>a</w:t>
      </w:r>
      <w:r w:rsidR="00681111">
        <w:rPr>
          <w:lang w:val="en-US"/>
        </w:rPr>
        <w:t xml:space="preserve">tion of probabilistic hazard assessment techniques for NPPs is implicitly required </w:t>
      </w:r>
      <w:r w:rsidR="003E6FAD">
        <w:rPr>
          <w:lang w:val="en-US"/>
        </w:rPr>
        <w:t xml:space="preserve">for the </w:t>
      </w:r>
      <w:r w:rsidR="00681111">
        <w:rPr>
          <w:lang w:val="en-US"/>
        </w:rPr>
        <w:t xml:space="preserve">definition of design basis events by WENRA (2014, Issue T) stating that </w:t>
      </w:r>
      <w:r w:rsidR="00681111" w:rsidRPr="00681111">
        <w:rPr>
          <w:i/>
          <w:lang w:val="en-US"/>
        </w:rPr>
        <w:t>“The exceedance frequencies of design basis events shall be low enough to ensure a high degree of protection with respect to natural hazards. A common target value of freque</w:t>
      </w:r>
      <w:r w:rsidR="00681111" w:rsidRPr="00681111">
        <w:rPr>
          <w:i/>
          <w:lang w:val="en-US"/>
        </w:rPr>
        <w:t>n</w:t>
      </w:r>
      <w:r w:rsidR="00681111" w:rsidRPr="00681111">
        <w:rPr>
          <w:i/>
          <w:lang w:val="en-US"/>
        </w:rPr>
        <w:t>cy, not higher than 10</w:t>
      </w:r>
      <w:r w:rsidR="00681111" w:rsidRPr="0019249C">
        <w:rPr>
          <w:i/>
          <w:vertAlign w:val="superscript"/>
          <w:lang w:val="en-US"/>
        </w:rPr>
        <w:t>–4</w:t>
      </w:r>
      <w:r w:rsidR="00681111" w:rsidRPr="00681111">
        <w:rPr>
          <w:i/>
          <w:lang w:val="en-US"/>
        </w:rPr>
        <w:t xml:space="preserve"> per annum, shall be used for each design basis event.”</w:t>
      </w:r>
    </w:p>
    <w:p w:rsidR="009118FB" w:rsidRPr="009118FB" w:rsidRDefault="009118FB" w:rsidP="00041411">
      <w:pPr>
        <w:rPr>
          <w:lang w:val="en-US"/>
        </w:rPr>
      </w:pPr>
    </w:p>
    <w:p w:rsidR="009118FB" w:rsidRPr="009118FB" w:rsidRDefault="009118FB" w:rsidP="00041411">
      <w:pPr>
        <w:rPr>
          <w:lang w:val="en-US"/>
        </w:rPr>
      </w:pPr>
      <w:r w:rsidRPr="009118FB">
        <w:rPr>
          <w:lang w:val="en-US"/>
        </w:rPr>
        <w:t xml:space="preserve">PSHA is further the only method providing ground motion amplitudes for different occurrence probabilities </w:t>
      </w:r>
      <w:r w:rsidR="0019249C">
        <w:rPr>
          <w:lang w:val="en-US"/>
        </w:rPr>
        <w:t>toget</w:t>
      </w:r>
      <w:r w:rsidR="0019249C">
        <w:rPr>
          <w:lang w:val="en-US"/>
        </w:rPr>
        <w:t>h</w:t>
      </w:r>
      <w:r w:rsidR="0019249C">
        <w:rPr>
          <w:lang w:val="en-US"/>
        </w:rPr>
        <w:t xml:space="preserve">er with the associated uncertainties </w:t>
      </w:r>
      <w:r w:rsidRPr="009118FB">
        <w:rPr>
          <w:lang w:val="en-US"/>
        </w:rPr>
        <w:t>which are required as input parameters for PSA.</w:t>
      </w:r>
    </w:p>
    <w:p w:rsidR="00233FE7" w:rsidRDefault="00233FE7" w:rsidP="00041411">
      <w:pPr>
        <w:rPr>
          <w:lang w:val="en-US"/>
        </w:rPr>
      </w:pPr>
    </w:p>
    <w:p w:rsidR="00681111" w:rsidRDefault="00681111" w:rsidP="00CC311C">
      <w:pPr>
        <w:rPr>
          <w:b/>
          <w:lang w:val="en-US"/>
        </w:rPr>
      </w:pPr>
    </w:p>
    <w:p w:rsidR="00534374" w:rsidRDefault="00534374" w:rsidP="00BB27FD">
      <w:pPr>
        <w:rPr>
          <w:lang w:val="en-US"/>
        </w:rPr>
      </w:pPr>
    </w:p>
    <w:p w:rsidR="00534374" w:rsidRDefault="004D0EF2" w:rsidP="00534374">
      <w:pPr>
        <w:pStyle w:val="Titre3"/>
        <w:rPr>
          <w:lang w:val="en-US"/>
        </w:rPr>
      </w:pPr>
      <w:r>
        <w:rPr>
          <w:lang w:val="en-US"/>
        </w:rPr>
        <w:br w:type="page"/>
      </w:r>
      <w:bookmarkStart w:id="167" w:name="_Toc456011913"/>
      <w:r w:rsidR="00534374">
        <w:rPr>
          <w:lang w:val="en-US"/>
        </w:rPr>
        <w:lastRenderedPageBreak/>
        <w:t>Deterministic seismic hazard Analysis</w:t>
      </w:r>
      <w:r w:rsidR="00F524B5">
        <w:rPr>
          <w:lang w:val="en-US"/>
        </w:rPr>
        <w:t xml:space="preserve"> (DSHA)</w:t>
      </w:r>
      <w:bookmarkEnd w:id="167"/>
    </w:p>
    <w:p w:rsidR="00F524B5" w:rsidRPr="00F524B5" w:rsidRDefault="00F524B5" w:rsidP="00F524B5">
      <w:pPr>
        <w:rPr>
          <w:lang w:val="en-US"/>
        </w:rPr>
      </w:pPr>
      <w:r>
        <w:rPr>
          <w:lang w:val="en-US"/>
        </w:rPr>
        <w:t xml:space="preserve">The deterministic seismic hazard analysis approach </w:t>
      </w:r>
      <w:r w:rsidR="009118FB">
        <w:rPr>
          <w:lang w:val="en-US"/>
        </w:rPr>
        <w:t>typically</w:t>
      </w:r>
      <w:r w:rsidRPr="00F524B5">
        <w:rPr>
          <w:lang w:val="en-US"/>
        </w:rPr>
        <w:t xml:space="preserve"> determin</w:t>
      </w:r>
      <w:r>
        <w:rPr>
          <w:lang w:val="en-US"/>
        </w:rPr>
        <w:t xml:space="preserve">es </w:t>
      </w:r>
      <w:r w:rsidRPr="00F524B5">
        <w:rPr>
          <w:lang w:val="en-US"/>
        </w:rPr>
        <w:t xml:space="preserve">the maximum credible </w:t>
      </w:r>
      <w:r>
        <w:rPr>
          <w:lang w:val="en-US"/>
        </w:rPr>
        <w:t xml:space="preserve">vibratory ground motion </w:t>
      </w:r>
      <w:r w:rsidRPr="00F524B5">
        <w:rPr>
          <w:lang w:val="en-US"/>
        </w:rPr>
        <w:t xml:space="preserve">at </w:t>
      </w:r>
      <w:r>
        <w:rPr>
          <w:lang w:val="en-US"/>
        </w:rPr>
        <w:t xml:space="preserve">a </w:t>
      </w:r>
      <w:r w:rsidRPr="00F524B5">
        <w:rPr>
          <w:lang w:val="en-US"/>
        </w:rPr>
        <w:t xml:space="preserve">site. </w:t>
      </w:r>
      <w:r>
        <w:rPr>
          <w:lang w:val="en-US"/>
        </w:rPr>
        <w:t xml:space="preserve">The process includes the following principle </w:t>
      </w:r>
      <w:r w:rsidRPr="00F524B5">
        <w:rPr>
          <w:lang w:val="en-US"/>
        </w:rPr>
        <w:t>steps:</w:t>
      </w:r>
    </w:p>
    <w:p w:rsidR="00F524B5" w:rsidRPr="00F524B5" w:rsidRDefault="00F524B5" w:rsidP="00860D1D">
      <w:pPr>
        <w:numPr>
          <w:ilvl w:val="0"/>
          <w:numId w:val="51"/>
        </w:numPr>
        <w:rPr>
          <w:lang w:val="en-US"/>
        </w:rPr>
      </w:pPr>
      <w:r>
        <w:rPr>
          <w:lang w:val="en-US"/>
        </w:rPr>
        <w:t xml:space="preserve">Definition of the </w:t>
      </w:r>
      <w:r w:rsidRPr="00F524B5">
        <w:rPr>
          <w:lang w:val="en-US"/>
        </w:rPr>
        <w:t xml:space="preserve">nearby seismic source zones </w:t>
      </w:r>
      <w:r>
        <w:rPr>
          <w:lang w:val="en-US"/>
        </w:rPr>
        <w:t xml:space="preserve">(zones of distributed seismicity) and fault </w:t>
      </w:r>
      <w:r w:rsidRPr="00F524B5">
        <w:rPr>
          <w:lang w:val="en-US"/>
        </w:rPr>
        <w:t>sources</w:t>
      </w:r>
      <w:r w:rsidR="000974CF">
        <w:rPr>
          <w:lang w:val="en-US"/>
        </w:rPr>
        <w:t xml:space="preserve"> (chapters </w:t>
      </w:r>
      <w:r w:rsidR="000974CF">
        <w:rPr>
          <w:lang w:val="en-US"/>
        </w:rPr>
        <w:fldChar w:fldCharType="begin"/>
      </w:r>
      <w:r w:rsidR="000974CF">
        <w:rPr>
          <w:lang w:val="en-US"/>
        </w:rPr>
        <w:instrText xml:space="preserve"> REF _Ref433386373 \r \h </w:instrText>
      </w:r>
      <w:r w:rsidR="000974CF">
        <w:rPr>
          <w:lang w:val="en-US"/>
        </w:rPr>
      </w:r>
      <w:r w:rsidR="000974CF">
        <w:rPr>
          <w:lang w:val="en-US"/>
        </w:rPr>
        <w:fldChar w:fldCharType="separate"/>
      </w:r>
      <w:r w:rsidR="00173034">
        <w:rPr>
          <w:lang w:val="en-US"/>
        </w:rPr>
        <w:t>4.2.1</w:t>
      </w:r>
      <w:r w:rsidR="000974CF">
        <w:rPr>
          <w:lang w:val="en-US"/>
        </w:rPr>
        <w:fldChar w:fldCharType="end"/>
      </w:r>
      <w:r w:rsidR="000974CF">
        <w:rPr>
          <w:lang w:val="en-US"/>
        </w:rPr>
        <w:t xml:space="preserve">and </w:t>
      </w:r>
      <w:r w:rsidR="000974CF">
        <w:rPr>
          <w:lang w:val="en-US"/>
        </w:rPr>
        <w:fldChar w:fldCharType="begin"/>
      </w:r>
      <w:r w:rsidR="000974CF">
        <w:rPr>
          <w:lang w:val="en-US"/>
        </w:rPr>
        <w:instrText xml:space="preserve"> REF _Ref451427592 \r \h </w:instrText>
      </w:r>
      <w:r w:rsidR="000974CF">
        <w:rPr>
          <w:lang w:val="en-US"/>
        </w:rPr>
      </w:r>
      <w:r w:rsidR="000974CF">
        <w:rPr>
          <w:lang w:val="en-US"/>
        </w:rPr>
        <w:fldChar w:fldCharType="separate"/>
      </w:r>
      <w:r w:rsidR="00173034">
        <w:rPr>
          <w:lang w:val="en-US"/>
        </w:rPr>
        <w:t>4.2.2</w:t>
      </w:r>
      <w:r w:rsidR="000974CF">
        <w:rPr>
          <w:lang w:val="en-US"/>
        </w:rPr>
        <w:fldChar w:fldCharType="end"/>
      </w:r>
      <w:r w:rsidR="000974CF">
        <w:rPr>
          <w:lang w:val="en-US"/>
        </w:rPr>
        <w:t xml:space="preserve">, page </w:t>
      </w:r>
      <w:r w:rsidR="000974CF">
        <w:rPr>
          <w:lang w:val="en-US"/>
        </w:rPr>
        <w:fldChar w:fldCharType="begin"/>
      </w:r>
      <w:r w:rsidR="000974CF">
        <w:rPr>
          <w:lang w:val="en-US"/>
        </w:rPr>
        <w:instrText xml:space="preserve"> PAGEREF _Ref433386373 \h </w:instrText>
      </w:r>
      <w:r w:rsidR="000974CF">
        <w:rPr>
          <w:lang w:val="en-US"/>
        </w:rPr>
      </w:r>
      <w:r w:rsidR="000974CF">
        <w:rPr>
          <w:lang w:val="en-US"/>
        </w:rPr>
        <w:fldChar w:fldCharType="separate"/>
      </w:r>
      <w:r w:rsidR="00173034">
        <w:rPr>
          <w:noProof/>
          <w:lang w:val="en-US"/>
        </w:rPr>
        <w:t>69</w:t>
      </w:r>
      <w:r w:rsidR="000974CF">
        <w:rPr>
          <w:lang w:val="en-US"/>
        </w:rPr>
        <w:fldChar w:fldCharType="end"/>
      </w:r>
      <w:r w:rsidR="000974CF">
        <w:rPr>
          <w:lang w:val="en-US"/>
        </w:rPr>
        <w:t xml:space="preserve"> ff).</w:t>
      </w:r>
    </w:p>
    <w:p w:rsidR="000974CF" w:rsidRPr="00F524B5" w:rsidRDefault="000974CF" w:rsidP="00860D1D">
      <w:pPr>
        <w:numPr>
          <w:ilvl w:val="0"/>
          <w:numId w:val="51"/>
        </w:numPr>
        <w:rPr>
          <w:lang w:val="en-US"/>
        </w:rPr>
      </w:pPr>
      <w:r>
        <w:rPr>
          <w:lang w:val="en-US"/>
        </w:rPr>
        <w:t xml:space="preserve">Evaluation of the maximum </w:t>
      </w:r>
      <w:r w:rsidRPr="00F524B5">
        <w:rPr>
          <w:lang w:val="en-US"/>
        </w:rPr>
        <w:t xml:space="preserve">magnitude </w:t>
      </w:r>
      <w:r>
        <w:rPr>
          <w:lang w:val="en-US"/>
        </w:rPr>
        <w:t xml:space="preserve">for </w:t>
      </w:r>
      <w:r w:rsidRPr="00F524B5">
        <w:rPr>
          <w:lang w:val="en-US"/>
        </w:rPr>
        <w:t xml:space="preserve">each source </w:t>
      </w:r>
      <w:r>
        <w:rPr>
          <w:lang w:val="en-US"/>
        </w:rPr>
        <w:t xml:space="preserve">zone and fault source </w:t>
      </w:r>
      <w:r w:rsidRPr="00F524B5">
        <w:rPr>
          <w:lang w:val="en-US"/>
        </w:rPr>
        <w:t>(</w:t>
      </w:r>
      <w:r>
        <w:rPr>
          <w:lang w:val="en-US"/>
        </w:rPr>
        <w:t xml:space="preserve">e.g., using scaling relations between rupture area and magnitude; see chapter </w:t>
      </w:r>
      <w:r>
        <w:rPr>
          <w:lang w:val="en-US"/>
        </w:rPr>
        <w:fldChar w:fldCharType="begin"/>
      </w:r>
      <w:r>
        <w:rPr>
          <w:lang w:val="en-US"/>
        </w:rPr>
        <w:instrText xml:space="preserve"> REF _Ref451427464 \r \h </w:instrText>
      </w:r>
      <w:r>
        <w:rPr>
          <w:lang w:val="en-US"/>
        </w:rPr>
      </w:r>
      <w:r>
        <w:rPr>
          <w:lang w:val="en-US"/>
        </w:rPr>
        <w:fldChar w:fldCharType="separate"/>
      </w:r>
      <w:r w:rsidR="00173034">
        <w:rPr>
          <w:lang w:val="en-US"/>
        </w:rPr>
        <w:t>4.2.4</w:t>
      </w:r>
      <w:r>
        <w:rPr>
          <w:lang w:val="en-US"/>
        </w:rPr>
        <w:fldChar w:fldCharType="end"/>
      </w:r>
      <w:r>
        <w:rPr>
          <w:lang w:val="en-US"/>
        </w:rPr>
        <w:t xml:space="preserve">, page </w:t>
      </w:r>
      <w:r>
        <w:rPr>
          <w:lang w:val="en-US"/>
        </w:rPr>
        <w:fldChar w:fldCharType="begin"/>
      </w:r>
      <w:r>
        <w:rPr>
          <w:lang w:val="en-US"/>
        </w:rPr>
        <w:instrText xml:space="preserve"> PAGEREF _Ref451427457 \h </w:instrText>
      </w:r>
      <w:r>
        <w:rPr>
          <w:lang w:val="en-US"/>
        </w:rPr>
      </w:r>
      <w:r>
        <w:rPr>
          <w:lang w:val="en-US"/>
        </w:rPr>
        <w:fldChar w:fldCharType="separate"/>
      </w:r>
      <w:r w:rsidR="00173034">
        <w:rPr>
          <w:noProof/>
          <w:lang w:val="en-US"/>
        </w:rPr>
        <w:t>79</w:t>
      </w:r>
      <w:r>
        <w:rPr>
          <w:lang w:val="en-US"/>
        </w:rPr>
        <w:fldChar w:fldCharType="end"/>
      </w:r>
      <w:r>
        <w:rPr>
          <w:lang w:val="en-US"/>
        </w:rPr>
        <w:t>).</w:t>
      </w:r>
    </w:p>
    <w:p w:rsidR="00C6297E" w:rsidRDefault="00F524B5" w:rsidP="00860D1D">
      <w:pPr>
        <w:numPr>
          <w:ilvl w:val="0"/>
          <w:numId w:val="51"/>
        </w:numPr>
        <w:rPr>
          <w:lang w:val="en-US"/>
        </w:rPr>
      </w:pPr>
      <w:r w:rsidRPr="00F524B5">
        <w:rPr>
          <w:lang w:val="en-US"/>
        </w:rPr>
        <w:t>Identif</w:t>
      </w:r>
      <w:r>
        <w:rPr>
          <w:lang w:val="en-US"/>
        </w:rPr>
        <w:t xml:space="preserve">ication of the </w:t>
      </w:r>
      <w:r w:rsidRPr="00F524B5">
        <w:rPr>
          <w:lang w:val="en-US"/>
        </w:rPr>
        <w:t xml:space="preserve">distance </w:t>
      </w:r>
      <w:r w:rsidR="00A6249F">
        <w:rPr>
          <w:lang w:val="en-US"/>
        </w:rPr>
        <w:t>between</w:t>
      </w:r>
      <w:r w:rsidR="000974CF">
        <w:rPr>
          <w:lang w:val="en-US"/>
        </w:rPr>
        <w:t xml:space="preserve"> the </w:t>
      </w:r>
      <w:r w:rsidRPr="00F524B5">
        <w:rPr>
          <w:lang w:val="en-US"/>
        </w:rPr>
        <w:t xml:space="preserve">site </w:t>
      </w:r>
      <w:r w:rsidR="00A6249F">
        <w:rPr>
          <w:lang w:val="en-US"/>
        </w:rPr>
        <w:t xml:space="preserve">and the </w:t>
      </w:r>
      <w:r w:rsidR="000974CF">
        <w:rPr>
          <w:lang w:val="en-US"/>
        </w:rPr>
        <w:t>location of the possible maximum magnitude earthquake</w:t>
      </w:r>
      <w:r w:rsidR="00A6249F">
        <w:rPr>
          <w:lang w:val="en-US"/>
        </w:rPr>
        <w:t>s</w:t>
      </w:r>
      <w:r w:rsidR="000974CF">
        <w:rPr>
          <w:lang w:val="en-US"/>
        </w:rPr>
        <w:t xml:space="preserve"> </w:t>
      </w:r>
      <w:r w:rsidRPr="00F524B5">
        <w:rPr>
          <w:lang w:val="en-US"/>
        </w:rPr>
        <w:t>for each source</w:t>
      </w:r>
      <w:r w:rsidR="000974CF">
        <w:rPr>
          <w:lang w:val="en-US"/>
        </w:rPr>
        <w:t xml:space="preserve"> </w:t>
      </w:r>
      <w:r w:rsidR="00A6249F">
        <w:rPr>
          <w:lang w:val="en-US"/>
        </w:rPr>
        <w:t>considering the follow</w:t>
      </w:r>
      <w:r w:rsidR="00A07F71">
        <w:rPr>
          <w:lang w:val="en-US"/>
        </w:rPr>
        <w:t>ing</w:t>
      </w:r>
      <w:r w:rsidR="000974CF">
        <w:rPr>
          <w:lang w:val="en-US"/>
        </w:rPr>
        <w:t>:</w:t>
      </w:r>
    </w:p>
    <w:p w:rsidR="00F524B5" w:rsidRDefault="00C6297E" w:rsidP="00860D1D">
      <w:pPr>
        <w:numPr>
          <w:ilvl w:val="1"/>
          <w:numId w:val="51"/>
        </w:numPr>
        <w:rPr>
          <w:lang w:val="en-US"/>
        </w:rPr>
      </w:pPr>
      <w:r>
        <w:rPr>
          <w:lang w:val="en-US"/>
        </w:rPr>
        <w:t xml:space="preserve">For each fault source the potential maximum magnitude event </w:t>
      </w:r>
      <w:r w:rsidR="00042AA3">
        <w:rPr>
          <w:lang w:val="en-US"/>
        </w:rPr>
        <w:t>(M</w:t>
      </w:r>
      <w:r w:rsidR="00042AA3" w:rsidRPr="00042AA3">
        <w:rPr>
          <w:vertAlign w:val="subscript"/>
          <w:lang w:val="en-US"/>
        </w:rPr>
        <w:t>max</w:t>
      </w:r>
      <w:r w:rsidR="00042AA3">
        <w:rPr>
          <w:lang w:val="en-US"/>
        </w:rPr>
        <w:t xml:space="preserve">) </w:t>
      </w:r>
      <w:r>
        <w:rPr>
          <w:lang w:val="en-US"/>
        </w:rPr>
        <w:t xml:space="preserve">should be assumed to occur at the point closest to the site. </w:t>
      </w:r>
      <w:r w:rsidR="00343764">
        <w:rPr>
          <w:lang w:val="en-US"/>
        </w:rPr>
        <w:t>“</w:t>
      </w:r>
      <w:r w:rsidRPr="00343764">
        <w:rPr>
          <w:i/>
          <w:lang w:val="en-US"/>
        </w:rPr>
        <w:t xml:space="preserve">In cases where the site is located within the boundaries of a seismic source </w:t>
      </w:r>
      <w:r>
        <w:rPr>
          <w:lang w:val="en-US"/>
        </w:rPr>
        <w:t xml:space="preserve">[e.g., on top of a thrust or normal fault] </w:t>
      </w:r>
      <w:r w:rsidRPr="00343764">
        <w:rPr>
          <w:i/>
          <w:lang w:val="en-US"/>
        </w:rPr>
        <w:t>the maximum potential magnitude shold be assumed to occur beneath the site.”</w:t>
      </w:r>
      <w:r w:rsidR="00A07F71">
        <w:rPr>
          <w:lang w:val="en-US"/>
        </w:rPr>
        <w:t xml:space="preserve"> (IAEA, 2010).</w:t>
      </w:r>
    </w:p>
    <w:p w:rsidR="00343764" w:rsidRDefault="00343764" w:rsidP="00860D1D">
      <w:pPr>
        <w:numPr>
          <w:ilvl w:val="1"/>
          <w:numId w:val="51"/>
        </w:numPr>
        <w:rPr>
          <w:lang w:val="en-US"/>
        </w:rPr>
      </w:pPr>
      <w:r>
        <w:rPr>
          <w:lang w:val="en-US"/>
        </w:rPr>
        <w:t>For seismic source zones not containing the site the potential maximum magnitude event should be assumed to occur at</w:t>
      </w:r>
      <w:r w:rsidR="00A07F71">
        <w:rPr>
          <w:lang w:val="en-US"/>
        </w:rPr>
        <w:t xml:space="preserve"> the point closest to the site.</w:t>
      </w:r>
    </w:p>
    <w:p w:rsidR="00343764" w:rsidRDefault="00343764" w:rsidP="00860D1D">
      <w:pPr>
        <w:numPr>
          <w:ilvl w:val="1"/>
          <w:numId w:val="51"/>
        </w:numPr>
        <w:rPr>
          <w:lang w:val="en-US"/>
        </w:rPr>
      </w:pPr>
      <w:r>
        <w:rPr>
          <w:lang w:val="en-US"/>
        </w:rPr>
        <w:t>The distance of the maximum potential magnitude in the zone of diffuse seismicity containing the site should be constrained by geological and tectonic data with the aim to demonstrate that either (i) faults are absent from the site</w:t>
      </w:r>
      <w:r w:rsidR="000974CF">
        <w:rPr>
          <w:lang w:val="en-US"/>
        </w:rPr>
        <w:t xml:space="preserve"> and its surrounding</w:t>
      </w:r>
      <w:r>
        <w:rPr>
          <w:lang w:val="en-US"/>
        </w:rPr>
        <w:t xml:space="preserve">, or (ii) the probability of </w:t>
      </w:r>
      <w:r w:rsidR="000974CF">
        <w:rPr>
          <w:lang w:val="en-US"/>
        </w:rPr>
        <w:t xml:space="preserve">the </w:t>
      </w:r>
      <w:r w:rsidR="0019249C">
        <w:rPr>
          <w:lang w:val="en-US"/>
        </w:rPr>
        <w:t xml:space="preserve">faults </w:t>
      </w:r>
      <w:r w:rsidR="000974CF">
        <w:rPr>
          <w:lang w:val="en-US"/>
        </w:rPr>
        <w:t xml:space="preserve">identified </w:t>
      </w:r>
      <w:r w:rsidR="0019249C">
        <w:rPr>
          <w:lang w:val="en-US"/>
        </w:rPr>
        <w:t xml:space="preserve">at the site and its surrounding </w:t>
      </w:r>
      <w:r w:rsidR="000974CF">
        <w:rPr>
          <w:lang w:val="en-US"/>
        </w:rPr>
        <w:t xml:space="preserve">to produce </w:t>
      </w:r>
      <w:r>
        <w:rPr>
          <w:lang w:val="en-US"/>
        </w:rPr>
        <w:t xml:space="preserve">earthquakes is </w:t>
      </w:r>
      <w:r w:rsidRPr="000974CF">
        <w:rPr>
          <w:i/>
          <w:lang w:val="en-US"/>
        </w:rPr>
        <w:t>“neg</w:t>
      </w:r>
      <w:r w:rsidR="00A07F71">
        <w:rPr>
          <w:i/>
          <w:lang w:val="en-US"/>
        </w:rPr>
        <w:t>le</w:t>
      </w:r>
      <w:r w:rsidRPr="000974CF">
        <w:rPr>
          <w:i/>
          <w:lang w:val="en-US"/>
        </w:rPr>
        <w:t>gibly low“</w:t>
      </w:r>
      <w:r w:rsidR="000974CF">
        <w:rPr>
          <w:lang w:val="en-US"/>
        </w:rPr>
        <w:t xml:space="preserve"> (IAEA, 2010).</w:t>
      </w:r>
      <w:r>
        <w:rPr>
          <w:lang w:val="en-US"/>
        </w:rPr>
        <w:t xml:space="preserve"> This can be done by showing that faults </w:t>
      </w:r>
      <w:r w:rsidR="000974CF">
        <w:rPr>
          <w:lang w:val="en-US"/>
        </w:rPr>
        <w:t xml:space="preserve">near the site </w:t>
      </w:r>
      <w:r>
        <w:rPr>
          <w:lang w:val="en-US"/>
        </w:rPr>
        <w:t>are extinct (</w:t>
      </w:r>
      <w:r>
        <w:rPr>
          <w:lang w:val="en-US"/>
        </w:rPr>
        <w:fldChar w:fldCharType="begin"/>
      </w:r>
      <w:r>
        <w:rPr>
          <w:lang w:val="en-US"/>
        </w:rPr>
        <w:instrText xml:space="preserve"> REF _Ref433009743 \h </w:instrText>
      </w:r>
      <w:r>
        <w:rPr>
          <w:lang w:val="en-US"/>
        </w:rPr>
      </w:r>
      <w:r>
        <w:rPr>
          <w:lang w:val="en-US"/>
        </w:rPr>
        <w:fldChar w:fldCharType="separate"/>
      </w:r>
      <w:r w:rsidR="00173034">
        <w:t xml:space="preserve">Table </w:t>
      </w:r>
      <w:r w:rsidR="00173034">
        <w:rPr>
          <w:noProof/>
        </w:rPr>
        <w:t>9</w:t>
      </w:r>
      <w:r>
        <w:rPr>
          <w:lang w:val="en-US"/>
        </w:rPr>
        <w:fldChar w:fldCharType="end"/>
      </w:r>
      <w:r>
        <w:rPr>
          <w:lang w:val="en-US"/>
        </w:rPr>
        <w:t>)</w:t>
      </w:r>
      <w:r w:rsidR="000974CF">
        <w:rPr>
          <w:lang w:val="en-US"/>
        </w:rPr>
        <w:t xml:space="preserve"> or not able to produce earthquakes due to their size</w:t>
      </w:r>
      <w:r w:rsidR="002563E1">
        <w:rPr>
          <w:lang w:val="en-US"/>
        </w:rPr>
        <w:t>, or due to their</w:t>
      </w:r>
      <w:r w:rsidR="000974CF">
        <w:rPr>
          <w:lang w:val="en-US"/>
        </w:rPr>
        <w:t xml:space="preserve"> orientation with respect to the current stress field. </w:t>
      </w:r>
      <w:r w:rsidR="00A6249F">
        <w:rPr>
          <w:lang w:val="en-US"/>
        </w:rPr>
        <w:t xml:space="preserve">The demonstration rquires detailed investitgations which are typically restricted to some 10 km around the site. </w:t>
      </w:r>
      <w:r w:rsidR="000974CF">
        <w:rPr>
          <w:lang w:val="en-US"/>
        </w:rPr>
        <w:t xml:space="preserve">The distance </w:t>
      </w:r>
      <w:r w:rsidR="00A6249F">
        <w:rPr>
          <w:lang w:val="en-US"/>
        </w:rPr>
        <w:t xml:space="preserve">of the site </w:t>
      </w:r>
      <w:r w:rsidR="000974CF">
        <w:rPr>
          <w:lang w:val="en-US"/>
        </w:rPr>
        <w:t xml:space="preserve">to </w:t>
      </w:r>
      <w:r w:rsidR="00A6249F">
        <w:rPr>
          <w:lang w:val="en-US"/>
        </w:rPr>
        <w:t xml:space="preserve">the </w:t>
      </w:r>
      <w:r w:rsidR="000974CF">
        <w:rPr>
          <w:lang w:val="en-US"/>
        </w:rPr>
        <w:t xml:space="preserve">location of the maximum potential earthquake </w:t>
      </w:r>
      <w:r w:rsidR="00A6249F">
        <w:rPr>
          <w:lang w:val="en-US"/>
        </w:rPr>
        <w:t>is then constrained by (i) the distance of an area where faulting cannot be excluded or (ii) the radius around the site for which detailed analyses excluded seismogenic faulting.</w:t>
      </w:r>
    </w:p>
    <w:p w:rsidR="00C6297E" w:rsidRDefault="00C6297E" w:rsidP="00860D1D">
      <w:pPr>
        <w:numPr>
          <w:ilvl w:val="0"/>
          <w:numId w:val="51"/>
        </w:numPr>
        <w:rPr>
          <w:lang w:val="en-US"/>
        </w:rPr>
      </w:pPr>
      <w:r>
        <w:rPr>
          <w:lang w:val="en-US"/>
        </w:rPr>
        <w:t>Selection of appropriate GMPEs (attenuation relations) for the site region to assess the ground motion at the site as a function of earthquake magnitude and source to site distance</w:t>
      </w:r>
      <w:r w:rsidR="000974CF">
        <w:rPr>
          <w:lang w:val="en-US"/>
        </w:rPr>
        <w:t>. Assessments should not excl</w:t>
      </w:r>
      <w:r w:rsidR="000974CF">
        <w:rPr>
          <w:lang w:val="en-US"/>
        </w:rPr>
        <w:t>u</w:t>
      </w:r>
      <w:r w:rsidR="000974CF">
        <w:rPr>
          <w:lang w:val="en-US"/>
        </w:rPr>
        <w:t>sively rely on a single GMPE.</w:t>
      </w:r>
    </w:p>
    <w:p w:rsidR="00F524B5" w:rsidRPr="00F524B5" w:rsidRDefault="00C6297E" w:rsidP="00860D1D">
      <w:pPr>
        <w:numPr>
          <w:ilvl w:val="0"/>
          <w:numId w:val="51"/>
        </w:numPr>
        <w:rPr>
          <w:lang w:val="en-US"/>
        </w:rPr>
      </w:pPr>
      <w:r>
        <w:rPr>
          <w:lang w:val="en-US"/>
        </w:rPr>
        <w:t xml:space="preserve">Calculation of the ground motions </w:t>
      </w:r>
      <w:r w:rsidR="00042AA3">
        <w:rPr>
          <w:lang w:val="en-US"/>
        </w:rPr>
        <w:t xml:space="preserve">resulting at the site </w:t>
      </w:r>
      <w:r w:rsidR="00A6249F">
        <w:rPr>
          <w:lang w:val="en-US"/>
        </w:rPr>
        <w:t xml:space="preserve">from the possible maximum magnitude earthquake in each </w:t>
      </w:r>
      <w:r>
        <w:rPr>
          <w:lang w:val="en-US"/>
        </w:rPr>
        <w:t xml:space="preserve">source </w:t>
      </w:r>
      <w:r w:rsidR="00A6249F">
        <w:rPr>
          <w:lang w:val="en-US"/>
        </w:rPr>
        <w:t>or sou</w:t>
      </w:r>
      <w:r w:rsidR="00501DEE">
        <w:rPr>
          <w:lang w:val="en-US"/>
        </w:rPr>
        <w:t>r</w:t>
      </w:r>
      <w:r w:rsidR="00A6249F">
        <w:rPr>
          <w:lang w:val="en-US"/>
        </w:rPr>
        <w:t>ce zone</w:t>
      </w:r>
      <w:r w:rsidR="009F14B2">
        <w:rPr>
          <w:lang w:val="en-US"/>
        </w:rPr>
        <w:t xml:space="preserve">. The earthquake associated with the </w:t>
      </w:r>
      <w:r w:rsidR="00F524B5" w:rsidRPr="00F524B5">
        <w:rPr>
          <w:lang w:val="en-US"/>
        </w:rPr>
        <w:t xml:space="preserve">largest </w:t>
      </w:r>
      <w:r w:rsidR="009F14B2">
        <w:rPr>
          <w:lang w:val="en-US"/>
        </w:rPr>
        <w:t xml:space="preserve">ground motion </w:t>
      </w:r>
      <w:r w:rsidR="00F524B5" w:rsidRPr="00F524B5">
        <w:rPr>
          <w:lang w:val="en-US"/>
        </w:rPr>
        <w:t>value</w:t>
      </w:r>
      <w:r>
        <w:rPr>
          <w:lang w:val="en-US"/>
        </w:rPr>
        <w:t xml:space="preserve"> </w:t>
      </w:r>
      <w:r w:rsidR="009F14B2">
        <w:rPr>
          <w:lang w:val="en-US"/>
        </w:rPr>
        <w:t>is typica</w:t>
      </w:r>
      <w:r w:rsidR="009F14B2">
        <w:rPr>
          <w:lang w:val="en-US"/>
        </w:rPr>
        <w:t>l</w:t>
      </w:r>
      <w:r w:rsidR="009F14B2">
        <w:rPr>
          <w:lang w:val="en-US"/>
        </w:rPr>
        <w:t xml:space="preserve">ly used </w:t>
      </w:r>
      <w:r>
        <w:rPr>
          <w:lang w:val="en-US"/>
        </w:rPr>
        <w:t xml:space="preserve">to describe the </w:t>
      </w:r>
      <w:r w:rsidR="00A6249F">
        <w:rPr>
          <w:lang w:val="en-US"/>
        </w:rPr>
        <w:t xml:space="preserve">ground motion </w:t>
      </w:r>
      <w:r>
        <w:rPr>
          <w:lang w:val="en-US"/>
        </w:rPr>
        <w:t>hazard.</w:t>
      </w:r>
    </w:p>
    <w:p w:rsidR="00F524B5" w:rsidRDefault="00F524B5" w:rsidP="00F524B5">
      <w:pPr>
        <w:rPr>
          <w:lang w:val="en-US"/>
        </w:rPr>
      </w:pPr>
    </w:p>
    <w:p w:rsidR="00042AA3" w:rsidRDefault="00A6249F" w:rsidP="00042AA3">
      <w:pPr>
        <w:rPr>
          <w:lang w:val="en-US"/>
        </w:rPr>
      </w:pPr>
      <w:r>
        <w:rPr>
          <w:lang w:val="en-US"/>
        </w:rPr>
        <w:t xml:space="preserve">DSHA </w:t>
      </w:r>
      <w:r w:rsidR="00042AA3">
        <w:rPr>
          <w:lang w:val="en-US"/>
        </w:rPr>
        <w:t xml:space="preserve">calculations should account for the uncertainties related to each step of the evaluation </w:t>
      </w:r>
      <w:r w:rsidR="00042AA3" w:rsidRPr="00042AA3">
        <w:rPr>
          <w:i/>
          <w:lang w:val="en-US"/>
        </w:rPr>
        <w:t>“with the consider</w:t>
      </w:r>
      <w:r w:rsidR="00042AA3" w:rsidRPr="00042AA3">
        <w:rPr>
          <w:i/>
          <w:lang w:val="en-US"/>
        </w:rPr>
        <w:t>a</w:t>
      </w:r>
      <w:r w:rsidR="00042AA3" w:rsidRPr="00042AA3">
        <w:rPr>
          <w:i/>
          <w:lang w:val="en-US"/>
        </w:rPr>
        <w:t xml:space="preserve">tion that the conservative procedure described </w:t>
      </w:r>
      <w:r w:rsidR="00042AA3" w:rsidRPr="00FA1E63">
        <w:rPr>
          <w:lang w:val="en-US"/>
        </w:rPr>
        <w:t>[in bullet 3 above]</w:t>
      </w:r>
      <w:r w:rsidR="00042AA3" w:rsidRPr="00042AA3">
        <w:rPr>
          <w:i/>
          <w:lang w:val="en-US"/>
        </w:rPr>
        <w:t xml:space="preserve"> has already been introduced to cover unce</w:t>
      </w:r>
      <w:r w:rsidR="00042AA3" w:rsidRPr="00042AA3">
        <w:rPr>
          <w:i/>
          <w:lang w:val="en-US"/>
        </w:rPr>
        <w:t>r</w:t>
      </w:r>
      <w:r w:rsidR="00042AA3" w:rsidRPr="00042AA3">
        <w:rPr>
          <w:i/>
          <w:lang w:val="en-US"/>
        </w:rPr>
        <w:t xml:space="preserve">tainties, and double counting should be avoided” </w:t>
      </w:r>
      <w:r w:rsidR="00042AA3">
        <w:rPr>
          <w:lang w:val="en-US"/>
        </w:rPr>
        <w:t>(IAEA. 2010).</w:t>
      </w:r>
      <w:r w:rsidR="00042AA3" w:rsidRPr="00042AA3">
        <w:rPr>
          <w:lang w:val="en-US"/>
        </w:rPr>
        <w:t xml:space="preserve"> </w:t>
      </w:r>
      <w:r w:rsidR="00042AA3">
        <w:rPr>
          <w:lang w:val="en-US"/>
        </w:rPr>
        <w:t>S</w:t>
      </w:r>
      <w:r w:rsidR="00042AA3" w:rsidRPr="00F524B5">
        <w:rPr>
          <w:lang w:val="en-US"/>
        </w:rPr>
        <w:t xml:space="preserve">tatistics can be incorporated into the procedure by taking one standard deviation above median </w:t>
      </w:r>
      <w:r w:rsidR="00FA1E63">
        <w:rPr>
          <w:lang w:val="en-US"/>
        </w:rPr>
        <w:t xml:space="preserve">for all parameters determined in </w:t>
      </w:r>
      <w:r w:rsidR="00042AA3" w:rsidRPr="00F524B5">
        <w:rPr>
          <w:lang w:val="en-US"/>
        </w:rPr>
        <w:t>each step (</w:t>
      </w:r>
      <w:r w:rsidR="00FA1E63">
        <w:rPr>
          <w:lang w:val="en-US"/>
        </w:rPr>
        <w:t xml:space="preserve">e.g., </w:t>
      </w:r>
      <w:r w:rsidR="00042AA3">
        <w:rPr>
          <w:lang w:val="en-US"/>
        </w:rPr>
        <w:t>M</w:t>
      </w:r>
      <w:r w:rsidR="00042AA3" w:rsidRPr="00042AA3">
        <w:rPr>
          <w:vertAlign w:val="subscript"/>
          <w:lang w:val="en-US"/>
        </w:rPr>
        <w:t>max</w:t>
      </w:r>
      <w:r w:rsidR="00FA1E63">
        <w:rPr>
          <w:lang w:val="en-US"/>
        </w:rPr>
        <w:t xml:space="preserve"> estimates from fault dimen</w:t>
      </w:r>
      <w:r w:rsidR="002563E1">
        <w:rPr>
          <w:lang w:val="en-US"/>
        </w:rPr>
        <w:t>s</w:t>
      </w:r>
      <w:r w:rsidR="00FA1E63">
        <w:rPr>
          <w:lang w:val="en-US"/>
        </w:rPr>
        <w:t>ions,</w:t>
      </w:r>
      <w:r w:rsidR="00042AA3" w:rsidRPr="00F524B5">
        <w:rPr>
          <w:lang w:val="en-US"/>
        </w:rPr>
        <w:t xml:space="preserve"> </w:t>
      </w:r>
      <w:r w:rsidR="00042AA3">
        <w:rPr>
          <w:lang w:val="en-US"/>
        </w:rPr>
        <w:t>gro</w:t>
      </w:r>
      <w:r w:rsidR="00A07F71">
        <w:rPr>
          <w:lang w:val="en-US"/>
        </w:rPr>
        <w:t>und motion derived from GMPEs).</w:t>
      </w:r>
    </w:p>
    <w:p w:rsidR="00042AA3" w:rsidRDefault="00042AA3" w:rsidP="00042AA3">
      <w:pPr>
        <w:rPr>
          <w:lang w:val="en-US"/>
        </w:rPr>
      </w:pPr>
    </w:p>
    <w:p w:rsidR="004F1B6E" w:rsidRDefault="004F1B6E" w:rsidP="00BB27FD">
      <w:pPr>
        <w:rPr>
          <w:lang w:val="en-US"/>
        </w:rPr>
      </w:pPr>
      <w:r w:rsidRPr="00F524B5">
        <w:rPr>
          <w:lang w:val="en-US"/>
        </w:rPr>
        <w:t xml:space="preserve">DSHA does not account for the probability of an earthquake occuring </w:t>
      </w:r>
      <w:r>
        <w:rPr>
          <w:lang w:val="en-US"/>
        </w:rPr>
        <w:t xml:space="preserve">in a source zone or </w:t>
      </w:r>
      <w:r w:rsidRPr="00F524B5">
        <w:rPr>
          <w:lang w:val="en-US"/>
        </w:rPr>
        <w:t>on a fault.</w:t>
      </w:r>
      <w:r>
        <w:rPr>
          <w:lang w:val="en-US"/>
        </w:rPr>
        <w:t xml:space="preserve"> DSHA is usually considered to be conservative particularly when it is </w:t>
      </w:r>
      <w:r w:rsidR="00F524B5" w:rsidRPr="00F524B5">
        <w:rPr>
          <w:lang w:val="en-US"/>
        </w:rPr>
        <w:t>based on tectonic features</w:t>
      </w:r>
      <w:r>
        <w:rPr>
          <w:lang w:val="en-US"/>
        </w:rPr>
        <w:t xml:space="preserve"> as it </w:t>
      </w:r>
      <w:r w:rsidR="00F524B5" w:rsidRPr="00F524B5">
        <w:rPr>
          <w:lang w:val="en-US"/>
        </w:rPr>
        <w:t>assume</w:t>
      </w:r>
      <w:r>
        <w:rPr>
          <w:lang w:val="en-US"/>
        </w:rPr>
        <w:t>s M</w:t>
      </w:r>
      <w:r w:rsidRPr="00042AA3">
        <w:rPr>
          <w:vertAlign w:val="subscript"/>
          <w:lang w:val="en-US"/>
        </w:rPr>
        <w:t>max</w:t>
      </w:r>
      <w:r w:rsidRPr="00F524B5">
        <w:rPr>
          <w:lang w:val="en-US"/>
        </w:rPr>
        <w:t xml:space="preserve"> </w:t>
      </w:r>
      <w:r w:rsidR="00F524B5" w:rsidRPr="00F524B5">
        <w:rPr>
          <w:lang w:val="en-US"/>
        </w:rPr>
        <w:t>to occur at the location on the fault closest to the site</w:t>
      </w:r>
      <w:r>
        <w:rPr>
          <w:lang w:val="en-US"/>
        </w:rPr>
        <w:t>, or at the closest fault whithin the source zone containing the site which cannot be proved to be incapable of producing earthquakes</w:t>
      </w:r>
      <w:r w:rsidR="00A07F71">
        <w:rPr>
          <w:lang w:val="en-US"/>
        </w:rPr>
        <w:t>.</w:t>
      </w:r>
    </w:p>
    <w:p w:rsidR="004F1B6E" w:rsidRDefault="004F1B6E" w:rsidP="00BB27FD">
      <w:pPr>
        <w:rPr>
          <w:lang w:val="en-US"/>
        </w:rPr>
      </w:pPr>
    </w:p>
    <w:p w:rsidR="00534374" w:rsidRDefault="004F1B6E" w:rsidP="00BB27FD">
      <w:pPr>
        <w:rPr>
          <w:lang w:val="en-US"/>
        </w:rPr>
      </w:pPr>
      <w:r>
        <w:rPr>
          <w:lang w:val="en-US"/>
        </w:rPr>
        <w:t>DSHA is therefore not applicable for defining design basis requirements as required by WENRA (2014)</w:t>
      </w:r>
      <w:r w:rsidR="00FA1E63">
        <w:rPr>
          <w:lang w:val="en-US"/>
        </w:rPr>
        <w:t xml:space="preserve"> and occu</w:t>
      </w:r>
      <w:r w:rsidR="00FA1E63">
        <w:rPr>
          <w:lang w:val="en-US"/>
        </w:rPr>
        <w:t>r</w:t>
      </w:r>
      <w:r w:rsidR="00FA1E63">
        <w:rPr>
          <w:lang w:val="en-US"/>
        </w:rPr>
        <w:t>rence probabilities of ground motion amplitude as required for PSA</w:t>
      </w:r>
      <w:r>
        <w:rPr>
          <w:lang w:val="en-US"/>
        </w:rPr>
        <w:t>. The method, however, may provide an est</w:t>
      </w:r>
      <w:r>
        <w:rPr>
          <w:lang w:val="en-US"/>
        </w:rPr>
        <w:t>i</w:t>
      </w:r>
      <w:r>
        <w:rPr>
          <w:lang w:val="en-US"/>
        </w:rPr>
        <w:t>mate of the largest amplitude of vibratory ground motion at a site which can be used for DEC considerations or as an upper cutoff value for PSA.</w:t>
      </w:r>
    </w:p>
    <w:p w:rsidR="00621DE6" w:rsidRDefault="00621DE6" w:rsidP="00BB27FD">
      <w:pPr>
        <w:rPr>
          <w:lang w:val="en-US"/>
        </w:rPr>
      </w:pPr>
    </w:p>
    <w:p w:rsidR="00621DE6" w:rsidRDefault="00621DE6" w:rsidP="00BB27FD">
      <w:pPr>
        <w:rPr>
          <w:lang w:val="en-US"/>
        </w:rPr>
      </w:pPr>
      <w:r>
        <w:rPr>
          <w:lang w:val="en-US"/>
        </w:rPr>
        <w:t>Guidelines for DSHA are provided by IAEA (2010). McGuire (2001) and Krinitzsky (2003) provide discussions on the combined application of DSHA and PHSHA.</w:t>
      </w:r>
    </w:p>
    <w:p w:rsidR="00A33966" w:rsidRDefault="00A33966" w:rsidP="00A33966">
      <w:pPr>
        <w:pStyle w:val="Titre3"/>
        <w:rPr>
          <w:lang w:val="en-US"/>
        </w:rPr>
      </w:pPr>
      <w:bookmarkStart w:id="168" w:name="_Ref451072252"/>
      <w:bookmarkStart w:id="169" w:name="_Toc456011914"/>
      <w:r>
        <w:rPr>
          <w:lang w:val="en-US"/>
        </w:rPr>
        <w:t>Probabilistic fault displacement Analysis (P</w:t>
      </w:r>
      <w:r w:rsidR="00ED2369">
        <w:rPr>
          <w:lang w:val="en-US"/>
        </w:rPr>
        <w:t>FDHA</w:t>
      </w:r>
      <w:r>
        <w:rPr>
          <w:lang w:val="en-US"/>
        </w:rPr>
        <w:t>)</w:t>
      </w:r>
      <w:bookmarkEnd w:id="168"/>
      <w:bookmarkEnd w:id="169"/>
    </w:p>
    <w:p w:rsidR="00E57F6C" w:rsidRDefault="001303C1" w:rsidP="00E57F6C">
      <w:pPr>
        <w:rPr>
          <w:lang w:val="en-US"/>
        </w:rPr>
      </w:pPr>
      <w:r>
        <w:rPr>
          <w:lang w:val="en-US"/>
        </w:rPr>
        <w:t xml:space="preserve">As outlined in chapter </w:t>
      </w:r>
      <w:r>
        <w:rPr>
          <w:lang w:val="en-US"/>
        </w:rPr>
        <w:fldChar w:fldCharType="begin"/>
      </w:r>
      <w:r>
        <w:rPr>
          <w:lang w:val="en-US"/>
        </w:rPr>
        <w:instrText xml:space="preserve"> REF _Ref450564061 \r \h </w:instrText>
      </w:r>
      <w:r>
        <w:rPr>
          <w:lang w:val="en-US"/>
        </w:rPr>
      </w:r>
      <w:r>
        <w:rPr>
          <w:lang w:val="en-US"/>
        </w:rPr>
        <w:fldChar w:fldCharType="separate"/>
      </w:r>
      <w:r w:rsidR="00173034">
        <w:rPr>
          <w:lang w:val="en-US"/>
        </w:rPr>
        <w:t>4.1</w:t>
      </w:r>
      <w:r>
        <w:rPr>
          <w:lang w:val="en-US"/>
        </w:rPr>
        <w:fldChar w:fldCharType="end"/>
      </w:r>
      <w:r>
        <w:rPr>
          <w:lang w:val="en-US"/>
        </w:rPr>
        <w:t xml:space="preserve"> PFDHA is typically applied in cases where faults were identified at the site or in the site vicinity during the lifetime of a nuclear installation. According to IAEA (2010) PFDHA should be applied in cases where </w:t>
      </w:r>
      <w:r w:rsidRPr="001303C1">
        <w:rPr>
          <w:i/>
          <w:lang w:val="en-US"/>
        </w:rPr>
        <w:t>“</w:t>
      </w:r>
      <w:r w:rsidR="00E57F6C" w:rsidRPr="001303C1">
        <w:rPr>
          <w:i/>
          <w:lang w:val="en-US"/>
        </w:rPr>
        <w:t xml:space="preserve">no sufficient basis is provided to decide conclusively that the fault is </w:t>
      </w:r>
      <w:r w:rsidR="00E57F6C" w:rsidRPr="001303C1">
        <w:rPr>
          <w:b/>
          <w:i/>
          <w:lang w:val="en-US"/>
        </w:rPr>
        <w:t>not</w:t>
      </w:r>
      <w:r w:rsidR="00E57F6C" w:rsidRPr="001303C1">
        <w:rPr>
          <w:i/>
          <w:lang w:val="en-US"/>
        </w:rPr>
        <w:t xml:space="preserve"> capable</w:t>
      </w:r>
      <w:r>
        <w:rPr>
          <w:lang w:val="en-US"/>
        </w:rPr>
        <w:t>”</w:t>
      </w:r>
      <w:r w:rsidR="00E57F6C" w:rsidRPr="00E57F6C">
        <w:rPr>
          <w:lang w:val="en-US"/>
        </w:rPr>
        <w:t xml:space="preserve">. </w:t>
      </w:r>
      <w:r>
        <w:rPr>
          <w:lang w:val="en-US"/>
        </w:rPr>
        <w:t xml:space="preserve">For such cases IAEA (2010) recommends </w:t>
      </w:r>
      <w:r w:rsidRPr="001303C1">
        <w:rPr>
          <w:i/>
          <w:lang w:val="en-US"/>
        </w:rPr>
        <w:t>“to use</w:t>
      </w:r>
      <w:r w:rsidR="00E57F6C" w:rsidRPr="001303C1">
        <w:rPr>
          <w:i/>
          <w:lang w:val="en-US"/>
        </w:rPr>
        <w:t xml:space="preserve"> probabilistic methods analogous to and consistent with those used for the ground motion hazard assessment should be used to obtain an estimate of the annual frequency of exceedance of various amounts of displacement at or near the surface”</w:t>
      </w:r>
      <w:r w:rsidRPr="001303C1">
        <w:rPr>
          <w:i/>
          <w:lang w:val="en-US"/>
        </w:rPr>
        <w:t>.</w:t>
      </w:r>
      <w:r>
        <w:rPr>
          <w:i/>
          <w:lang w:val="en-US"/>
        </w:rPr>
        <w:t xml:space="preserve"> </w:t>
      </w:r>
      <w:r>
        <w:rPr>
          <w:lang w:val="en-US"/>
        </w:rPr>
        <w:t xml:space="preserve">Analyses should consider both, </w:t>
      </w:r>
      <w:r w:rsidR="00E57F6C" w:rsidRPr="00E57F6C">
        <w:rPr>
          <w:lang w:val="en-US"/>
        </w:rPr>
        <w:t>primary displacement</w:t>
      </w:r>
      <w:r>
        <w:rPr>
          <w:lang w:val="en-US"/>
        </w:rPr>
        <w:t xml:space="preserve"> (surface rupture) of the seismogenic fault, and</w:t>
      </w:r>
      <w:r w:rsidR="00E57F6C" w:rsidRPr="00E57F6C">
        <w:rPr>
          <w:lang w:val="en-US"/>
        </w:rPr>
        <w:t xml:space="preserve"> secondary displacement</w:t>
      </w:r>
      <w:r>
        <w:rPr>
          <w:lang w:val="en-US"/>
        </w:rPr>
        <w:t xml:space="preserve">s such as </w:t>
      </w:r>
      <w:r w:rsidR="00E57F6C" w:rsidRPr="00E57F6C">
        <w:rPr>
          <w:lang w:val="en-US"/>
        </w:rPr>
        <w:t>induced movement</w:t>
      </w:r>
      <w:r>
        <w:rPr>
          <w:lang w:val="en-US"/>
        </w:rPr>
        <w:t>s</w:t>
      </w:r>
      <w:r w:rsidR="00E57F6C" w:rsidRPr="00E57F6C">
        <w:rPr>
          <w:lang w:val="en-US"/>
        </w:rPr>
        <w:t xml:space="preserve"> along pre-existing </w:t>
      </w:r>
      <w:r>
        <w:rPr>
          <w:lang w:val="en-US"/>
        </w:rPr>
        <w:t xml:space="preserve">slip </w:t>
      </w:r>
      <w:r w:rsidR="00E57F6C" w:rsidRPr="00E57F6C">
        <w:rPr>
          <w:lang w:val="en-US"/>
        </w:rPr>
        <w:t>planes</w:t>
      </w:r>
      <w:r>
        <w:rPr>
          <w:lang w:val="en-US"/>
        </w:rPr>
        <w:t>.</w:t>
      </w:r>
    </w:p>
    <w:p w:rsidR="001303C1" w:rsidRDefault="001303C1" w:rsidP="00E57F6C">
      <w:pPr>
        <w:rPr>
          <w:lang w:val="en-US"/>
        </w:rPr>
      </w:pPr>
    </w:p>
    <w:p w:rsidR="001303C1" w:rsidRPr="001303C1" w:rsidRDefault="001303C1" w:rsidP="001303C1">
      <w:pPr>
        <w:rPr>
          <w:lang w:val="en-US"/>
        </w:rPr>
      </w:pPr>
      <w:r w:rsidRPr="001303C1">
        <w:rPr>
          <w:lang w:val="en-US"/>
        </w:rPr>
        <w:t xml:space="preserve">Probabilistic Fault Displacement Hazard Analysis </w:t>
      </w:r>
      <w:r w:rsidRPr="001303C1">
        <w:rPr>
          <w:rFonts w:hint="eastAsia"/>
          <w:lang w:val="en-US"/>
        </w:rPr>
        <w:t>(</w:t>
      </w:r>
      <w:r w:rsidRPr="001303C1">
        <w:rPr>
          <w:lang w:val="en-US"/>
        </w:rPr>
        <w:t>PFDHA</w:t>
      </w:r>
      <w:r w:rsidRPr="001303C1">
        <w:rPr>
          <w:rFonts w:hint="eastAsia"/>
          <w:lang w:val="en-US"/>
        </w:rPr>
        <w:t>)</w:t>
      </w:r>
      <w:r w:rsidRPr="001303C1">
        <w:rPr>
          <w:lang w:val="en-US"/>
        </w:rPr>
        <w:t xml:space="preserve"> is a method to estimate the frequency of the fault di</w:t>
      </w:r>
      <w:r w:rsidRPr="001303C1">
        <w:rPr>
          <w:lang w:val="en-US"/>
        </w:rPr>
        <w:t>s</w:t>
      </w:r>
      <w:r w:rsidRPr="001303C1">
        <w:rPr>
          <w:lang w:val="en-US"/>
        </w:rPr>
        <w:t xml:space="preserve">placement exceeding a certain value </w:t>
      </w:r>
      <w:r w:rsidRPr="001303C1">
        <w:rPr>
          <w:rFonts w:hint="eastAsia"/>
          <w:lang w:val="en-US"/>
        </w:rPr>
        <w:t xml:space="preserve">for certain period (e.g., </w:t>
      </w:r>
      <w:r w:rsidRPr="001303C1">
        <w:rPr>
          <w:lang w:val="en-US"/>
        </w:rPr>
        <w:t>frequency of exceedance</w:t>
      </w:r>
      <w:r w:rsidRPr="001303C1">
        <w:rPr>
          <w:rFonts w:hint="eastAsia"/>
          <w:lang w:val="en-US"/>
        </w:rPr>
        <w:t xml:space="preserve"> per year)</w:t>
      </w:r>
      <w:r w:rsidRPr="001303C1">
        <w:rPr>
          <w:lang w:val="en-US"/>
        </w:rPr>
        <w:t>. The result is expressed as a fault displacement hazard curve. A methodology to estimate</w:t>
      </w:r>
      <w:r w:rsidRPr="001303C1">
        <w:rPr>
          <w:rFonts w:hint="eastAsia"/>
          <w:lang w:val="en-US"/>
        </w:rPr>
        <w:t xml:space="preserve"> </w:t>
      </w:r>
      <w:r w:rsidRPr="001303C1">
        <w:rPr>
          <w:lang w:val="en-US"/>
        </w:rPr>
        <w:t xml:space="preserve">fault displacement </w:t>
      </w:r>
      <w:r w:rsidRPr="001303C1">
        <w:rPr>
          <w:rFonts w:hint="eastAsia"/>
          <w:lang w:val="en-US"/>
        </w:rPr>
        <w:t xml:space="preserve">the </w:t>
      </w:r>
      <w:r w:rsidRPr="001303C1">
        <w:rPr>
          <w:lang w:val="en-US"/>
        </w:rPr>
        <w:t>ground surface</w:t>
      </w:r>
      <w:r w:rsidRPr="001303C1">
        <w:rPr>
          <w:rFonts w:hint="eastAsia"/>
          <w:lang w:val="en-US"/>
        </w:rPr>
        <w:t xml:space="preserve"> </w:t>
      </w:r>
      <w:r w:rsidRPr="001303C1">
        <w:rPr>
          <w:lang w:val="en-US"/>
        </w:rPr>
        <w:t>associat</w:t>
      </w:r>
      <w:r w:rsidRPr="001303C1">
        <w:rPr>
          <w:rFonts w:hint="eastAsia"/>
          <w:lang w:val="en-US"/>
        </w:rPr>
        <w:t>ed</w:t>
      </w:r>
      <w:r w:rsidRPr="001303C1">
        <w:rPr>
          <w:lang w:val="en-US"/>
        </w:rPr>
        <w:t xml:space="preserve"> with earthquake</w:t>
      </w:r>
      <w:r w:rsidRPr="001303C1">
        <w:rPr>
          <w:rFonts w:hint="eastAsia"/>
          <w:lang w:val="en-US"/>
        </w:rPr>
        <w:t>s</w:t>
      </w:r>
      <w:r w:rsidRPr="001303C1">
        <w:rPr>
          <w:lang w:val="en-US"/>
        </w:rPr>
        <w:t xml:space="preserve"> probabilistically was proposed by Youngs et al.</w:t>
      </w:r>
      <w:r>
        <w:rPr>
          <w:lang w:val="en-US"/>
        </w:rPr>
        <w:t xml:space="preserve"> (2003)</w:t>
      </w:r>
      <w:r w:rsidRPr="001303C1">
        <w:rPr>
          <w:lang w:val="en-US"/>
        </w:rPr>
        <w:t xml:space="preserve">. Youngs et al. </w:t>
      </w:r>
      <w:r>
        <w:rPr>
          <w:lang w:val="en-US"/>
        </w:rPr>
        <w:t xml:space="preserve">(2003) </w:t>
      </w:r>
      <w:r w:rsidRPr="001303C1">
        <w:rPr>
          <w:lang w:val="en-US"/>
        </w:rPr>
        <w:t>showed evaluation procedure</w:t>
      </w:r>
      <w:r w:rsidRPr="001303C1">
        <w:rPr>
          <w:rFonts w:hint="eastAsia"/>
          <w:lang w:val="en-US"/>
        </w:rPr>
        <w:t>s</w:t>
      </w:r>
      <w:r w:rsidRPr="001303C1">
        <w:rPr>
          <w:lang w:val="en-US"/>
        </w:rPr>
        <w:t xml:space="preserve"> based on diverse data on normal faults in the U.S. Cases for </w:t>
      </w:r>
      <w:r>
        <w:rPr>
          <w:lang w:val="en-US"/>
        </w:rPr>
        <w:t>strike-slip</w:t>
      </w:r>
      <w:r w:rsidRPr="001303C1">
        <w:rPr>
          <w:lang w:val="en-US"/>
        </w:rPr>
        <w:t xml:space="preserve"> faults and reverse faults have been analyzed by Petersen et al.</w:t>
      </w:r>
      <w:r>
        <w:rPr>
          <w:rFonts w:hint="eastAsia"/>
          <w:lang w:val="en-US"/>
        </w:rPr>
        <w:t xml:space="preserve"> </w:t>
      </w:r>
      <w:r>
        <w:rPr>
          <w:lang w:val="en-US"/>
        </w:rPr>
        <w:t>(2011)</w:t>
      </w:r>
      <w:r w:rsidRPr="001303C1">
        <w:rPr>
          <w:lang w:val="en-US"/>
        </w:rPr>
        <w:t xml:space="preserve"> and Robb et al </w:t>
      </w:r>
      <w:r>
        <w:rPr>
          <w:lang w:val="en-US"/>
        </w:rPr>
        <w:t>(2011)</w:t>
      </w:r>
      <w:r w:rsidRPr="001303C1">
        <w:rPr>
          <w:lang w:val="en-US"/>
        </w:rPr>
        <w:t xml:space="preserve">. Takao et al. </w:t>
      </w:r>
      <w:r>
        <w:rPr>
          <w:lang w:val="en-US"/>
        </w:rPr>
        <w:t xml:space="preserve">(2013) </w:t>
      </w:r>
      <w:r w:rsidRPr="001303C1">
        <w:rPr>
          <w:lang w:val="en-US"/>
        </w:rPr>
        <w:t xml:space="preserve">showed evaluation formulas based on Japanese earthquakes associated with </w:t>
      </w:r>
      <w:r>
        <w:rPr>
          <w:lang w:val="en-US"/>
        </w:rPr>
        <w:t>strike-slip</w:t>
      </w:r>
      <w:r w:rsidRPr="001303C1">
        <w:rPr>
          <w:lang w:val="en-US"/>
        </w:rPr>
        <w:t xml:space="preserve"> faults and reverse faults.</w:t>
      </w:r>
    </w:p>
    <w:p w:rsidR="001303C1" w:rsidRDefault="001303C1" w:rsidP="001303C1">
      <w:pPr>
        <w:rPr>
          <w:lang w:val="en-US"/>
        </w:rPr>
      </w:pPr>
    </w:p>
    <w:p w:rsidR="00E22594" w:rsidRDefault="00E22594" w:rsidP="001303C1">
      <w:pPr>
        <w:rPr>
          <w:lang w:val="en-US"/>
        </w:rPr>
      </w:pPr>
      <w:r>
        <w:rPr>
          <w:lang w:val="en-US"/>
        </w:rPr>
        <w:t>Detailed requirements for the assessment of tectonic surface fault ruptre and surface deformation have recently been formulated by ANSI/ANS (2015). The standard also includes a detailed methodological description to assess surface rupture hazards by PFDHA, and the analysis of permanent ground motion caused by slip on a buried fault by a method referred to as PTDHA (Probabilisitic Tectonic Deformation Hazard Analysis).</w:t>
      </w:r>
    </w:p>
    <w:p w:rsidR="00E22594" w:rsidRDefault="00E22594" w:rsidP="001303C1">
      <w:pPr>
        <w:rPr>
          <w:lang w:val="en-US"/>
        </w:rPr>
      </w:pPr>
    </w:p>
    <w:p w:rsidR="001303C1" w:rsidRPr="001303C1" w:rsidRDefault="001303C1" w:rsidP="001303C1">
      <w:pPr>
        <w:rPr>
          <w:lang w:val="en-US"/>
        </w:rPr>
      </w:pPr>
      <w:r w:rsidRPr="001303C1">
        <w:rPr>
          <w:lang w:val="en-US"/>
        </w:rPr>
        <w:lastRenderedPageBreak/>
        <w:t xml:space="preserve">There are two approaches, the earthquake approach and the displacement approach. The earthquake approach is similar to the probabilistic seismic hazard analysis proposed for areal source (diffusive earthquakes) by Cornell </w:t>
      </w:r>
      <w:r>
        <w:rPr>
          <w:rFonts w:hint="eastAsia"/>
          <w:lang w:val="en-US"/>
        </w:rPr>
        <w:t>(1968)</w:t>
      </w:r>
      <w:r w:rsidRPr="001303C1">
        <w:rPr>
          <w:lang w:val="en-US"/>
        </w:rPr>
        <w:t xml:space="preserve">. The displacement approach uses the characteristics of </w:t>
      </w:r>
      <w:r w:rsidRPr="001303C1">
        <w:rPr>
          <w:rFonts w:hint="eastAsia"/>
          <w:lang w:val="en-US"/>
        </w:rPr>
        <w:t xml:space="preserve">the </w:t>
      </w:r>
      <w:r w:rsidRPr="001303C1">
        <w:rPr>
          <w:lang w:val="en-US"/>
        </w:rPr>
        <w:t xml:space="preserve">fault displacement observed at the target </w:t>
      </w:r>
      <w:r w:rsidRPr="001303C1">
        <w:rPr>
          <w:rFonts w:hint="eastAsia"/>
          <w:lang w:val="en-US"/>
        </w:rPr>
        <w:t>point (</w:t>
      </w:r>
      <w:r w:rsidRPr="001303C1">
        <w:rPr>
          <w:lang w:val="en-US"/>
        </w:rPr>
        <w:t>location</w:t>
      </w:r>
      <w:r w:rsidRPr="001303C1">
        <w:rPr>
          <w:rFonts w:hint="eastAsia"/>
          <w:lang w:val="en-US"/>
        </w:rPr>
        <w:t>)</w:t>
      </w:r>
      <w:r w:rsidRPr="001303C1">
        <w:rPr>
          <w:lang w:val="en-US"/>
        </w:rPr>
        <w:t xml:space="preserve"> for the analysis. </w:t>
      </w:r>
      <w:r w:rsidRPr="001303C1">
        <w:rPr>
          <w:rFonts w:hint="eastAsia"/>
          <w:lang w:val="en-US"/>
        </w:rPr>
        <w:t xml:space="preserve">In the displacement approach, </w:t>
      </w:r>
      <w:r w:rsidR="00A07F71" w:rsidRPr="001303C1">
        <w:rPr>
          <w:lang w:val="en-US"/>
        </w:rPr>
        <w:t>characteristics of the fault are</w:t>
      </w:r>
      <w:r w:rsidRPr="001303C1">
        <w:rPr>
          <w:rFonts w:hint="eastAsia"/>
          <w:lang w:val="en-US"/>
        </w:rPr>
        <w:t xml:space="preserve"> used directly with which </w:t>
      </w:r>
      <w:r w:rsidRPr="001303C1">
        <w:rPr>
          <w:lang w:val="en-US"/>
        </w:rPr>
        <w:t>displacement</w:t>
      </w:r>
      <w:r w:rsidRPr="001303C1">
        <w:rPr>
          <w:rFonts w:hint="eastAsia"/>
          <w:lang w:val="en-US"/>
        </w:rPr>
        <w:t xml:space="preserve"> probability is evaluated. The rate (e.g. annual frequency) of </w:t>
      </w:r>
      <w:r w:rsidRPr="001303C1">
        <w:rPr>
          <w:lang w:val="en-US"/>
        </w:rPr>
        <w:t>exceedance</w:t>
      </w:r>
      <w:r w:rsidRPr="001303C1">
        <w:rPr>
          <w:rFonts w:hint="eastAsia"/>
          <w:lang w:val="en-US"/>
        </w:rPr>
        <w:t xml:space="preserve"> of displacement is given as</w:t>
      </w:r>
      <w:r w:rsidR="00423452">
        <w:rPr>
          <w:lang w:val="en-US"/>
        </w:rPr>
        <w:t xml:space="preserve"> (Youngs et al., 2003):</w:t>
      </w:r>
    </w:p>
    <w:p w:rsidR="001303C1" w:rsidRPr="001303C1" w:rsidRDefault="001303C1" w:rsidP="001303C1">
      <w:pPr>
        <w:rPr>
          <w:lang w:val="en-US"/>
        </w:rPr>
      </w:pPr>
    </w:p>
    <w:p w:rsidR="001303C1" w:rsidRPr="006628F7" w:rsidRDefault="001303C1" w:rsidP="00423452">
      <w:pPr>
        <w:ind w:firstLine="709"/>
        <w:rPr>
          <w:b/>
          <w:sz w:val="20"/>
          <w:szCs w:val="20"/>
          <w:lang w:val="fr-FR"/>
        </w:rPr>
      </w:pPr>
      <w:r w:rsidRPr="00423452">
        <w:rPr>
          <w:b/>
          <w:sz w:val="20"/>
          <w:szCs w:val="20"/>
          <w:lang w:val="en-US"/>
        </w:rPr>
        <w:t>ν</w:t>
      </w:r>
      <w:r w:rsidRPr="006628F7">
        <w:rPr>
          <w:b/>
          <w:sz w:val="20"/>
          <w:szCs w:val="20"/>
          <w:lang w:val="fr-FR"/>
        </w:rPr>
        <w:t>(d)</w:t>
      </w:r>
      <w:r w:rsidRPr="006628F7">
        <w:rPr>
          <w:rFonts w:hint="eastAsia"/>
          <w:b/>
          <w:sz w:val="20"/>
          <w:szCs w:val="20"/>
          <w:lang w:val="fr-FR"/>
        </w:rPr>
        <w:t xml:space="preserve"> = </w:t>
      </w:r>
      <w:r w:rsidRPr="00423452">
        <w:rPr>
          <w:b/>
          <w:sz w:val="20"/>
          <w:szCs w:val="20"/>
          <w:lang w:val="en-US"/>
        </w:rPr>
        <w:t>λ</w:t>
      </w:r>
      <w:r w:rsidRPr="006628F7">
        <w:rPr>
          <w:rFonts w:hint="eastAsia"/>
          <w:b/>
          <w:sz w:val="20"/>
          <w:szCs w:val="20"/>
          <w:vertAlign w:val="subscript"/>
          <w:lang w:val="fr-FR"/>
        </w:rPr>
        <w:t>DE</w:t>
      </w:r>
      <w:r w:rsidRPr="006628F7">
        <w:rPr>
          <w:rFonts w:hint="eastAsia"/>
          <w:b/>
          <w:sz w:val="20"/>
          <w:szCs w:val="20"/>
          <w:lang w:val="fr-FR"/>
        </w:rPr>
        <w:t xml:space="preserve"> P(D&gt;d)</w:t>
      </w:r>
    </w:p>
    <w:p w:rsidR="001303C1" w:rsidRPr="006628F7" w:rsidRDefault="001303C1" w:rsidP="001303C1">
      <w:pPr>
        <w:rPr>
          <w:lang w:val="fr-FR"/>
        </w:rPr>
      </w:pPr>
    </w:p>
    <w:p w:rsidR="001303C1" w:rsidRPr="006628F7" w:rsidRDefault="001303C1" w:rsidP="00423452">
      <w:pPr>
        <w:ind w:firstLine="709"/>
        <w:rPr>
          <w:lang w:val="fr-FR"/>
        </w:rPr>
      </w:pPr>
      <w:r w:rsidRPr="006628F7">
        <w:rPr>
          <w:rFonts w:hint="eastAsia"/>
          <w:lang w:val="fr-FR"/>
        </w:rPr>
        <w:t>d: displacement</w:t>
      </w:r>
    </w:p>
    <w:p w:rsidR="001303C1" w:rsidRPr="001303C1" w:rsidRDefault="001303C1" w:rsidP="00423452">
      <w:pPr>
        <w:ind w:firstLine="709"/>
        <w:rPr>
          <w:lang w:val="en-US"/>
        </w:rPr>
      </w:pPr>
      <w:r w:rsidRPr="001303C1">
        <w:rPr>
          <w:lang w:val="en-US"/>
        </w:rPr>
        <w:t>ν(d)</w:t>
      </w:r>
      <w:r w:rsidRPr="001303C1">
        <w:rPr>
          <w:rFonts w:hint="eastAsia"/>
          <w:lang w:val="en-US"/>
        </w:rPr>
        <w:t xml:space="preserve"> :</w:t>
      </w:r>
      <w:r w:rsidRPr="001303C1">
        <w:rPr>
          <w:lang w:val="en-US"/>
        </w:rPr>
        <w:t xml:space="preserve"> </w:t>
      </w:r>
      <w:r w:rsidRPr="001303C1">
        <w:rPr>
          <w:rFonts w:hint="eastAsia"/>
          <w:lang w:val="en-US"/>
        </w:rPr>
        <w:t>the rate</w:t>
      </w:r>
      <w:r w:rsidRPr="001303C1">
        <w:rPr>
          <w:lang w:val="en-US"/>
        </w:rPr>
        <w:t xml:space="preserve"> of fault displacement exceeding d</w:t>
      </w:r>
    </w:p>
    <w:p w:rsidR="001303C1" w:rsidRPr="001303C1" w:rsidRDefault="001303C1" w:rsidP="00423452">
      <w:pPr>
        <w:ind w:firstLine="709"/>
        <w:rPr>
          <w:lang w:val="en-US"/>
        </w:rPr>
      </w:pPr>
      <w:r w:rsidRPr="001303C1">
        <w:rPr>
          <w:lang w:val="en-US"/>
        </w:rPr>
        <w:t>λ</w:t>
      </w:r>
      <w:r w:rsidRPr="00423452">
        <w:rPr>
          <w:rFonts w:hint="eastAsia"/>
          <w:vertAlign w:val="subscript"/>
          <w:lang w:val="en-US"/>
        </w:rPr>
        <w:t>DE</w:t>
      </w:r>
      <w:r w:rsidRPr="001303C1">
        <w:rPr>
          <w:rFonts w:hint="eastAsia"/>
          <w:lang w:val="en-US"/>
        </w:rPr>
        <w:t>: the rate of displacement events on the fault</w:t>
      </w:r>
    </w:p>
    <w:p w:rsidR="001303C1" w:rsidRPr="001303C1" w:rsidRDefault="001303C1" w:rsidP="00423452">
      <w:pPr>
        <w:ind w:firstLine="709"/>
        <w:rPr>
          <w:lang w:val="en-US"/>
        </w:rPr>
      </w:pPr>
      <w:r w:rsidRPr="001303C1">
        <w:rPr>
          <w:rFonts w:hint="eastAsia"/>
          <w:lang w:val="en-US"/>
        </w:rPr>
        <w:t>P(D&gt;d): conditional probability that displacement D exceeds d in an event</w:t>
      </w:r>
    </w:p>
    <w:p w:rsidR="001303C1" w:rsidRPr="001303C1" w:rsidRDefault="001303C1" w:rsidP="001303C1">
      <w:pPr>
        <w:rPr>
          <w:lang w:val="en-US"/>
        </w:rPr>
      </w:pPr>
    </w:p>
    <w:p w:rsidR="001303C1" w:rsidRPr="001303C1" w:rsidRDefault="001303C1" w:rsidP="001303C1">
      <w:pPr>
        <w:rPr>
          <w:lang w:val="en-US"/>
        </w:rPr>
      </w:pPr>
      <w:r w:rsidRPr="001303C1">
        <w:rPr>
          <w:lang w:val="en-US"/>
        </w:rPr>
        <w:t xml:space="preserve">In the earthquake approach, the annual </w:t>
      </w:r>
      <w:r w:rsidR="00A07F71" w:rsidRPr="001303C1">
        <w:rPr>
          <w:lang w:val="en-US"/>
        </w:rPr>
        <w:t>frequency of exceedance of the fault displacement is</w:t>
      </w:r>
      <w:r w:rsidRPr="001303C1">
        <w:rPr>
          <w:lang w:val="en-US"/>
        </w:rPr>
        <w:t xml:space="preserve"> estimated for master faults </w:t>
      </w:r>
      <w:r w:rsidRPr="001303C1">
        <w:rPr>
          <w:rFonts w:hint="eastAsia"/>
          <w:lang w:val="en-US"/>
        </w:rPr>
        <w:t>(</w:t>
      </w:r>
      <w:r w:rsidRPr="001303C1">
        <w:rPr>
          <w:lang w:val="en-US"/>
        </w:rPr>
        <w:t>principal</w:t>
      </w:r>
      <w:r w:rsidRPr="001303C1">
        <w:rPr>
          <w:rFonts w:hint="eastAsia"/>
          <w:lang w:val="en-US"/>
        </w:rPr>
        <w:t xml:space="preserve"> faults) </w:t>
      </w:r>
      <w:r w:rsidRPr="001303C1">
        <w:rPr>
          <w:lang w:val="en-US"/>
        </w:rPr>
        <w:t>and secondary faults</w:t>
      </w:r>
      <w:r w:rsidRPr="001303C1">
        <w:rPr>
          <w:rFonts w:hint="eastAsia"/>
          <w:lang w:val="en-US"/>
        </w:rPr>
        <w:t xml:space="preserve"> (distributed faults)</w:t>
      </w:r>
      <w:r w:rsidRPr="001303C1">
        <w:rPr>
          <w:lang w:val="en-US"/>
        </w:rPr>
        <w:t xml:space="preserve">. </w:t>
      </w:r>
      <w:r w:rsidR="00423452">
        <w:rPr>
          <w:lang w:val="en-US"/>
        </w:rPr>
        <w:t>A m</w:t>
      </w:r>
      <w:r w:rsidRPr="001303C1">
        <w:rPr>
          <w:lang w:val="en-US"/>
        </w:rPr>
        <w:t>aster fault is defined as the fault closely r</w:t>
      </w:r>
      <w:r w:rsidRPr="001303C1">
        <w:rPr>
          <w:lang w:val="en-US"/>
        </w:rPr>
        <w:t>e</w:t>
      </w:r>
      <w:r w:rsidRPr="001303C1">
        <w:rPr>
          <w:lang w:val="en-US"/>
        </w:rPr>
        <w:t xml:space="preserve">lated to earthquake source. </w:t>
      </w:r>
      <w:r w:rsidR="000239B0">
        <w:rPr>
          <w:lang w:val="en-US"/>
        </w:rPr>
        <w:t>For seismogenic faults the probability of surface rupture increases with the magnitude of the event (</w:t>
      </w:r>
      <w:r w:rsidR="00B07AE4">
        <w:rPr>
          <w:lang w:val="en-US"/>
        </w:rPr>
        <w:fldChar w:fldCharType="begin"/>
      </w:r>
      <w:r w:rsidR="00B07AE4">
        <w:rPr>
          <w:lang w:val="en-US"/>
        </w:rPr>
        <w:instrText xml:space="preserve"> REF _Ref451165398 \h </w:instrText>
      </w:r>
      <w:r w:rsidR="00B07AE4">
        <w:rPr>
          <w:lang w:val="en-US"/>
        </w:rPr>
      </w:r>
      <w:r w:rsidR="00B07AE4">
        <w:rPr>
          <w:lang w:val="en-US"/>
        </w:rPr>
        <w:fldChar w:fldCharType="separate"/>
      </w:r>
      <w:r w:rsidR="00173034">
        <w:t xml:space="preserve">Figure </w:t>
      </w:r>
      <w:r w:rsidR="00173034">
        <w:rPr>
          <w:noProof/>
        </w:rPr>
        <w:t>18</w:t>
      </w:r>
      <w:r w:rsidR="00B07AE4">
        <w:rPr>
          <w:lang w:val="en-US"/>
        </w:rPr>
        <w:fldChar w:fldCharType="end"/>
      </w:r>
      <w:r w:rsidR="000239B0">
        <w:rPr>
          <w:lang w:val="en-US"/>
        </w:rPr>
        <w:t xml:space="preserve">). </w:t>
      </w:r>
      <w:r w:rsidRPr="001303C1">
        <w:rPr>
          <w:lang w:val="en-US"/>
        </w:rPr>
        <w:t>Secondary fault</w:t>
      </w:r>
      <w:r w:rsidR="00423452">
        <w:rPr>
          <w:lang w:val="en-US"/>
        </w:rPr>
        <w:t xml:space="preserve">s are </w:t>
      </w:r>
      <w:r w:rsidRPr="001303C1">
        <w:rPr>
          <w:lang w:val="en-US"/>
        </w:rPr>
        <w:t xml:space="preserve">defined as fault </w:t>
      </w:r>
      <w:r w:rsidRPr="001303C1">
        <w:rPr>
          <w:rFonts w:hint="eastAsia"/>
          <w:lang w:val="en-US"/>
        </w:rPr>
        <w:t>whose</w:t>
      </w:r>
      <w:r w:rsidRPr="001303C1">
        <w:rPr>
          <w:lang w:val="en-US"/>
        </w:rPr>
        <w:t xml:space="preserve"> displacement occurs at the ground surface and not closely related to earthquake source fault, or those </w:t>
      </w:r>
      <w:r w:rsidR="00423452">
        <w:rPr>
          <w:lang w:val="en-US"/>
        </w:rPr>
        <w:t xml:space="preserve">faults </w:t>
      </w:r>
      <w:r w:rsidRPr="001303C1">
        <w:rPr>
          <w:lang w:val="en-US"/>
        </w:rPr>
        <w:t>whose displacement occur secondarily or subo</w:t>
      </w:r>
      <w:r w:rsidRPr="001303C1">
        <w:rPr>
          <w:lang w:val="en-US"/>
        </w:rPr>
        <w:t>r</w:t>
      </w:r>
      <w:r w:rsidRPr="001303C1">
        <w:rPr>
          <w:lang w:val="en-US"/>
        </w:rPr>
        <w:t xml:space="preserve">dinately </w:t>
      </w:r>
      <w:r w:rsidRPr="001303C1">
        <w:rPr>
          <w:rFonts w:hint="eastAsia"/>
          <w:lang w:val="en-US"/>
        </w:rPr>
        <w:t xml:space="preserve">over a wide zone </w:t>
      </w:r>
      <w:r w:rsidRPr="001303C1">
        <w:rPr>
          <w:lang w:val="en-US"/>
        </w:rPr>
        <w:t>associat</w:t>
      </w:r>
      <w:r w:rsidRPr="001303C1">
        <w:rPr>
          <w:rFonts w:hint="eastAsia"/>
          <w:lang w:val="en-US"/>
        </w:rPr>
        <w:t>ed</w:t>
      </w:r>
      <w:r w:rsidRPr="001303C1">
        <w:rPr>
          <w:lang w:val="en-US"/>
        </w:rPr>
        <w:t xml:space="preserve"> with the activity of </w:t>
      </w:r>
      <w:r w:rsidRPr="001303C1">
        <w:rPr>
          <w:rFonts w:hint="eastAsia"/>
          <w:lang w:val="en-US"/>
        </w:rPr>
        <w:t>the</w:t>
      </w:r>
      <w:r w:rsidRPr="001303C1">
        <w:rPr>
          <w:lang w:val="en-US"/>
        </w:rPr>
        <w:t xml:space="preserve"> </w:t>
      </w:r>
      <w:r w:rsidRPr="001303C1">
        <w:rPr>
          <w:rFonts w:hint="eastAsia"/>
          <w:lang w:val="en-US"/>
        </w:rPr>
        <w:t>master</w:t>
      </w:r>
      <w:r w:rsidRPr="001303C1">
        <w:rPr>
          <w:lang w:val="en-US"/>
        </w:rPr>
        <w:t xml:space="preserve"> fault. </w:t>
      </w:r>
      <w:r w:rsidRPr="001303C1">
        <w:rPr>
          <w:rFonts w:hint="eastAsia"/>
          <w:lang w:val="en-US"/>
        </w:rPr>
        <w:t xml:space="preserve">In the earthquake approach, annual frequency of </w:t>
      </w:r>
      <w:r w:rsidRPr="001303C1">
        <w:rPr>
          <w:lang w:val="en-US"/>
        </w:rPr>
        <w:t>exceedance</w:t>
      </w:r>
      <w:r w:rsidRPr="001303C1">
        <w:rPr>
          <w:rFonts w:hint="eastAsia"/>
          <w:lang w:val="en-US"/>
        </w:rPr>
        <w:t xml:space="preserve"> of the displacement is expressed as below </w:t>
      </w:r>
      <w:r w:rsidR="00423452">
        <w:rPr>
          <w:lang w:val="en-US"/>
        </w:rPr>
        <w:t>(Takao et al., 2013; JANSI, 2013):</w:t>
      </w:r>
    </w:p>
    <w:p w:rsidR="001303C1" w:rsidRPr="001303C1" w:rsidRDefault="001303C1" w:rsidP="001303C1">
      <w:pPr>
        <w:rPr>
          <w:lang w:val="en-US"/>
        </w:rPr>
      </w:pPr>
    </w:p>
    <w:p w:rsidR="001303C1" w:rsidRPr="001303C1" w:rsidRDefault="001303C1" w:rsidP="001303C1">
      <w:pPr>
        <w:rPr>
          <w:lang w:val="en-US"/>
        </w:rPr>
      </w:pPr>
      <w:r w:rsidRPr="001303C1">
        <w:rPr>
          <w:rFonts w:hint="eastAsia"/>
          <w:lang w:val="en-US"/>
        </w:rPr>
        <w:t xml:space="preserve">As </w:t>
      </w:r>
      <w:r w:rsidR="00A07F71">
        <w:rPr>
          <w:rFonts w:hint="eastAsia"/>
          <w:lang w:val="en-US"/>
        </w:rPr>
        <w:t>for Master fault,</w:t>
      </w:r>
    </w:p>
    <w:p w:rsidR="001303C1" w:rsidRPr="001303C1" w:rsidRDefault="001303C1" w:rsidP="001303C1">
      <w:pPr>
        <w:rPr>
          <w:lang w:val="en-US"/>
        </w:rPr>
      </w:pPr>
    </w:p>
    <w:p w:rsidR="00423452" w:rsidRPr="00423452" w:rsidRDefault="00423452" w:rsidP="00423452">
      <w:pPr>
        <w:spacing w:line="360" w:lineRule="auto"/>
        <w:ind w:firstLine="709"/>
        <w:rPr>
          <w:b/>
          <w:sz w:val="20"/>
          <w:szCs w:val="20"/>
        </w:rPr>
      </w:pPr>
      <w:r w:rsidRPr="00423452">
        <w:rPr>
          <w:b/>
          <w:i/>
          <w:sz w:val="20"/>
          <w:szCs w:val="20"/>
        </w:rPr>
        <w:t>ν</w:t>
      </w:r>
      <w:r w:rsidRPr="00423452">
        <w:rPr>
          <w:b/>
          <w:sz w:val="20"/>
          <w:szCs w:val="20"/>
        </w:rPr>
        <w:t>(</w:t>
      </w:r>
      <w:r w:rsidRPr="00423452">
        <w:rPr>
          <w:b/>
          <w:i/>
          <w:sz w:val="20"/>
          <w:szCs w:val="20"/>
        </w:rPr>
        <w:t>d</w:t>
      </w:r>
      <w:r w:rsidRPr="00423452">
        <w:rPr>
          <w:b/>
          <w:sz w:val="20"/>
          <w:szCs w:val="20"/>
        </w:rPr>
        <w:t>)</w:t>
      </w:r>
      <w:r w:rsidRPr="00423452">
        <w:rPr>
          <w:b/>
          <w:i/>
          <w:sz w:val="20"/>
          <w:szCs w:val="20"/>
          <w:vertAlign w:val="subscript"/>
        </w:rPr>
        <w:t>p1</w:t>
      </w:r>
      <w:r w:rsidRPr="00423452">
        <w:rPr>
          <w:b/>
          <w:sz w:val="20"/>
          <w:szCs w:val="20"/>
          <w:vertAlign w:val="subscript"/>
        </w:rPr>
        <w:t xml:space="preserve"> </w:t>
      </w:r>
      <w:r w:rsidRPr="00423452">
        <w:rPr>
          <w:b/>
          <w:sz w:val="20"/>
          <w:szCs w:val="20"/>
        </w:rPr>
        <w:t xml:space="preserve">= </w:t>
      </w:r>
      <w:r w:rsidRPr="00423452">
        <w:rPr>
          <w:b/>
          <w:i/>
          <w:sz w:val="20"/>
          <w:szCs w:val="20"/>
        </w:rPr>
        <w:t>P</w:t>
      </w:r>
      <w:r w:rsidRPr="00423452">
        <w:rPr>
          <w:b/>
          <w:i/>
          <w:sz w:val="20"/>
          <w:szCs w:val="20"/>
          <w:vertAlign w:val="subscript"/>
        </w:rPr>
        <w:t>0</w:t>
      </w:r>
      <w:r w:rsidRPr="00423452">
        <w:rPr>
          <w:b/>
          <w:sz w:val="20"/>
          <w:szCs w:val="20"/>
          <w:vertAlign w:val="subscript"/>
        </w:rPr>
        <w:t xml:space="preserve"> </w:t>
      </w:r>
      <w:r w:rsidRPr="00423452">
        <w:rPr>
          <w:b/>
          <w:sz w:val="20"/>
          <w:szCs w:val="20"/>
        </w:rPr>
        <w:t xml:space="preserve">× </w:t>
      </w:r>
      <w:r w:rsidRPr="00423452">
        <w:rPr>
          <w:b/>
          <w:i/>
          <w:sz w:val="20"/>
          <w:szCs w:val="20"/>
        </w:rPr>
        <w:t>P</w:t>
      </w:r>
      <w:r w:rsidRPr="00423452">
        <w:rPr>
          <w:b/>
          <w:i/>
          <w:sz w:val="20"/>
          <w:szCs w:val="20"/>
          <w:vertAlign w:val="subscript"/>
        </w:rPr>
        <w:t xml:space="preserve">1p </w:t>
      </w:r>
      <w:r w:rsidRPr="00423452">
        <w:rPr>
          <w:b/>
          <w:i/>
          <w:sz w:val="20"/>
          <w:szCs w:val="20"/>
        </w:rPr>
        <w:t>× P</w:t>
      </w:r>
      <w:r w:rsidRPr="00423452">
        <w:rPr>
          <w:b/>
          <w:i/>
          <w:sz w:val="20"/>
          <w:szCs w:val="20"/>
          <w:vertAlign w:val="subscript"/>
        </w:rPr>
        <w:t xml:space="preserve">2p </w:t>
      </w:r>
      <w:r w:rsidRPr="00423452">
        <w:rPr>
          <w:b/>
          <w:i/>
          <w:sz w:val="20"/>
          <w:szCs w:val="20"/>
        </w:rPr>
        <w:t>× P</w:t>
      </w:r>
      <w:r w:rsidRPr="00423452">
        <w:rPr>
          <w:b/>
          <w:i/>
          <w:sz w:val="20"/>
          <w:szCs w:val="20"/>
          <w:vertAlign w:val="subscript"/>
        </w:rPr>
        <w:t xml:space="preserve">3p </w:t>
      </w:r>
    </w:p>
    <w:p w:rsidR="00423452" w:rsidRDefault="00423452" w:rsidP="001303C1">
      <w:pPr>
        <w:rPr>
          <w:lang w:val="en-US"/>
        </w:rPr>
      </w:pPr>
    </w:p>
    <w:p w:rsidR="001303C1" w:rsidRPr="001303C1" w:rsidRDefault="001303C1" w:rsidP="00423452">
      <w:pPr>
        <w:ind w:firstLine="709"/>
        <w:rPr>
          <w:lang w:val="en-US"/>
        </w:rPr>
      </w:pPr>
      <w:r w:rsidRPr="001303C1">
        <w:rPr>
          <w:lang w:val="en-US"/>
        </w:rPr>
        <w:t>ν(d)</w:t>
      </w:r>
      <w:r w:rsidRPr="00423452">
        <w:rPr>
          <w:vertAlign w:val="subscript"/>
          <w:lang w:val="en-US"/>
        </w:rPr>
        <w:t>p1</w:t>
      </w:r>
      <w:r w:rsidRPr="001303C1">
        <w:rPr>
          <w:lang w:val="en-US"/>
        </w:rPr>
        <w:t>: annual frequency of master</w:t>
      </w:r>
      <w:r w:rsidR="00A07F71">
        <w:rPr>
          <w:lang w:val="en-US"/>
        </w:rPr>
        <w:t xml:space="preserve"> fault displacement exceeding d</w:t>
      </w:r>
    </w:p>
    <w:p w:rsidR="001303C1" w:rsidRPr="001303C1" w:rsidRDefault="001303C1" w:rsidP="00423452">
      <w:pPr>
        <w:ind w:firstLine="709"/>
        <w:rPr>
          <w:lang w:val="en-US"/>
        </w:rPr>
      </w:pPr>
      <w:r w:rsidRPr="001303C1">
        <w:rPr>
          <w:lang w:val="en-US"/>
        </w:rPr>
        <w:t>P</w:t>
      </w:r>
      <w:r w:rsidRPr="00423452">
        <w:rPr>
          <w:vertAlign w:val="subscript"/>
          <w:lang w:val="en-US"/>
        </w:rPr>
        <w:t>0</w:t>
      </w:r>
      <w:r w:rsidRPr="001303C1">
        <w:rPr>
          <w:lang w:val="en-US"/>
        </w:rPr>
        <w:t xml:space="preserve">: </w:t>
      </w:r>
      <w:r w:rsidRPr="001303C1">
        <w:rPr>
          <w:rFonts w:hint="eastAsia"/>
          <w:lang w:val="en-US"/>
        </w:rPr>
        <w:t>a</w:t>
      </w:r>
      <w:r w:rsidRPr="001303C1">
        <w:rPr>
          <w:lang w:val="en-US"/>
        </w:rPr>
        <w:t xml:space="preserve">ctivity rate of the </w:t>
      </w:r>
      <w:r w:rsidRPr="001303C1">
        <w:rPr>
          <w:rFonts w:hint="eastAsia"/>
          <w:lang w:val="en-US"/>
        </w:rPr>
        <w:t>earthquake source</w:t>
      </w:r>
      <w:r w:rsidRPr="001303C1">
        <w:rPr>
          <w:lang w:val="en-US"/>
        </w:rPr>
        <w:t xml:space="preserve"> fault (per year)</w:t>
      </w:r>
    </w:p>
    <w:p w:rsidR="001303C1" w:rsidRPr="001303C1" w:rsidRDefault="001303C1" w:rsidP="00423452">
      <w:pPr>
        <w:ind w:left="709"/>
        <w:rPr>
          <w:lang w:val="en-US"/>
        </w:rPr>
      </w:pPr>
      <w:r w:rsidRPr="001303C1">
        <w:rPr>
          <w:lang w:val="en-US"/>
        </w:rPr>
        <w:t>P</w:t>
      </w:r>
      <w:r w:rsidRPr="00423452">
        <w:rPr>
          <w:vertAlign w:val="subscript"/>
          <w:lang w:val="en-US"/>
        </w:rPr>
        <w:t>1p</w:t>
      </w:r>
      <w:r w:rsidRPr="001303C1">
        <w:rPr>
          <w:lang w:val="en-US"/>
        </w:rPr>
        <w:t xml:space="preserve">: </w:t>
      </w:r>
      <w:r w:rsidRPr="001303C1">
        <w:rPr>
          <w:rFonts w:hint="eastAsia"/>
          <w:lang w:val="en-US"/>
        </w:rPr>
        <w:t>p</w:t>
      </w:r>
      <w:r w:rsidRPr="001303C1">
        <w:rPr>
          <w:lang w:val="en-US"/>
        </w:rPr>
        <w:t xml:space="preserve">robability that the fault displacement due to the master fault occurs at the ground surface when the </w:t>
      </w:r>
      <w:r w:rsidRPr="001303C1">
        <w:rPr>
          <w:rFonts w:hint="eastAsia"/>
          <w:lang w:val="en-US"/>
        </w:rPr>
        <w:t>earthquake source</w:t>
      </w:r>
      <w:r w:rsidRPr="001303C1">
        <w:rPr>
          <w:lang w:val="en-US"/>
        </w:rPr>
        <w:t xml:space="preserve"> fault becomes active</w:t>
      </w:r>
    </w:p>
    <w:p w:rsidR="001303C1" w:rsidRPr="001303C1" w:rsidRDefault="001303C1" w:rsidP="00423452">
      <w:pPr>
        <w:ind w:left="709"/>
        <w:rPr>
          <w:lang w:val="en-US"/>
        </w:rPr>
      </w:pPr>
      <w:r w:rsidRPr="001303C1">
        <w:rPr>
          <w:lang w:val="en-US"/>
        </w:rPr>
        <w:t>P</w:t>
      </w:r>
      <w:r w:rsidRPr="00423452">
        <w:rPr>
          <w:vertAlign w:val="subscript"/>
          <w:lang w:val="en-US"/>
        </w:rPr>
        <w:t>2p</w:t>
      </w:r>
      <w:r w:rsidRPr="001303C1">
        <w:rPr>
          <w:lang w:val="en-US"/>
        </w:rPr>
        <w:t xml:space="preserve">: </w:t>
      </w:r>
      <w:r w:rsidRPr="001303C1">
        <w:rPr>
          <w:rFonts w:hint="eastAsia"/>
          <w:lang w:val="en-US"/>
        </w:rPr>
        <w:t>p</w:t>
      </w:r>
      <w:r w:rsidRPr="001303C1">
        <w:rPr>
          <w:lang w:val="en-US"/>
        </w:rPr>
        <w:t>robability that the fault displacement occurs at the analysis point when fault displacement due to the master fault occurs at the ground surface</w:t>
      </w:r>
    </w:p>
    <w:p w:rsidR="001303C1" w:rsidRPr="001303C1" w:rsidRDefault="001303C1" w:rsidP="00423452">
      <w:pPr>
        <w:ind w:left="709"/>
        <w:rPr>
          <w:lang w:val="en-US"/>
        </w:rPr>
      </w:pPr>
      <w:r w:rsidRPr="001303C1">
        <w:rPr>
          <w:lang w:val="en-US"/>
        </w:rPr>
        <w:t>P</w:t>
      </w:r>
      <w:r w:rsidRPr="00423452">
        <w:rPr>
          <w:vertAlign w:val="subscript"/>
          <w:lang w:val="en-US"/>
        </w:rPr>
        <w:t>3p</w:t>
      </w:r>
      <w:r w:rsidRPr="001303C1">
        <w:rPr>
          <w:lang w:val="en-US"/>
        </w:rPr>
        <w:t xml:space="preserve">: </w:t>
      </w:r>
      <w:r w:rsidRPr="001303C1">
        <w:rPr>
          <w:rFonts w:hint="eastAsia"/>
          <w:lang w:val="en-US"/>
        </w:rPr>
        <w:t>p</w:t>
      </w:r>
      <w:r w:rsidRPr="001303C1">
        <w:rPr>
          <w:lang w:val="en-US"/>
        </w:rPr>
        <w:t>robability that the fault displacement exceeds a certain value “</w:t>
      </w:r>
      <w:r w:rsidRPr="001303C1">
        <w:rPr>
          <w:rFonts w:hint="eastAsia"/>
          <w:lang w:val="en-US"/>
        </w:rPr>
        <w:t>d</w:t>
      </w:r>
      <w:r w:rsidRPr="001303C1">
        <w:rPr>
          <w:lang w:val="en-US"/>
        </w:rPr>
        <w:t>”</w:t>
      </w:r>
      <w:r w:rsidRPr="001303C1">
        <w:rPr>
          <w:rFonts w:hint="eastAsia"/>
          <w:lang w:val="en-US"/>
        </w:rPr>
        <w:t xml:space="preserve"> </w:t>
      </w:r>
      <w:r w:rsidRPr="001303C1">
        <w:rPr>
          <w:lang w:val="en-US"/>
        </w:rPr>
        <w:t>when fault displacement due to the master fault occurs at the analysis point</w:t>
      </w:r>
    </w:p>
    <w:p w:rsidR="001303C1" w:rsidRPr="001303C1" w:rsidRDefault="001303C1" w:rsidP="001303C1">
      <w:pPr>
        <w:rPr>
          <w:lang w:val="en-US"/>
        </w:rPr>
      </w:pPr>
    </w:p>
    <w:p w:rsidR="001303C1" w:rsidRPr="001303C1" w:rsidRDefault="001303C1" w:rsidP="001303C1">
      <w:pPr>
        <w:rPr>
          <w:lang w:val="en-US"/>
        </w:rPr>
      </w:pPr>
      <w:r w:rsidRPr="001303C1">
        <w:rPr>
          <w:rFonts w:hint="eastAsia"/>
          <w:lang w:val="en-US"/>
        </w:rPr>
        <w:t>As for secondary fault,</w:t>
      </w:r>
    </w:p>
    <w:p w:rsidR="00423452" w:rsidRDefault="00423452" w:rsidP="00423452">
      <w:pPr>
        <w:spacing w:line="360" w:lineRule="auto"/>
        <w:rPr>
          <w:lang w:val="en-US"/>
        </w:rPr>
      </w:pPr>
    </w:p>
    <w:p w:rsidR="00423452" w:rsidRPr="00423452" w:rsidRDefault="00423452" w:rsidP="00423452">
      <w:pPr>
        <w:spacing w:line="360" w:lineRule="auto"/>
        <w:ind w:firstLine="709"/>
        <w:rPr>
          <w:b/>
          <w:i/>
          <w:sz w:val="20"/>
          <w:szCs w:val="20"/>
          <w:vertAlign w:val="subscript"/>
        </w:rPr>
      </w:pPr>
      <w:r w:rsidRPr="00423452">
        <w:rPr>
          <w:b/>
          <w:i/>
          <w:sz w:val="20"/>
          <w:szCs w:val="20"/>
        </w:rPr>
        <w:t>ν</w:t>
      </w:r>
      <w:r w:rsidRPr="00423452">
        <w:rPr>
          <w:b/>
          <w:sz w:val="20"/>
          <w:szCs w:val="20"/>
        </w:rPr>
        <w:t>(</w:t>
      </w:r>
      <w:r w:rsidRPr="00423452">
        <w:rPr>
          <w:b/>
          <w:i/>
          <w:sz w:val="20"/>
          <w:szCs w:val="20"/>
        </w:rPr>
        <w:t>d</w:t>
      </w:r>
      <w:r w:rsidRPr="00423452">
        <w:rPr>
          <w:b/>
          <w:sz w:val="20"/>
          <w:szCs w:val="20"/>
        </w:rPr>
        <w:t>)</w:t>
      </w:r>
      <w:r w:rsidRPr="00423452">
        <w:rPr>
          <w:b/>
          <w:i/>
          <w:sz w:val="20"/>
          <w:szCs w:val="20"/>
          <w:vertAlign w:val="subscript"/>
        </w:rPr>
        <w:t>d1</w:t>
      </w:r>
      <w:r w:rsidRPr="00423452">
        <w:rPr>
          <w:b/>
          <w:sz w:val="20"/>
          <w:szCs w:val="20"/>
          <w:vertAlign w:val="subscript"/>
        </w:rPr>
        <w:t xml:space="preserve"> </w:t>
      </w:r>
      <w:r w:rsidRPr="00423452">
        <w:rPr>
          <w:b/>
          <w:sz w:val="20"/>
          <w:szCs w:val="20"/>
        </w:rPr>
        <w:t xml:space="preserve">= </w:t>
      </w:r>
      <w:r w:rsidRPr="00423452">
        <w:rPr>
          <w:b/>
          <w:i/>
          <w:sz w:val="20"/>
          <w:szCs w:val="20"/>
        </w:rPr>
        <w:t>P</w:t>
      </w:r>
      <w:r w:rsidRPr="00423452">
        <w:rPr>
          <w:b/>
          <w:i/>
          <w:sz w:val="20"/>
          <w:szCs w:val="20"/>
          <w:vertAlign w:val="subscript"/>
        </w:rPr>
        <w:t>0</w:t>
      </w:r>
      <w:r w:rsidRPr="00423452">
        <w:rPr>
          <w:b/>
          <w:sz w:val="20"/>
          <w:szCs w:val="20"/>
          <w:vertAlign w:val="subscript"/>
        </w:rPr>
        <w:t xml:space="preserve"> </w:t>
      </w:r>
      <w:r w:rsidRPr="00423452">
        <w:rPr>
          <w:b/>
          <w:sz w:val="20"/>
          <w:szCs w:val="20"/>
        </w:rPr>
        <w:t xml:space="preserve">× </w:t>
      </w:r>
      <w:r w:rsidRPr="00423452">
        <w:rPr>
          <w:b/>
          <w:i/>
          <w:sz w:val="20"/>
          <w:szCs w:val="20"/>
        </w:rPr>
        <w:t>P</w:t>
      </w:r>
      <w:r w:rsidRPr="00423452">
        <w:rPr>
          <w:b/>
          <w:i/>
          <w:sz w:val="20"/>
          <w:szCs w:val="20"/>
          <w:vertAlign w:val="subscript"/>
        </w:rPr>
        <w:t xml:space="preserve">1p </w:t>
      </w:r>
      <w:r w:rsidRPr="00423452">
        <w:rPr>
          <w:b/>
          <w:i/>
          <w:sz w:val="20"/>
          <w:szCs w:val="20"/>
        </w:rPr>
        <w:t>× P</w:t>
      </w:r>
      <w:r w:rsidRPr="00423452">
        <w:rPr>
          <w:b/>
          <w:i/>
          <w:sz w:val="20"/>
          <w:szCs w:val="20"/>
          <w:vertAlign w:val="subscript"/>
        </w:rPr>
        <w:t xml:space="preserve">2d </w:t>
      </w:r>
      <w:r w:rsidRPr="00423452">
        <w:rPr>
          <w:b/>
          <w:i/>
          <w:sz w:val="20"/>
          <w:szCs w:val="20"/>
        </w:rPr>
        <w:t>× P</w:t>
      </w:r>
      <w:r w:rsidRPr="00423452">
        <w:rPr>
          <w:b/>
          <w:i/>
          <w:sz w:val="20"/>
          <w:szCs w:val="20"/>
          <w:vertAlign w:val="subscript"/>
        </w:rPr>
        <w:t xml:space="preserve">3d </w:t>
      </w:r>
    </w:p>
    <w:p w:rsidR="00423452" w:rsidRPr="00423452" w:rsidRDefault="00423452" w:rsidP="001303C1"/>
    <w:p w:rsidR="001303C1" w:rsidRPr="001303C1" w:rsidRDefault="001303C1" w:rsidP="00423452">
      <w:pPr>
        <w:ind w:firstLine="709"/>
        <w:rPr>
          <w:lang w:val="en-US"/>
        </w:rPr>
      </w:pPr>
      <w:r w:rsidRPr="001303C1">
        <w:rPr>
          <w:lang w:val="en-US"/>
        </w:rPr>
        <w:lastRenderedPageBreak/>
        <w:t>ν(d)</w:t>
      </w:r>
      <w:r w:rsidRPr="00423452">
        <w:rPr>
          <w:vertAlign w:val="subscript"/>
          <w:lang w:val="en-US"/>
        </w:rPr>
        <w:t>d1</w:t>
      </w:r>
      <w:r w:rsidRPr="001303C1">
        <w:rPr>
          <w:lang w:val="en-US"/>
        </w:rPr>
        <w:t>: annual frequency of secondary f</w:t>
      </w:r>
      <w:r w:rsidR="00A07F71">
        <w:rPr>
          <w:lang w:val="en-US"/>
        </w:rPr>
        <w:t>ault displacement exceeding d</w:t>
      </w:r>
    </w:p>
    <w:p w:rsidR="001303C1" w:rsidRPr="001303C1" w:rsidRDefault="001303C1" w:rsidP="007B0C96">
      <w:pPr>
        <w:ind w:firstLine="709"/>
        <w:rPr>
          <w:lang w:val="en-US"/>
        </w:rPr>
      </w:pPr>
      <w:r w:rsidRPr="001303C1">
        <w:rPr>
          <w:lang w:val="en-US"/>
        </w:rPr>
        <w:t>P</w:t>
      </w:r>
      <w:r w:rsidRPr="00423452">
        <w:rPr>
          <w:vertAlign w:val="subscript"/>
          <w:lang w:val="en-US"/>
        </w:rPr>
        <w:t>0</w:t>
      </w:r>
      <w:r w:rsidRPr="001303C1">
        <w:rPr>
          <w:lang w:val="en-US"/>
        </w:rPr>
        <w:t xml:space="preserve">: </w:t>
      </w:r>
      <w:r w:rsidRPr="001303C1">
        <w:rPr>
          <w:rFonts w:hint="eastAsia"/>
          <w:lang w:val="en-US"/>
        </w:rPr>
        <w:t>a</w:t>
      </w:r>
      <w:r w:rsidRPr="001303C1">
        <w:rPr>
          <w:lang w:val="en-US"/>
        </w:rPr>
        <w:t xml:space="preserve">ctivity rate of the </w:t>
      </w:r>
      <w:r w:rsidRPr="001303C1">
        <w:rPr>
          <w:rFonts w:hint="eastAsia"/>
          <w:lang w:val="en-US"/>
        </w:rPr>
        <w:t>earthquake source</w:t>
      </w:r>
      <w:r w:rsidRPr="001303C1">
        <w:rPr>
          <w:lang w:val="en-US"/>
        </w:rPr>
        <w:t xml:space="preserve"> fault (per year)</w:t>
      </w:r>
    </w:p>
    <w:p w:rsidR="001303C1" w:rsidRPr="001303C1" w:rsidRDefault="001303C1" w:rsidP="00423452">
      <w:pPr>
        <w:ind w:left="709"/>
        <w:rPr>
          <w:lang w:val="en-US"/>
        </w:rPr>
      </w:pPr>
      <w:r w:rsidRPr="001303C1">
        <w:rPr>
          <w:lang w:val="en-US"/>
        </w:rPr>
        <w:t>P</w:t>
      </w:r>
      <w:r w:rsidRPr="00423452">
        <w:rPr>
          <w:vertAlign w:val="subscript"/>
          <w:lang w:val="en-US"/>
        </w:rPr>
        <w:t>1p</w:t>
      </w:r>
      <w:r w:rsidRPr="001303C1">
        <w:rPr>
          <w:lang w:val="en-US"/>
        </w:rPr>
        <w:t xml:space="preserve">: </w:t>
      </w:r>
      <w:r w:rsidR="005A7558">
        <w:rPr>
          <w:lang w:val="en-US"/>
        </w:rPr>
        <w:t>p</w:t>
      </w:r>
      <w:r w:rsidRPr="001303C1">
        <w:rPr>
          <w:lang w:val="en-US"/>
        </w:rPr>
        <w:t xml:space="preserve">robability that the fault displacement due to the master fault occurs at the ground surface when the </w:t>
      </w:r>
      <w:r w:rsidRPr="001303C1">
        <w:rPr>
          <w:rFonts w:hint="eastAsia"/>
          <w:lang w:val="en-US"/>
        </w:rPr>
        <w:t>earthquake source</w:t>
      </w:r>
      <w:r w:rsidRPr="001303C1">
        <w:rPr>
          <w:lang w:val="en-US"/>
        </w:rPr>
        <w:t xml:space="preserve"> fault becomes active</w:t>
      </w:r>
    </w:p>
    <w:p w:rsidR="001303C1" w:rsidRPr="001303C1" w:rsidRDefault="001303C1" w:rsidP="00423452">
      <w:pPr>
        <w:ind w:left="709"/>
        <w:rPr>
          <w:lang w:val="en-US"/>
        </w:rPr>
      </w:pPr>
      <w:r w:rsidRPr="001303C1">
        <w:rPr>
          <w:lang w:val="en-US"/>
        </w:rPr>
        <w:t>P</w:t>
      </w:r>
      <w:r w:rsidRPr="00423452">
        <w:rPr>
          <w:vertAlign w:val="subscript"/>
          <w:lang w:val="en-US"/>
        </w:rPr>
        <w:t>2d</w:t>
      </w:r>
      <w:r w:rsidRPr="001303C1">
        <w:rPr>
          <w:lang w:val="en-US"/>
        </w:rPr>
        <w:t xml:space="preserve">: </w:t>
      </w:r>
      <w:r w:rsidRPr="001303C1">
        <w:rPr>
          <w:rFonts w:hint="eastAsia"/>
          <w:lang w:val="en-US"/>
        </w:rPr>
        <w:t>p</w:t>
      </w:r>
      <w:r w:rsidRPr="001303C1">
        <w:rPr>
          <w:lang w:val="en-US"/>
        </w:rPr>
        <w:t xml:space="preserve">robability that the fault displacement due to the secondary fault occurs at the ground surface at the analysis point when the </w:t>
      </w:r>
      <w:r w:rsidRPr="001303C1">
        <w:rPr>
          <w:rFonts w:hint="eastAsia"/>
          <w:lang w:val="en-US"/>
        </w:rPr>
        <w:t>earthquake source</w:t>
      </w:r>
      <w:r w:rsidRPr="001303C1">
        <w:rPr>
          <w:lang w:val="en-US"/>
        </w:rPr>
        <w:t xml:space="preserve"> fault becomes active</w:t>
      </w:r>
    </w:p>
    <w:p w:rsidR="001303C1" w:rsidRPr="001303C1" w:rsidRDefault="001303C1" w:rsidP="00423452">
      <w:pPr>
        <w:ind w:left="709"/>
        <w:rPr>
          <w:lang w:val="en-US"/>
        </w:rPr>
      </w:pPr>
      <w:r w:rsidRPr="001303C1">
        <w:rPr>
          <w:lang w:val="en-US"/>
        </w:rPr>
        <w:t>P</w:t>
      </w:r>
      <w:r w:rsidRPr="00423452">
        <w:rPr>
          <w:vertAlign w:val="subscript"/>
          <w:lang w:val="en-US"/>
        </w:rPr>
        <w:t>3d</w:t>
      </w:r>
      <w:r w:rsidRPr="001303C1">
        <w:rPr>
          <w:lang w:val="en-US"/>
        </w:rPr>
        <w:t xml:space="preserve">: </w:t>
      </w:r>
      <w:r w:rsidRPr="001303C1">
        <w:rPr>
          <w:rFonts w:hint="eastAsia"/>
          <w:lang w:val="en-US"/>
        </w:rPr>
        <w:t>p</w:t>
      </w:r>
      <w:r w:rsidRPr="001303C1">
        <w:rPr>
          <w:lang w:val="en-US"/>
        </w:rPr>
        <w:t>robability that the fault displacement exceeds a certain value “</w:t>
      </w:r>
      <w:r w:rsidRPr="001303C1">
        <w:rPr>
          <w:rFonts w:hint="eastAsia"/>
          <w:lang w:val="en-US"/>
        </w:rPr>
        <w:t>d</w:t>
      </w:r>
      <w:r w:rsidRPr="001303C1">
        <w:rPr>
          <w:lang w:val="en-US"/>
        </w:rPr>
        <w:t>”</w:t>
      </w:r>
      <w:r w:rsidRPr="001303C1">
        <w:rPr>
          <w:rFonts w:hint="eastAsia"/>
          <w:lang w:val="en-US"/>
        </w:rPr>
        <w:t xml:space="preserve"> </w:t>
      </w:r>
      <w:r w:rsidRPr="001303C1">
        <w:rPr>
          <w:lang w:val="en-US"/>
        </w:rPr>
        <w:t>when fault displacement due to the secondary fault occurs at the analysis point</w:t>
      </w:r>
      <w:r w:rsidR="00A07F71">
        <w:rPr>
          <w:rFonts w:hint="eastAsia"/>
          <w:lang w:val="en-US"/>
        </w:rPr>
        <w:t>.</w:t>
      </w:r>
    </w:p>
    <w:p w:rsidR="001303C1" w:rsidRPr="001303C1" w:rsidRDefault="001303C1" w:rsidP="001303C1">
      <w:pPr>
        <w:rPr>
          <w:lang w:val="en-US"/>
        </w:rPr>
      </w:pPr>
    </w:p>
    <w:p w:rsidR="001303C1" w:rsidRDefault="001303C1" w:rsidP="001303C1">
      <w:pPr>
        <w:rPr>
          <w:lang w:val="en-US"/>
        </w:rPr>
      </w:pPr>
      <w:r w:rsidRPr="001303C1">
        <w:rPr>
          <w:lang w:val="en-US"/>
        </w:rPr>
        <w:t xml:space="preserve">Details of the calculation method </w:t>
      </w:r>
      <w:r w:rsidRPr="001303C1">
        <w:rPr>
          <w:rFonts w:hint="eastAsia"/>
          <w:lang w:val="en-US"/>
        </w:rPr>
        <w:t xml:space="preserve">are described in </w:t>
      </w:r>
      <w:r w:rsidR="003442A1">
        <w:rPr>
          <w:lang w:val="en-US"/>
        </w:rPr>
        <w:t xml:space="preserve">JANSI (2013), ANS (2015), </w:t>
      </w:r>
      <w:r w:rsidR="00423452">
        <w:rPr>
          <w:lang w:val="en-US"/>
        </w:rPr>
        <w:t>IAEA (2015)</w:t>
      </w:r>
      <w:r w:rsidR="003442A1">
        <w:rPr>
          <w:lang w:val="en-US"/>
        </w:rPr>
        <w:t>, Suziki &amp; Annaka (2015) and Takao et al. (2015)</w:t>
      </w:r>
      <w:r w:rsidRPr="001303C1">
        <w:rPr>
          <w:rFonts w:hint="eastAsia"/>
          <w:lang w:val="en-US"/>
        </w:rPr>
        <w:t>.</w:t>
      </w:r>
    </w:p>
    <w:p w:rsidR="00423452" w:rsidRPr="001303C1" w:rsidRDefault="00423452" w:rsidP="001303C1">
      <w:pPr>
        <w:rPr>
          <w:lang w:val="en-US"/>
        </w:rPr>
      </w:pPr>
    </w:p>
    <w:p w:rsidR="001303C1" w:rsidRPr="001303C1" w:rsidRDefault="001303C1" w:rsidP="001303C1">
      <w:pPr>
        <w:rPr>
          <w:lang w:val="en-US"/>
        </w:rPr>
      </w:pPr>
      <w:r w:rsidRPr="001303C1">
        <w:rPr>
          <w:lang w:val="en-US"/>
        </w:rPr>
        <w:t>In the probabilistic analysis, two types of uncertainties can basically be taken into account, i.e., aleatory unce</w:t>
      </w:r>
      <w:r w:rsidRPr="001303C1">
        <w:rPr>
          <w:lang w:val="en-US"/>
        </w:rPr>
        <w:t>r</w:t>
      </w:r>
      <w:r w:rsidRPr="001303C1">
        <w:rPr>
          <w:lang w:val="en-US"/>
        </w:rPr>
        <w:t xml:space="preserve">tainties and epistemic uncertainties. Aleatory </w:t>
      </w:r>
      <w:r w:rsidRPr="001303C1">
        <w:rPr>
          <w:rFonts w:hint="eastAsia"/>
          <w:lang w:val="en-US"/>
        </w:rPr>
        <w:t>uncertainties are</w:t>
      </w:r>
      <w:r w:rsidRPr="001303C1">
        <w:rPr>
          <w:lang w:val="en-US"/>
        </w:rPr>
        <w:t xml:space="preserve"> due to the inherently </w:t>
      </w:r>
      <w:r w:rsidRPr="001303C1">
        <w:rPr>
          <w:rFonts w:hint="eastAsia"/>
          <w:lang w:val="en-US"/>
        </w:rPr>
        <w:t xml:space="preserve">random and </w:t>
      </w:r>
      <w:r w:rsidRPr="001303C1">
        <w:rPr>
          <w:lang w:val="en-US"/>
        </w:rPr>
        <w:t>unpredictable nature</w:t>
      </w:r>
      <w:r w:rsidRPr="001303C1">
        <w:rPr>
          <w:rFonts w:hint="eastAsia"/>
          <w:lang w:val="en-US"/>
        </w:rPr>
        <w:t xml:space="preserve"> </w:t>
      </w:r>
      <w:r w:rsidRPr="001303C1">
        <w:rPr>
          <w:lang w:val="en-US"/>
        </w:rPr>
        <w:t xml:space="preserve">of future events, and cannot be reduced. Aleatory uncertainties can be evaluated by </w:t>
      </w:r>
      <w:r w:rsidRPr="001303C1">
        <w:rPr>
          <w:rFonts w:hint="eastAsia"/>
          <w:lang w:val="en-US"/>
        </w:rPr>
        <w:t>assuming</w:t>
      </w:r>
      <w:r w:rsidRPr="001303C1">
        <w:rPr>
          <w:lang w:val="en-US"/>
        </w:rPr>
        <w:t xml:space="preserve"> the probabi</w:t>
      </w:r>
      <w:r w:rsidRPr="001303C1">
        <w:rPr>
          <w:lang w:val="en-US"/>
        </w:rPr>
        <w:t>l</w:t>
      </w:r>
      <w:r w:rsidRPr="001303C1">
        <w:rPr>
          <w:lang w:val="en-US"/>
        </w:rPr>
        <w:t xml:space="preserve">ity distribution. Epistemic uncertainties </w:t>
      </w:r>
      <w:r w:rsidRPr="001303C1">
        <w:rPr>
          <w:rFonts w:hint="eastAsia"/>
          <w:lang w:val="en-US"/>
        </w:rPr>
        <w:t>are</w:t>
      </w:r>
      <w:r w:rsidRPr="001303C1">
        <w:rPr>
          <w:lang w:val="en-US"/>
        </w:rPr>
        <w:t xml:space="preserve"> those resulting from inadequate knowledge or data</w:t>
      </w:r>
      <w:r w:rsidRPr="001303C1">
        <w:rPr>
          <w:rFonts w:hint="eastAsia"/>
          <w:lang w:val="en-US"/>
        </w:rPr>
        <w:t>, which</w:t>
      </w:r>
      <w:r w:rsidRPr="001303C1">
        <w:rPr>
          <w:lang w:val="en-US"/>
        </w:rPr>
        <w:t xml:space="preserve"> are gene</w:t>
      </w:r>
      <w:r w:rsidRPr="001303C1">
        <w:rPr>
          <w:lang w:val="en-US"/>
        </w:rPr>
        <w:t>r</w:t>
      </w:r>
      <w:r w:rsidRPr="001303C1">
        <w:rPr>
          <w:lang w:val="en-US"/>
        </w:rPr>
        <w:t>ally modeled using logic tree branches and the weight given to them</w:t>
      </w:r>
      <w:r w:rsidRPr="001303C1">
        <w:rPr>
          <w:rFonts w:hint="eastAsia"/>
          <w:lang w:val="en-US"/>
        </w:rPr>
        <w:t xml:space="preserve"> </w:t>
      </w:r>
      <w:r w:rsidR="00423452">
        <w:rPr>
          <w:lang w:val="en-US"/>
        </w:rPr>
        <w:t>(Youngs et al., 2003)</w:t>
      </w:r>
      <w:r w:rsidR="00A07F71">
        <w:rPr>
          <w:lang w:val="en-US"/>
        </w:rPr>
        <w:t>.</w:t>
      </w:r>
    </w:p>
    <w:p w:rsidR="00B07AE4" w:rsidRDefault="00B07AE4" w:rsidP="001303C1">
      <w:pPr>
        <w:rPr>
          <w:lang w:val="en-US"/>
        </w:rPr>
      </w:pPr>
    </w:p>
    <w:p w:rsidR="001303C1" w:rsidRDefault="001303C1" w:rsidP="001303C1">
      <w:pPr>
        <w:rPr>
          <w:lang w:val="en-US"/>
        </w:rPr>
      </w:pPr>
      <w:r w:rsidRPr="001303C1">
        <w:rPr>
          <w:rFonts w:hint="eastAsia"/>
          <w:lang w:val="en-US"/>
        </w:rPr>
        <w:t>E</w:t>
      </w:r>
      <w:r w:rsidRPr="001303C1">
        <w:rPr>
          <w:lang w:val="en-US"/>
        </w:rPr>
        <w:t>xample</w:t>
      </w:r>
      <w:r w:rsidRPr="001303C1">
        <w:rPr>
          <w:rFonts w:hint="eastAsia"/>
          <w:lang w:val="en-US"/>
        </w:rPr>
        <w:t>s</w:t>
      </w:r>
      <w:r w:rsidRPr="001303C1">
        <w:rPr>
          <w:lang w:val="en-US"/>
        </w:rPr>
        <w:t xml:space="preserve"> of fault displacement hazard curve for secondary fault </w:t>
      </w:r>
      <w:r w:rsidRPr="001303C1">
        <w:rPr>
          <w:rFonts w:hint="eastAsia"/>
          <w:lang w:val="en-US"/>
        </w:rPr>
        <w:t>are</w:t>
      </w:r>
      <w:r w:rsidRPr="001303C1">
        <w:rPr>
          <w:lang w:val="en-US"/>
        </w:rPr>
        <w:t xml:space="preserve"> shown below</w:t>
      </w:r>
      <w:r w:rsidR="000239B0">
        <w:rPr>
          <w:lang w:val="en-US"/>
        </w:rPr>
        <w:t xml:space="preserve"> (</w:t>
      </w:r>
      <w:r w:rsidR="00B07AE4">
        <w:rPr>
          <w:lang w:val="en-US"/>
        </w:rPr>
        <w:fldChar w:fldCharType="begin"/>
      </w:r>
      <w:r w:rsidR="00B07AE4">
        <w:rPr>
          <w:lang w:val="en-US"/>
        </w:rPr>
        <w:instrText xml:space="preserve"> REF _Ref451165449 \h </w:instrText>
      </w:r>
      <w:r w:rsidR="00B07AE4">
        <w:rPr>
          <w:lang w:val="en-US"/>
        </w:rPr>
      </w:r>
      <w:r w:rsidR="00B07AE4">
        <w:rPr>
          <w:lang w:val="en-US"/>
        </w:rPr>
        <w:fldChar w:fldCharType="separate"/>
      </w:r>
      <w:r w:rsidR="00173034">
        <w:t xml:space="preserve">Figure </w:t>
      </w:r>
      <w:r w:rsidR="00173034">
        <w:rPr>
          <w:noProof/>
        </w:rPr>
        <w:t>19</w:t>
      </w:r>
      <w:r w:rsidR="00B07AE4">
        <w:rPr>
          <w:lang w:val="en-US"/>
        </w:rPr>
        <w:fldChar w:fldCharType="end"/>
      </w:r>
      <w:r w:rsidR="00B07AE4">
        <w:rPr>
          <w:lang w:val="en-US"/>
        </w:rPr>
        <w:t xml:space="preserve">, </w:t>
      </w:r>
      <w:r w:rsidR="00B07AE4">
        <w:rPr>
          <w:lang w:val="en-US"/>
        </w:rPr>
        <w:fldChar w:fldCharType="begin"/>
      </w:r>
      <w:r w:rsidR="00B07AE4">
        <w:rPr>
          <w:lang w:val="en-US"/>
        </w:rPr>
        <w:instrText xml:space="preserve"> REF _Ref451165451 \h </w:instrText>
      </w:r>
      <w:r w:rsidR="00B07AE4">
        <w:rPr>
          <w:lang w:val="en-US"/>
        </w:rPr>
      </w:r>
      <w:r w:rsidR="00B07AE4">
        <w:rPr>
          <w:lang w:val="en-US"/>
        </w:rPr>
        <w:fldChar w:fldCharType="separate"/>
      </w:r>
      <w:r w:rsidR="00173034">
        <w:t xml:space="preserve">Figure </w:t>
      </w:r>
      <w:r w:rsidR="00173034">
        <w:rPr>
          <w:noProof/>
        </w:rPr>
        <w:t>20</w:t>
      </w:r>
      <w:r w:rsidR="00B07AE4">
        <w:rPr>
          <w:lang w:val="en-US"/>
        </w:rPr>
        <w:fldChar w:fldCharType="end"/>
      </w:r>
      <w:r w:rsidR="000239B0">
        <w:rPr>
          <w:lang w:val="en-US"/>
        </w:rPr>
        <w:t>)</w:t>
      </w:r>
      <w:r w:rsidR="00A07F71">
        <w:rPr>
          <w:lang w:val="en-US"/>
        </w:rPr>
        <w:t>.</w:t>
      </w:r>
    </w:p>
    <w:p w:rsidR="003442A1" w:rsidRDefault="003442A1" w:rsidP="001303C1">
      <w:pPr>
        <w:rPr>
          <w:lang w:val="en-US"/>
        </w:rPr>
      </w:pPr>
    </w:p>
    <w:p w:rsidR="003442A1" w:rsidRDefault="00FA7DEE" w:rsidP="000239B0">
      <w:pPr>
        <w:jc w:val="center"/>
        <w:rPr>
          <w:lang w:val="en-US"/>
        </w:rPr>
      </w:pPr>
      <w:r>
        <w:rPr>
          <w:lang w:val="en-US"/>
        </w:rPr>
        <w:pict>
          <v:shape id="_x0000_i1050" type="#_x0000_t75" style="width:359.35pt;height:226.85pt">
            <v:imagedata r:id="rId80" o:title="Takao_probability_surface_rupture"/>
          </v:shape>
        </w:pict>
      </w:r>
    </w:p>
    <w:p w:rsidR="000239B0" w:rsidRDefault="000239B0" w:rsidP="000239B0">
      <w:pPr>
        <w:jc w:val="center"/>
        <w:rPr>
          <w:lang w:val="en-US"/>
        </w:rPr>
      </w:pPr>
    </w:p>
    <w:p w:rsidR="003442A1" w:rsidRDefault="00B07AE4" w:rsidP="003442A1">
      <w:pPr>
        <w:pStyle w:val="Lgende"/>
        <w:jc w:val="center"/>
      </w:pPr>
      <w:bookmarkStart w:id="170" w:name="_Ref451165398"/>
      <w:bookmarkStart w:id="171" w:name="_Toc456012054"/>
      <w:r>
        <w:t xml:space="preserve">Figure </w:t>
      </w:r>
      <w:r>
        <w:fldChar w:fldCharType="begin"/>
      </w:r>
      <w:r>
        <w:instrText xml:space="preserve"> SEQ Figure \* ARABIC </w:instrText>
      </w:r>
      <w:r>
        <w:fldChar w:fldCharType="separate"/>
      </w:r>
      <w:r w:rsidR="00173034">
        <w:rPr>
          <w:noProof/>
        </w:rPr>
        <w:t>18</w:t>
      </w:r>
      <w:r>
        <w:fldChar w:fldCharType="end"/>
      </w:r>
      <w:bookmarkEnd w:id="170"/>
      <w:r>
        <w:t xml:space="preserve">. </w:t>
      </w:r>
      <w:r w:rsidR="003442A1">
        <w:t>Probability of surface rupture as a function of earthquake magnitude (T</w:t>
      </w:r>
      <w:r w:rsidR="000239B0">
        <w:t>akao</w:t>
      </w:r>
      <w:r w:rsidR="003442A1">
        <w:t xml:space="preserve"> et al., 2015) </w:t>
      </w:r>
      <w:r w:rsidR="000239B0" w:rsidRPr="00923C7F">
        <w:rPr>
          <w:i/>
        </w:rPr>
        <w:t>[</w:t>
      </w:r>
      <w:r w:rsidR="000239B0" w:rsidRPr="000239B0">
        <w:rPr>
          <w:i/>
        </w:rPr>
        <w:t>T</w:t>
      </w:r>
      <w:r w:rsidR="000239B0" w:rsidRPr="000239B0">
        <w:rPr>
          <w:i/>
        </w:rPr>
        <w:t>a</w:t>
      </w:r>
      <w:r w:rsidR="000239B0" w:rsidRPr="000239B0">
        <w:rPr>
          <w:i/>
        </w:rPr>
        <w:t>kao_probability_surface_rupture</w:t>
      </w:r>
      <w:r w:rsidR="000239B0" w:rsidRPr="00923C7F">
        <w:rPr>
          <w:i/>
        </w:rPr>
        <w:t>.JPG]</w:t>
      </w:r>
      <w:bookmarkEnd w:id="171"/>
    </w:p>
    <w:p w:rsidR="003442A1" w:rsidRPr="003442A1" w:rsidRDefault="003442A1" w:rsidP="001303C1"/>
    <w:p w:rsidR="001303C1" w:rsidRPr="001303C1" w:rsidRDefault="001303C1" w:rsidP="00E57F6C">
      <w:pPr>
        <w:rPr>
          <w:lang w:val="en-US"/>
        </w:rPr>
      </w:pPr>
    </w:p>
    <w:p w:rsidR="001303C1" w:rsidRDefault="00FA7DEE" w:rsidP="007B0C96">
      <w:pPr>
        <w:jc w:val="center"/>
        <w:rPr>
          <w:lang w:val="en-US"/>
        </w:rPr>
      </w:pPr>
      <w:r>
        <w:rPr>
          <w:lang w:val="en-US"/>
        </w:rPr>
        <w:lastRenderedPageBreak/>
        <w:pict>
          <v:shape id="_x0000_i1051" type="#_x0000_t75" style="width:224.9pt;height:283.55pt">
            <v:imagedata r:id="rId81" o:title="PFDHA_example_1"/>
          </v:shape>
        </w:pict>
      </w:r>
    </w:p>
    <w:p w:rsidR="007B0C96" w:rsidRDefault="007B0C96" w:rsidP="00E57F6C">
      <w:pPr>
        <w:rPr>
          <w:lang w:val="en-US"/>
        </w:rPr>
      </w:pPr>
    </w:p>
    <w:p w:rsidR="007B0C96" w:rsidRDefault="00B07AE4" w:rsidP="007B0C96">
      <w:pPr>
        <w:pStyle w:val="Lgende"/>
        <w:jc w:val="center"/>
      </w:pPr>
      <w:bookmarkStart w:id="172" w:name="_Ref451165449"/>
      <w:bookmarkStart w:id="173" w:name="_Toc456012055"/>
      <w:r>
        <w:t xml:space="preserve">Figure </w:t>
      </w:r>
      <w:r>
        <w:fldChar w:fldCharType="begin"/>
      </w:r>
      <w:r>
        <w:instrText xml:space="preserve"> SEQ Figure \* ARABIC </w:instrText>
      </w:r>
      <w:r>
        <w:fldChar w:fldCharType="separate"/>
      </w:r>
      <w:r w:rsidR="00173034">
        <w:rPr>
          <w:noProof/>
        </w:rPr>
        <w:t>19</w:t>
      </w:r>
      <w:r>
        <w:fldChar w:fldCharType="end"/>
      </w:r>
      <w:bookmarkEnd w:id="172"/>
      <w:r>
        <w:t xml:space="preserve">. </w:t>
      </w:r>
      <w:r w:rsidR="007B0C96">
        <w:t>Example of fault displacement hazard curves of secondary fault with fractile values</w:t>
      </w:r>
      <w:bookmarkEnd w:id="173"/>
    </w:p>
    <w:p w:rsidR="007B0C96" w:rsidRPr="00923C7F" w:rsidRDefault="007B0C96" w:rsidP="007B0C96">
      <w:pPr>
        <w:pStyle w:val="Lgende"/>
        <w:jc w:val="center"/>
        <w:rPr>
          <w:i/>
        </w:rPr>
      </w:pPr>
      <w:r>
        <w:t xml:space="preserve"> (epistemic uncertainty considered). By courtesy of Y. Suzuki (2015).   </w:t>
      </w:r>
      <w:r w:rsidRPr="00923C7F">
        <w:rPr>
          <w:i/>
        </w:rPr>
        <w:t>[</w:t>
      </w:r>
      <w:r w:rsidRPr="007B0C96">
        <w:rPr>
          <w:i/>
        </w:rPr>
        <w:t>PFDHA_example_1</w:t>
      </w:r>
      <w:r w:rsidRPr="00923C7F">
        <w:rPr>
          <w:i/>
        </w:rPr>
        <w:t>.JPG]</w:t>
      </w:r>
    </w:p>
    <w:p w:rsidR="007B0C96" w:rsidRDefault="007B0C96" w:rsidP="00E57F6C"/>
    <w:p w:rsidR="007B0C96" w:rsidRDefault="00FA7DEE" w:rsidP="007B0C96">
      <w:pPr>
        <w:jc w:val="center"/>
      </w:pPr>
      <w:r>
        <w:pict>
          <v:shape id="_x0000_i1052" type="#_x0000_t75" style="width:378.5pt;height:246.6pt">
            <v:imagedata r:id="rId82" o:title="PFDHA_example_2"/>
          </v:shape>
        </w:pict>
      </w:r>
    </w:p>
    <w:p w:rsidR="007B0C96" w:rsidRPr="007B0C96" w:rsidRDefault="007B0C96" w:rsidP="00E57F6C"/>
    <w:p w:rsidR="007B0C96" w:rsidRPr="00923C7F" w:rsidRDefault="00B07AE4" w:rsidP="007B0C96">
      <w:pPr>
        <w:pStyle w:val="Lgende"/>
        <w:jc w:val="center"/>
        <w:rPr>
          <w:i/>
        </w:rPr>
      </w:pPr>
      <w:bookmarkStart w:id="174" w:name="_Ref451165451"/>
      <w:bookmarkStart w:id="175" w:name="_Toc456012056"/>
      <w:r>
        <w:t xml:space="preserve">Figure </w:t>
      </w:r>
      <w:r>
        <w:fldChar w:fldCharType="begin"/>
      </w:r>
      <w:r>
        <w:instrText xml:space="preserve"> SEQ Figure \* ARABIC </w:instrText>
      </w:r>
      <w:r>
        <w:fldChar w:fldCharType="separate"/>
      </w:r>
      <w:r w:rsidR="00173034">
        <w:rPr>
          <w:noProof/>
        </w:rPr>
        <w:t>20</w:t>
      </w:r>
      <w:r>
        <w:fldChar w:fldCharType="end"/>
      </w:r>
      <w:bookmarkEnd w:id="174"/>
      <w:r>
        <w:t xml:space="preserve">. </w:t>
      </w:r>
      <w:r w:rsidR="007B0C96">
        <w:t>Example of fault displacement hazard curves of secondary fault. Annual reate of e</w:t>
      </w:r>
      <w:r w:rsidR="005A7558">
        <w:t>x </w:t>
      </w:r>
      <w:r w:rsidR="007B0C96">
        <w:t>ceedence is plotted against dis</w:t>
      </w:r>
      <w:r w:rsidR="005A7558">
        <w:t>t</w:t>
      </w:r>
      <w:r w:rsidR="007B0C96">
        <w:t xml:space="preserve">ance from master </w:t>
      </w:r>
      <w:r w:rsidR="005A7558">
        <w:t>f</w:t>
      </w:r>
      <w:r w:rsidR="007B0C96">
        <w:t xml:space="preserve">ault as parameter assuming an earthquake with Mw = 6.5 at the master fault. By courtesy of Y. Suzuki (2015).   </w:t>
      </w:r>
      <w:r w:rsidR="007B0C96" w:rsidRPr="00923C7F">
        <w:rPr>
          <w:i/>
        </w:rPr>
        <w:t>[</w:t>
      </w:r>
      <w:r w:rsidR="007B0C96" w:rsidRPr="007B0C96">
        <w:rPr>
          <w:i/>
        </w:rPr>
        <w:t>PFDHA_example_</w:t>
      </w:r>
      <w:r w:rsidR="007B0C96">
        <w:rPr>
          <w:i/>
        </w:rPr>
        <w:t>2</w:t>
      </w:r>
      <w:r w:rsidR="007B0C96" w:rsidRPr="00923C7F">
        <w:rPr>
          <w:i/>
        </w:rPr>
        <w:t>.JPG]</w:t>
      </w:r>
      <w:bookmarkEnd w:id="175"/>
    </w:p>
    <w:p w:rsidR="001303C1" w:rsidRPr="00E57F6C" w:rsidRDefault="001303C1" w:rsidP="00E57F6C">
      <w:pPr>
        <w:rPr>
          <w:lang w:val="en-US"/>
        </w:rPr>
      </w:pPr>
    </w:p>
    <w:p w:rsidR="004C1180" w:rsidRDefault="004C1180" w:rsidP="004C1180">
      <w:pPr>
        <w:rPr>
          <w:lang w:val="en-US"/>
        </w:rPr>
      </w:pPr>
      <w:r w:rsidRPr="004C1180">
        <w:rPr>
          <w:lang w:val="en-US"/>
        </w:rPr>
        <w:t xml:space="preserve">Issues </w:t>
      </w:r>
      <w:r>
        <w:rPr>
          <w:lang w:val="en-US"/>
        </w:rPr>
        <w:t>c</w:t>
      </w:r>
      <w:r w:rsidRPr="004C1180">
        <w:rPr>
          <w:lang w:val="en-US"/>
        </w:rPr>
        <w:t xml:space="preserve">oncerning the </w:t>
      </w:r>
      <w:r>
        <w:rPr>
          <w:lang w:val="en-US"/>
        </w:rPr>
        <w:t>a</w:t>
      </w:r>
      <w:r w:rsidRPr="004C1180">
        <w:rPr>
          <w:lang w:val="en-US"/>
        </w:rPr>
        <w:t>pplication and the Improvement of PFDHA</w:t>
      </w:r>
      <w:r>
        <w:rPr>
          <w:lang w:val="en-US"/>
        </w:rPr>
        <w:t>:</w:t>
      </w:r>
    </w:p>
    <w:p w:rsidR="004C1180" w:rsidRPr="004C1180" w:rsidRDefault="00BC7B34" w:rsidP="00860D1D">
      <w:pPr>
        <w:numPr>
          <w:ilvl w:val="0"/>
          <w:numId w:val="45"/>
        </w:numPr>
        <w:rPr>
          <w:lang w:val="en-US"/>
        </w:rPr>
      </w:pPr>
      <w:r>
        <w:rPr>
          <w:lang w:val="en-US"/>
        </w:rPr>
        <w:t>e</w:t>
      </w:r>
      <w:r w:rsidR="004C1180" w:rsidRPr="004C1180">
        <w:rPr>
          <w:lang w:val="en-US"/>
        </w:rPr>
        <w:t>pistemic uncertainties in the fault displacement hazards are estimated using logic tree branches and the weight given to them</w:t>
      </w:r>
      <w:r>
        <w:rPr>
          <w:lang w:val="en-US"/>
        </w:rPr>
        <w:t>;</w:t>
      </w:r>
      <w:r w:rsidR="004C1180">
        <w:rPr>
          <w:lang w:val="en-US"/>
        </w:rPr>
        <w:t xml:space="preserve"> </w:t>
      </w:r>
      <w:r>
        <w:rPr>
          <w:lang w:val="en-US"/>
        </w:rPr>
        <w:t>u</w:t>
      </w:r>
      <w:r w:rsidR="004C1180">
        <w:rPr>
          <w:lang w:val="en-US"/>
        </w:rPr>
        <w:t xml:space="preserve">ncertainties are </w:t>
      </w:r>
      <w:r w:rsidR="004C1180" w:rsidRPr="004C1180">
        <w:rPr>
          <w:lang w:val="en-US"/>
        </w:rPr>
        <w:t>expressed as the band of fault displacement hazard curves (fra</w:t>
      </w:r>
      <w:r w:rsidR="004C1180" w:rsidRPr="004C1180">
        <w:rPr>
          <w:lang w:val="en-US"/>
        </w:rPr>
        <w:t>c</w:t>
      </w:r>
      <w:r w:rsidR="004C1180" w:rsidRPr="004C1180">
        <w:rPr>
          <w:lang w:val="en-US"/>
        </w:rPr>
        <w:t>tal hazard curves)</w:t>
      </w:r>
      <w:r>
        <w:rPr>
          <w:lang w:val="en-US"/>
        </w:rPr>
        <w:t>;</w:t>
      </w:r>
      <w:r w:rsidR="004C1180" w:rsidRPr="004C1180">
        <w:rPr>
          <w:lang w:val="en-US"/>
        </w:rPr>
        <w:t xml:space="preserve"> </w:t>
      </w:r>
      <w:r>
        <w:rPr>
          <w:lang w:val="en-US"/>
        </w:rPr>
        <w:t>i</w:t>
      </w:r>
      <w:r w:rsidR="004C1180" w:rsidRPr="004C1180">
        <w:rPr>
          <w:lang w:val="en-US"/>
        </w:rPr>
        <w:t>t is considered important in the application of PFDHA that options are provided to a</w:t>
      </w:r>
      <w:r w:rsidR="004C1180" w:rsidRPr="004C1180">
        <w:rPr>
          <w:lang w:val="en-US"/>
        </w:rPr>
        <w:t>l</w:t>
      </w:r>
      <w:r w:rsidR="004C1180" w:rsidRPr="004C1180">
        <w:rPr>
          <w:lang w:val="en-US"/>
        </w:rPr>
        <w:t>low for appropriate setting of logic tree branches and that these options cover almost all future possibil</w:t>
      </w:r>
      <w:r w:rsidR="004C1180" w:rsidRPr="004C1180">
        <w:rPr>
          <w:lang w:val="en-US"/>
        </w:rPr>
        <w:t>i</w:t>
      </w:r>
      <w:r w:rsidR="004C1180" w:rsidRPr="004C1180">
        <w:rPr>
          <w:lang w:val="en-US"/>
        </w:rPr>
        <w:t>ties</w:t>
      </w:r>
      <w:r>
        <w:rPr>
          <w:lang w:val="en-US"/>
        </w:rPr>
        <w:t>;</w:t>
      </w:r>
    </w:p>
    <w:p w:rsidR="004C1180" w:rsidRPr="004C1180" w:rsidRDefault="00BC7B34" w:rsidP="00860D1D">
      <w:pPr>
        <w:numPr>
          <w:ilvl w:val="0"/>
          <w:numId w:val="45"/>
        </w:numPr>
        <w:rPr>
          <w:lang w:val="en-US"/>
        </w:rPr>
      </w:pPr>
      <w:r>
        <w:rPr>
          <w:lang w:val="en-US"/>
        </w:rPr>
        <w:t>a</w:t>
      </w:r>
      <w:r w:rsidR="004C1180" w:rsidRPr="004C1180">
        <w:rPr>
          <w:lang w:val="en-US"/>
        </w:rPr>
        <w:t>ccumulating field survey data, and utilizing the results of experiments and numerical simulations to complement the data</w:t>
      </w:r>
      <w:r w:rsidR="000E468E">
        <w:rPr>
          <w:lang w:val="en-US"/>
        </w:rPr>
        <w:t xml:space="preserve"> in case of their</w:t>
      </w:r>
      <w:r w:rsidR="004C1180" w:rsidRPr="004C1180">
        <w:rPr>
          <w:lang w:val="en-US"/>
        </w:rPr>
        <w:t xml:space="preserve"> inadequacy will work to</w:t>
      </w:r>
      <w:r w:rsidR="00A07F71">
        <w:rPr>
          <w:lang w:val="en-US"/>
        </w:rPr>
        <w:t xml:space="preserve"> reduce uncertainties in PFDHA</w:t>
      </w:r>
      <w:r>
        <w:rPr>
          <w:lang w:val="en-US"/>
        </w:rPr>
        <w:t>;</w:t>
      </w:r>
    </w:p>
    <w:p w:rsidR="004C1180" w:rsidRPr="004C1180" w:rsidRDefault="00BC7B34" w:rsidP="00860D1D">
      <w:pPr>
        <w:numPr>
          <w:ilvl w:val="0"/>
          <w:numId w:val="45"/>
        </w:numPr>
        <w:rPr>
          <w:lang w:val="en-US"/>
        </w:rPr>
      </w:pPr>
      <w:r>
        <w:rPr>
          <w:lang w:val="en-US"/>
        </w:rPr>
        <w:t>i</w:t>
      </w:r>
      <w:r w:rsidR="004C1180" w:rsidRPr="004C1180">
        <w:rPr>
          <w:lang w:val="en-US"/>
        </w:rPr>
        <w:t>n the earthquake approach</w:t>
      </w:r>
      <w:r w:rsidR="000E468E">
        <w:rPr>
          <w:lang w:val="en-US"/>
        </w:rPr>
        <w:t xml:space="preserve"> hazard values depend on the cell size used for analysis</w:t>
      </w:r>
      <w:r>
        <w:rPr>
          <w:lang w:val="en-US"/>
        </w:rPr>
        <w:t>;</w:t>
      </w:r>
      <w:r w:rsidR="000E468E">
        <w:rPr>
          <w:lang w:val="en-US"/>
        </w:rPr>
        <w:t xml:space="preserve"> </w:t>
      </w:r>
      <w:r>
        <w:rPr>
          <w:lang w:val="en-US"/>
        </w:rPr>
        <w:t>t</w:t>
      </w:r>
      <w:r w:rsidR="004C1180" w:rsidRPr="004C1180">
        <w:rPr>
          <w:lang w:val="en-US"/>
        </w:rPr>
        <w:t>he smaller the cell gets, the smaller the probability of occurrence of secondary fault becomes, decreasing the estimated di</w:t>
      </w:r>
      <w:r w:rsidR="004C1180" w:rsidRPr="004C1180">
        <w:rPr>
          <w:lang w:val="en-US"/>
        </w:rPr>
        <w:t>s</w:t>
      </w:r>
      <w:r w:rsidR="004C1180" w:rsidRPr="004C1180">
        <w:rPr>
          <w:lang w:val="en-US"/>
        </w:rPr>
        <w:t>placement hazard</w:t>
      </w:r>
      <w:r w:rsidR="000E468E">
        <w:rPr>
          <w:lang w:val="en-US"/>
        </w:rPr>
        <w:t xml:space="preserve"> (Petersen et al., 2011; Takao et al., 2014)</w:t>
      </w:r>
      <w:r>
        <w:rPr>
          <w:lang w:val="en-US"/>
        </w:rPr>
        <w:t>;</w:t>
      </w:r>
      <w:r w:rsidR="004C1180" w:rsidRPr="004C1180">
        <w:rPr>
          <w:lang w:val="en-US"/>
        </w:rPr>
        <w:t xml:space="preserve"> </w:t>
      </w:r>
      <w:r>
        <w:rPr>
          <w:lang w:val="en-US"/>
        </w:rPr>
        <w:t>t</w:t>
      </w:r>
      <w:r w:rsidR="000E468E">
        <w:rPr>
          <w:lang w:val="en-US"/>
        </w:rPr>
        <w:t xml:space="preserve">herefore </w:t>
      </w:r>
      <w:r w:rsidR="004C1180" w:rsidRPr="004C1180">
        <w:rPr>
          <w:lang w:val="en-US"/>
        </w:rPr>
        <w:t>appropriate computational cell size</w:t>
      </w:r>
      <w:r w:rsidR="000E468E">
        <w:rPr>
          <w:lang w:val="en-US"/>
        </w:rPr>
        <w:t>s</w:t>
      </w:r>
      <w:r w:rsidR="004C1180" w:rsidRPr="004C1180">
        <w:rPr>
          <w:lang w:val="en-US"/>
        </w:rPr>
        <w:t xml:space="preserve"> need to be selected taking account of the size of the target facilities in a specific application</w:t>
      </w:r>
      <w:r>
        <w:rPr>
          <w:lang w:val="en-US"/>
        </w:rPr>
        <w:t>;</w:t>
      </w:r>
    </w:p>
    <w:p w:rsidR="004C1180" w:rsidRPr="004C1180" w:rsidRDefault="00BC7B34" w:rsidP="00860D1D">
      <w:pPr>
        <w:numPr>
          <w:ilvl w:val="0"/>
          <w:numId w:val="45"/>
        </w:numPr>
        <w:rPr>
          <w:lang w:val="en-US"/>
        </w:rPr>
      </w:pPr>
      <w:r>
        <w:rPr>
          <w:lang w:val="en-US"/>
        </w:rPr>
        <w:t>d</w:t>
      </w:r>
      <w:r w:rsidR="004C1180" w:rsidRPr="004C1180">
        <w:rPr>
          <w:lang w:val="en-US"/>
        </w:rPr>
        <w:t>isplacement record</w:t>
      </w:r>
      <w:r w:rsidR="000E468E">
        <w:rPr>
          <w:lang w:val="en-US"/>
        </w:rPr>
        <w:t>s</w:t>
      </w:r>
      <w:r w:rsidR="004C1180" w:rsidRPr="004C1180">
        <w:rPr>
          <w:lang w:val="en-US"/>
        </w:rPr>
        <w:t xml:space="preserve"> on surface earthquake faults include those occurred both in overlying strata and bedrock</w:t>
      </w:r>
      <w:r>
        <w:rPr>
          <w:lang w:val="en-US"/>
        </w:rPr>
        <w:t>;</w:t>
      </w:r>
      <w:r w:rsidR="004C1180" w:rsidRPr="004C1180">
        <w:rPr>
          <w:lang w:val="en-US"/>
        </w:rPr>
        <w:t xml:space="preserve"> </w:t>
      </w:r>
      <w:r>
        <w:rPr>
          <w:lang w:val="en-US"/>
        </w:rPr>
        <w:t>i</w:t>
      </w:r>
      <w:r w:rsidR="004C1180" w:rsidRPr="004C1180">
        <w:rPr>
          <w:lang w:val="en-US"/>
        </w:rPr>
        <w:t>n general, it is difficult to discuss the quantitative relationship between fault displacements on bedrock and those in overlying strata</w:t>
      </w:r>
      <w:r>
        <w:rPr>
          <w:lang w:val="en-US"/>
        </w:rPr>
        <w:t>;</w:t>
      </w:r>
      <w:r w:rsidR="004C1180" w:rsidRPr="004C1180">
        <w:rPr>
          <w:lang w:val="en-US"/>
        </w:rPr>
        <w:t xml:space="preserve"> </w:t>
      </w:r>
      <w:r>
        <w:rPr>
          <w:lang w:val="en-US"/>
        </w:rPr>
        <w:t>t</w:t>
      </w:r>
      <w:r w:rsidR="004C1180" w:rsidRPr="004C1180">
        <w:rPr>
          <w:lang w:val="en-US"/>
        </w:rPr>
        <w:t>hus, it is necessary to accumulate survey data, evaluations based on experiments and numerical simulations</w:t>
      </w:r>
      <w:r>
        <w:rPr>
          <w:lang w:val="en-US"/>
        </w:rPr>
        <w:t>;</w:t>
      </w:r>
    </w:p>
    <w:p w:rsidR="00423452" w:rsidRPr="0062523C" w:rsidRDefault="00BC7B34" w:rsidP="00860D1D">
      <w:pPr>
        <w:numPr>
          <w:ilvl w:val="0"/>
          <w:numId w:val="45"/>
        </w:numPr>
      </w:pPr>
      <w:r>
        <w:rPr>
          <w:lang w:val="en-US"/>
        </w:rPr>
        <w:t>s</w:t>
      </w:r>
      <w:r w:rsidR="004C1180" w:rsidRPr="000E468E">
        <w:rPr>
          <w:lang w:val="en-US"/>
        </w:rPr>
        <w:t xml:space="preserve">tudies on the probabilistic fault displacement hazard analysis </w:t>
      </w:r>
      <w:r w:rsidR="000E468E" w:rsidRPr="000E468E">
        <w:rPr>
          <w:lang w:val="en-US"/>
        </w:rPr>
        <w:t>started only</w:t>
      </w:r>
      <w:r w:rsidR="004C1180" w:rsidRPr="000E468E">
        <w:rPr>
          <w:lang w:val="en-US"/>
        </w:rPr>
        <w:t xml:space="preserve"> recently</w:t>
      </w:r>
      <w:r>
        <w:rPr>
          <w:lang w:val="en-US"/>
        </w:rPr>
        <w:t>;</w:t>
      </w:r>
      <w:r w:rsidR="004C1180" w:rsidRPr="000E468E">
        <w:rPr>
          <w:lang w:val="en-US"/>
        </w:rPr>
        <w:t xml:space="preserve"> </w:t>
      </w:r>
      <w:r>
        <w:rPr>
          <w:lang w:val="en-US"/>
        </w:rPr>
        <w:t>a</w:t>
      </w:r>
      <w:r w:rsidR="004C1180" w:rsidRPr="000E468E">
        <w:rPr>
          <w:lang w:val="en-US"/>
        </w:rPr>
        <w:t>lthough the IAEA safety standard</w:t>
      </w:r>
      <w:r w:rsidR="000E468E" w:rsidRPr="000E468E">
        <w:rPr>
          <w:lang w:val="en-US"/>
        </w:rPr>
        <w:t>s</w:t>
      </w:r>
      <w:r w:rsidR="004C1180" w:rsidRPr="000E468E">
        <w:rPr>
          <w:lang w:val="en-US"/>
        </w:rPr>
        <w:t xml:space="preserve"> address PFDHA regarding the problems posed by capable faults for existing nuclear po</w:t>
      </w:r>
      <w:r w:rsidR="004C1180" w:rsidRPr="000E468E">
        <w:rPr>
          <w:lang w:val="en-US"/>
        </w:rPr>
        <w:t>w</w:t>
      </w:r>
      <w:r w:rsidR="004C1180" w:rsidRPr="000E468E">
        <w:rPr>
          <w:lang w:val="en-US"/>
        </w:rPr>
        <w:t xml:space="preserve">er plant facilities, PFDHA has </w:t>
      </w:r>
      <w:r w:rsidR="000E468E" w:rsidRPr="000E468E">
        <w:rPr>
          <w:lang w:val="en-US"/>
        </w:rPr>
        <w:t xml:space="preserve">only </w:t>
      </w:r>
      <w:r w:rsidR="004C1180" w:rsidRPr="000E468E">
        <w:rPr>
          <w:lang w:val="en-US"/>
        </w:rPr>
        <w:t>been applied to a limited number of cases</w:t>
      </w:r>
      <w:r>
        <w:rPr>
          <w:lang w:val="en-US"/>
        </w:rPr>
        <w:t>;</w:t>
      </w:r>
      <w:r w:rsidR="004C1180" w:rsidRPr="000E468E">
        <w:rPr>
          <w:lang w:val="en-US"/>
        </w:rPr>
        <w:t xml:space="preserve"> </w:t>
      </w:r>
      <w:r>
        <w:rPr>
          <w:lang w:val="en-US"/>
        </w:rPr>
        <w:t>a</w:t>
      </w:r>
      <w:r w:rsidR="004C1180" w:rsidRPr="000E468E">
        <w:rPr>
          <w:lang w:val="en-US"/>
        </w:rPr>
        <w:t>n example of PFDHA a</w:t>
      </w:r>
      <w:r w:rsidR="004C1180" w:rsidRPr="000E468E">
        <w:rPr>
          <w:lang w:val="en-US"/>
        </w:rPr>
        <w:t>p</w:t>
      </w:r>
      <w:r w:rsidR="004C1180" w:rsidRPr="000E468E">
        <w:rPr>
          <w:lang w:val="en-US"/>
        </w:rPr>
        <w:t xml:space="preserve">plied to existing NPP (Diablo Canyon NPP) can be found in </w:t>
      </w:r>
      <w:r w:rsidR="000E468E" w:rsidRPr="000E468E">
        <w:rPr>
          <w:lang w:val="en-US"/>
        </w:rPr>
        <w:t>USNRC (2012).</w:t>
      </w:r>
    </w:p>
    <w:p w:rsidR="00BB27FD" w:rsidRPr="00BB27FD" w:rsidRDefault="00BB27FD" w:rsidP="00BB27FD">
      <w:pPr>
        <w:pStyle w:val="Titre2"/>
        <w:rPr>
          <w:lang w:val="en-US"/>
        </w:rPr>
      </w:pPr>
      <w:bookmarkStart w:id="176" w:name="_Toc456011915"/>
      <w:r w:rsidRPr="00BB27FD">
        <w:rPr>
          <w:lang w:val="en-US"/>
        </w:rPr>
        <w:t>Uncertainty assessment</w:t>
      </w:r>
      <w:bookmarkEnd w:id="176"/>
    </w:p>
    <w:p w:rsidR="00E4656B" w:rsidRDefault="00E4656B" w:rsidP="00E4656B">
      <w:pPr>
        <w:pStyle w:val="Titre3"/>
        <w:rPr>
          <w:lang w:val="en-US"/>
        </w:rPr>
      </w:pPr>
      <w:bookmarkStart w:id="177" w:name="_Ref451431701"/>
      <w:bookmarkStart w:id="178" w:name="_Toc456011916"/>
      <w:r>
        <w:rPr>
          <w:lang w:val="en-US"/>
        </w:rPr>
        <w:t>Probabilistic Seismic Hazard Analysis (PSHA)</w:t>
      </w:r>
      <w:bookmarkEnd w:id="177"/>
      <w:bookmarkEnd w:id="178"/>
    </w:p>
    <w:p w:rsidR="00262BBD" w:rsidRDefault="00691582" w:rsidP="001E2D8C">
      <w:pPr>
        <w:rPr>
          <w:lang w:val="en-US"/>
        </w:rPr>
      </w:pPr>
      <w:r>
        <w:rPr>
          <w:lang w:val="en-US"/>
        </w:rPr>
        <w:t>PSHA commonly distinguishes between aleatory and epistemic uncertainty:</w:t>
      </w:r>
    </w:p>
    <w:p w:rsidR="00EB461F" w:rsidRDefault="00EB461F" w:rsidP="001E2D8C">
      <w:pPr>
        <w:rPr>
          <w:lang w:val="en-US"/>
        </w:rPr>
      </w:pPr>
    </w:p>
    <w:p w:rsidR="00E16D4C" w:rsidRDefault="00691582" w:rsidP="001E2D8C">
      <w:r w:rsidRPr="00EB461F">
        <w:rPr>
          <w:b/>
          <w:i/>
          <w:lang w:val="en-US"/>
        </w:rPr>
        <w:t>Aleatory uncertainty</w:t>
      </w:r>
      <w:r>
        <w:rPr>
          <w:lang w:val="en-US"/>
        </w:rPr>
        <w:t xml:space="preserve"> (or: statistical uncertainty, randomness)</w:t>
      </w:r>
      <w:r w:rsidR="0062523C">
        <w:rPr>
          <w:lang w:val="en-US"/>
        </w:rPr>
        <w:t xml:space="preserve"> </w:t>
      </w:r>
      <w:r w:rsidR="0062523C" w:rsidRPr="0062523C">
        <w:rPr>
          <w:i/>
          <w:lang w:val="en-US"/>
        </w:rPr>
        <w:t>“</w:t>
      </w:r>
      <w:r w:rsidR="0062523C" w:rsidRPr="0062523C">
        <w:rPr>
          <w:i/>
        </w:rPr>
        <w:t>is the physical variability present in the system being analysed or its environment. It is not strictly due to a lack of knowledge and cannot be reduced. The d</w:t>
      </w:r>
      <w:r w:rsidR="0062523C" w:rsidRPr="0062523C">
        <w:rPr>
          <w:i/>
        </w:rPr>
        <w:t>e</w:t>
      </w:r>
      <w:r w:rsidR="0062523C" w:rsidRPr="0062523C">
        <w:rPr>
          <w:i/>
        </w:rPr>
        <w:t>termination of material properties or operating conditions of a physical system typically leads to aleatory unce</w:t>
      </w:r>
      <w:r w:rsidR="0062523C" w:rsidRPr="0062523C">
        <w:rPr>
          <w:i/>
        </w:rPr>
        <w:t>r</w:t>
      </w:r>
      <w:r w:rsidR="0062523C" w:rsidRPr="0062523C">
        <w:rPr>
          <w:i/>
        </w:rPr>
        <w:t>tainties; additional experimental characterization might provide more conclusive description of the variability but cannot eliminate it completely</w:t>
      </w:r>
      <w:r w:rsidR="00EB461F">
        <w:rPr>
          <w:i/>
        </w:rPr>
        <w:t>.</w:t>
      </w:r>
      <w:r w:rsidR="00EB461F" w:rsidRPr="00E16D4C">
        <w:rPr>
          <w:i/>
        </w:rPr>
        <w:t xml:space="preserve"> Aleatory uncertainty is normally characterized using probabilistic approac</w:t>
      </w:r>
      <w:r w:rsidR="00EB461F" w:rsidRPr="00E16D4C">
        <w:rPr>
          <w:i/>
        </w:rPr>
        <w:t>h</w:t>
      </w:r>
      <w:r w:rsidR="00EB461F" w:rsidRPr="00E16D4C">
        <w:rPr>
          <w:i/>
        </w:rPr>
        <w:t>es</w:t>
      </w:r>
      <w:r w:rsidR="00EB461F" w:rsidRPr="00E16D4C">
        <w:rPr>
          <w:rStyle w:val="Appelnotedebasdep"/>
          <w:i/>
        </w:rPr>
        <w:footnoteReference w:id="15"/>
      </w:r>
      <w:r w:rsidR="0062523C" w:rsidRPr="00E16D4C">
        <w:rPr>
          <w:i/>
        </w:rPr>
        <w:t>”.</w:t>
      </w:r>
    </w:p>
    <w:p w:rsidR="00EB461F" w:rsidRDefault="0062523C" w:rsidP="001E2D8C">
      <w:r>
        <w:t xml:space="preserve">In seismic hazard assessment the location, time and magnitude of an earthquake occurring on an active fault </w:t>
      </w:r>
      <w:r w:rsidR="00E16D4C">
        <w:t xml:space="preserve">(or within a seismic source zone) </w:t>
      </w:r>
      <w:r>
        <w:t xml:space="preserve">and the resulting ground motion are </w:t>
      </w:r>
      <w:r w:rsidR="00E22594">
        <w:t xml:space="preserve">considered </w:t>
      </w:r>
      <w:r>
        <w:t>aleatory (</w:t>
      </w:r>
      <w:r>
        <w:rPr>
          <w:lang w:val="en-US"/>
        </w:rPr>
        <w:t xml:space="preserve">NAGRA, 2004 </w:t>
      </w:r>
      <w:r w:rsidRPr="00086A42">
        <w:rPr>
          <w:color w:val="2E74B5"/>
          <w:lang w:val="en-US"/>
        </w:rPr>
        <w:t>Pegasos R</w:t>
      </w:r>
      <w:r w:rsidRPr="00086A42">
        <w:rPr>
          <w:color w:val="2E74B5"/>
          <w:lang w:val="en-US"/>
        </w:rPr>
        <w:t>e</w:t>
      </w:r>
      <w:r w:rsidRPr="00086A42">
        <w:rPr>
          <w:color w:val="2E74B5"/>
          <w:lang w:val="en-US"/>
        </w:rPr>
        <w:lastRenderedPageBreak/>
        <w:t>port Vol. 1</w:t>
      </w:r>
      <w:r>
        <w:t xml:space="preserve">). </w:t>
      </w:r>
      <w:r w:rsidR="00E22594" w:rsidRPr="00E22594">
        <w:rPr>
          <w:i/>
        </w:rPr>
        <w:t>“Even with a perfect knowledge of the state of stress of the earth’s crust, future earthquakes could still be occurring at a variety of unknown locations with some probability distribution. In current practice, this probability distribution expresses the irreducible aleatory uncertainty</w:t>
      </w:r>
      <w:r w:rsidR="00E22594" w:rsidRPr="00E22594">
        <w:rPr>
          <w:i/>
          <w:lang w:val="en-US"/>
        </w:rPr>
        <w:t>”</w:t>
      </w:r>
      <w:r w:rsidR="00E22594">
        <w:rPr>
          <w:lang w:val="en-US"/>
        </w:rPr>
        <w:t xml:space="preserve"> (</w:t>
      </w:r>
      <w:r w:rsidR="00E22594" w:rsidRPr="00E22594">
        <w:rPr>
          <w:lang w:val="en-US"/>
        </w:rPr>
        <w:t>ANS, 2015</w:t>
      </w:r>
      <w:r w:rsidR="00E22594">
        <w:rPr>
          <w:lang w:val="en-US"/>
        </w:rPr>
        <w:t>)</w:t>
      </w:r>
      <w:r w:rsidR="00E22594" w:rsidRPr="00E22594">
        <w:t>.</w:t>
      </w:r>
      <w:r w:rsidR="00E22594">
        <w:t xml:space="preserve"> T</w:t>
      </w:r>
      <w:r w:rsidR="00E16D4C">
        <w:t xml:space="preserve">he </w:t>
      </w:r>
      <w:r w:rsidR="00EB461F">
        <w:t xml:space="preserve">uncertainty </w:t>
      </w:r>
      <w:r w:rsidR="00E16D4C">
        <w:t xml:space="preserve">about where or when an earthquake occurs on an active fault </w:t>
      </w:r>
      <w:r w:rsidR="00EB461F">
        <w:t xml:space="preserve">cannot </w:t>
      </w:r>
      <w:r w:rsidR="00E16D4C">
        <w:t>be reduced by acquiring additional data but could only b</w:t>
      </w:r>
      <w:r w:rsidR="00EB461F">
        <w:t>e reduced with</w:t>
      </w:r>
      <w:r w:rsidR="00E16D4C">
        <w:t xml:space="preserve"> </w:t>
      </w:r>
      <w:r w:rsidR="00EB461F">
        <w:t>fundamentally new insights into the physical processes of seismic rupture processes</w:t>
      </w:r>
      <w:r w:rsidR="00E22594">
        <w:t xml:space="preserve">. </w:t>
      </w:r>
      <w:r w:rsidR="00E22594" w:rsidRPr="00E22594">
        <w:t>Aleatory unce</w:t>
      </w:r>
      <w:r w:rsidR="00E22594" w:rsidRPr="00E22594">
        <w:t>r</w:t>
      </w:r>
      <w:r w:rsidR="00E22594" w:rsidRPr="00E22594">
        <w:t xml:space="preserve">tainty is assessed by integration over randomly distributed variables to </w:t>
      </w:r>
      <w:r w:rsidR="00E22594">
        <w:t>calculate</w:t>
      </w:r>
      <w:r w:rsidR="00E22594" w:rsidRPr="00E22594">
        <w:t xml:space="preserve"> the </w:t>
      </w:r>
      <w:r w:rsidR="00E22594">
        <w:t xml:space="preserve">exceedance </w:t>
      </w:r>
      <w:r w:rsidR="00E22594" w:rsidRPr="00E22594">
        <w:t xml:space="preserve">probability </w:t>
      </w:r>
      <w:r w:rsidR="00E22594">
        <w:t>of a hazard parameter</w:t>
      </w:r>
      <w:r w:rsidR="00E22594" w:rsidRPr="00E22594">
        <w:t>.</w:t>
      </w:r>
      <w:r w:rsidR="00E22594">
        <w:t xml:space="preserve"> In PSHA a</w:t>
      </w:r>
      <w:r w:rsidR="004A0FF3">
        <w:t>l</w:t>
      </w:r>
      <w:r w:rsidR="00E22594">
        <w:t>eatory uncertainty is thereby integrated into a single hazard curve.</w:t>
      </w:r>
    </w:p>
    <w:p w:rsidR="00E22594" w:rsidRPr="00BD6598" w:rsidRDefault="00E22594" w:rsidP="001E2D8C">
      <w:pPr>
        <w:rPr>
          <w:lang w:val="en-US"/>
        </w:rPr>
      </w:pPr>
    </w:p>
    <w:p w:rsidR="0038600E" w:rsidRDefault="0038600E" w:rsidP="001E2D8C">
      <w:pPr>
        <w:rPr>
          <w:i/>
        </w:rPr>
      </w:pPr>
      <w:r w:rsidRPr="00EB461F">
        <w:rPr>
          <w:b/>
          <w:i/>
          <w:lang w:val="en-US"/>
        </w:rPr>
        <w:t>Epistemic uncertainty</w:t>
      </w:r>
      <w:r>
        <w:rPr>
          <w:lang w:val="en-US"/>
        </w:rPr>
        <w:t xml:space="preserve"> (or: systematic uncertainty) refes to parameters</w:t>
      </w:r>
      <w:r w:rsidR="0062523C">
        <w:rPr>
          <w:lang w:val="en-US"/>
        </w:rPr>
        <w:t xml:space="preserve"> which</w:t>
      </w:r>
      <w:r>
        <w:rPr>
          <w:lang w:val="en-US"/>
        </w:rPr>
        <w:t xml:space="preserve"> could in principle be known, but </w:t>
      </w:r>
      <w:r w:rsidR="00EB461F">
        <w:rPr>
          <w:lang w:val="en-US"/>
        </w:rPr>
        <w:t xml:space="preserve">in </w:t>
      </w:r>
      <w:r>
        <w:rPr>
          <w:lang w:val="en-US"/>
        </w:rPr>
        <w:t xml:space="preserve">practice are not. </w:t>
      </w:r>
      <w:r w:rsidR="00EB461F">
        <w:rPr>
          <w:lang w:val="en-US"/>
        </w:rPr>
        <w:t xml:space="preserve">It therefore refers to a lack of knowledge which can, for example, be reduced by the acquisition of new data. </w:t>
      </w:r>
      <w:r w:rsidR="00EB461F" w:rsidRPr="00EB461F">
        <w:rPr>
          <w:i/>
          <w:lang w:val="en-US"/>
        </w:rPr>
        <w:t>“</w:t>
      </w:r>
      <w:r w:rsidR="00EB461F" w:rsidRPr="00EB461F">
        <w:rPr>
          <w:i/>
        </w:rPr>
        <w:t>Epistemic uncertainty is not well characterized by probabilistic approaches because it might be difficult to infer any statistical information due to the nominal lack of knowledge</w:t>
      </w:r>
      <w:r w:rsidR="00EB461F" w:rsidRPr="00EB461F">
        <w:rPr>
          <w:rStyle w:val="Appelnotedebasdep"/>
          <w:i/>
        </w:rPr>
        <w:footnoteReference w:id="16"/>
      </w:r>
      <w:r w:rsidR="00EB461F" w:rsidRPr="00EB461F">
        <w:rPr>
          <w:i/>
        </w:rPr>
        <w:t>”.</w:t>
      </w:r>
    </w:p>
    <w:p w:rsidR="000C68B4" w:rsidRDefault="000C68B4" w:rsidP="003E6D30">
      <w:pPr>
        <w:rPr>
          <w:lang w:val="en-US"/>
        </w:rPr>
      </w:pPr>
    </w:p>
    <w:p w:rsidR="00DF5880" w:rsidRDefault="00DF5880" w:rsidP="003E6D30">
      <w:pPr>
        <w:rPr>
          <w:lang w:val="en-US"/>
        </w:rPr>
      </w:pPr>
      <w:r>
        <w:rPr>
          <w:lang w:val="en-US"/>
        </w:rPr>
        <w:t>In PSHA u</w:t>
      </w:r>
      <w:r w:rsidR="003E6D30">
        <w:rPr>
          <w:lang w:val="en-US"/>
        </w:rPr>
        <w:t>ncertainties about the characteristics of seismic sour</w:t>
      </w:r>
      <w:r w:rsidR="004A0FF3">
        <w:rPr>
          <w:lang w:val="en-US"/>
        </w:rPr>
        <w:t>c</w:t>
      </w:r>
      <w:r w:rsidR="003E6D30">
        <w:rPr>
          <w:lang w:val="en-US"/>
        </w:rPr>
        <w:t xml:space="preserve">e zones, active tectonic strucures etc. </w:t>
      </w:r>
      <w:r>
        <w:rPr>
          <w:lang w:val="en-US"/>
        </w:rPr>
        <w:t>are treated as epistemic leading to uncertainties in the data used as input into seismic hazard calculations. Uncertainties exist for all basic imputs of the SHA, i.e., active fault sources, seismic source zones, earthquake recurrence intervals expressed by Gutenberg-Richte parameters (a- and b-values), maximum magnitude, ground motion prediction equatio</w:t>
      </w:r>
      <w:r w:rsidR="00BC7B34">
        <w:rPr>
          <w:lang w:val="en-US"/>
        </w:rPr>
        <w:t>n</w:t>
      </w:r>
      <w:r>
        <w:rPr>
          <w:lang w:val="en-US"/>
        </w:rPr>
        <w:t>s (GMPEs), and site effects (local soil conditions).</w:t>
      </w:r>
    </w:p>
    <w:p w:rsidR="00DF5880" w:rsidRDefault="00DF5880" w:rsidP="003E6D30">
      <w:pPr>
        <w:rPr>
          <w:lang w:val="en-US"/>
        </w:rPr>
      </w:pPr>
    </w:p>
    <w:p w:rsidR="001D4323" w:rsidRDefault="003E6D30" w:rsidP="003E6D30">
      <w:pPr>
        <w:rPr>
          <w:lang w:val="en-US"/>
        </w:rPr>
      </w:pPr>
      <w:r>
        <w:rPr>
          <w:lang w:val="en-US"/>
        </w:rPr>
        <w:t>The epistemic uncertainty is represented in the PSHA by the development of a weighted set of alternative models in a logic tree framework (</w:t>
      </w:r>
      <w:r w:rsidR="00853418">
        <w:rPr>
          <w:lang w:val="en-US"/>
        </w:rPr>
        <w:t xml:space="preserve">see beolow; </w:t>
      </w:r>
      <w:r>
        <w:rPr>
          <w:lang w:val="en-US"/>
        </w:rPr>
        <w:t xml:space="preserve">NAGRA, 2004 </w:t>
      </w:r>
      <w:r w:rsidRPr="00086A42">
        <w:rPr>
          <w:color w:val="2E74B5"/>
          <w:lang w:val="en-US"/>
        </w:rPr>
        <w:t>Pegasos Report Vol. 1</w:t>
      </w:r>
      <w:r>
        <w:rPr>
          <w:lang w:val="en-US"/>
        </w:rPr>
        <w:t>). In a full-scope PSHA these uncertai</w:t>
      </w:r>
      <w:r>
        <w:rPr>
          <w:lang w:val="en-US"/>
        </w:rPr>
        <w:t>n</w:t>
      </w:r>
      <w:r>
        <w:rPr>
          <w:lang w:val="en-US"/>
        </w:rPr>
        <w:t xml:space="preserve">ties are propagated through the entire hazard analysis resulting in a series of alternative hazard curves. Each of the results derived from a certain set of input parameters therefore results in a distinct hazard curve. In PSHA uncertainties are handled by giving a weight to each individual hazard curve, which represents the credibility of the input dataset. </w:t>
      </w:r>
      <w:r w:rsidR="001D4323">
        <w:rPr>
          <w:lang w:val="en-US"/>
        </w:rPr>
        <w:t>The spread of the results, accordingly, quantify seismi</w:t>
      </w:r>
      <w:r w:rsidR="00A07F71">
        <w:rPr>
          <w:lang w:val="en-US"/>
        </w:rPr>
        <w:t>c hazard and its uncertainties.</w:t>
      </w:r>
    </w:p>
    <w:p w:rsidR="001D4323" w:rsidRDefault="001D4323" w:rsidP="003E6D30">
      <w:pPr>
        <w:rPr>
          <w:lang w:val="en-US"/>
        </w:rPr>
      </w:pPr>
    </w:p>
    <w:p w:rsidR="003E6D30" w:rsidRDefault="001D4323" w:rsidP="001E2D8C">
      <w:pPr>
        <w:rPr>
          <w:lang w:val="en-US"/>
        </w:rPr>
      </w:pPr>
      <w:r>
        <w:rPr>
          <w:lang w:val="en-US"/>
        </w:rPr>
        <w:t>The resulting set of individual hazard curves can fu</w:t>
      </w:r>
      <w:r w:rsidR="004A0FF3">
        <w:rPr>
          <w:lang w:val="en-US"/>
        </w:rPr>
        <w:t>r</w:t>
      </w:r>
      <w:r>
        <w:rPr>
          <w:lang w:val="en-US"/>
        </w:rPr>
        <w:t>ther be used to assess the dependence of the results on ind</w:t>
      </w:r>
      <w:r>
        <w:rPr>
          <w:lang w:val="en-US"/>
        </w:rPr>
        <w:t>i</w:t>
      </w:r>
      <w:r>
        <w:rPr>
          <w:lang w:val="en-US"/>
        </w:rPr>
        <w:t xml:space="preserve">vidual input parameters and identify those input parameters, which contribute most to the observed uncertainty. Such </w:t>
      </w:r>
      <w:r w:rsidR="00691582">
        <w:rPr>
          <w:lang w:val="en-US"/>
        </w:rPr>
        <w:t xml:space="preserve">sensitivity </w:t>
      </w:r>
      <w:r>
        <w:rPr>
          <w:lang w:val="en-US"/>
        </w:rPr>
        <w:t xml:space="preserve">assessment may lead to the conclusion that uncertainty of a certain input parameter (e.g., a </w:t>
      </w:r>
      <w:r w:rsidR="00691582">
        <w:rPr>
          <w:lang w:val="en-US"/>
        </w:rPr>
        <w:t>near-</w:t>
      </w:r>
      <w:r w:rsidR="000C68B4">
        <w:rPr>
          <w:lang w:val="en-US"/>
        </w:rPr>
        <w:t>regional</w:t>
      </w:r>
      <w:r w:rsidR="00691582">
        <w:rPr>
          <w:lang w:val="en-US"/>
        </w:rPr>
        <w:t xml:space="preserve"> </w:t>
      </w:r>
      <w:r>
        <w:rPr>
          <w:lang w:val="en-US"/>
        </w:rPr>
        <w:t xml:space="preserve">fault source) may </w:t>
      </w:r>
      <w:r w:rsidR="00691582">
        <w:rPr>
          <w:lang w:val="en-US"/>
        </w:rPr>
        <w:t xml:space="preserve">contribute significantly to the total uncertainty while other parameters do not (e.g., local soil conditions). Such analyses can </w:t>
      </w:r>
      <w:r w:rsidR="000C68B4">
        <w:rPr>
          <w:lang w:val="en-US"/>
        </w:rPr>
        <w:t xml:space="preserve">therefore </w:t>
      </w:r>
      <w:r w:rsidR="00691582">
        <w:rPr>
          <w:lang w:val="en-US"/>
        </w:rPr>
        <w:t>be used to decide about the acquisition of new data and co</w:t>
      </w:r>
      <w:r w:rsidR="00691582">
        <w:rPr>
          <w:lang w:val="en-US"/>
        </w:rPr>
        <w:t>n</w:t>
      </w:r>
      <w:r w:rsidR="00691582">
        <w:rPr>
          <w:lang w:val="en-US"/>
        </w:rPr>
        <w:t>centrate resources on the most relevant topics (e.g., fault investigation)</w:t>
      </w:r>
      <w:r w:rsidR="000C68B4">
        <w:rPr>
          <w:lang w:val="en-US"/>
        </w:rPr>
        <w:t xml:space="preserve"> in order to reduce the uncertainty of the PSHA result</w:t>
      </w:r>
      <w:r w:rsidR="00A07F71">
        <w:rPr>
          <w:lang w:val="en-US"/>
        </w:rPr>
        <w:t>.</w:t>
      </w:r>
    </w:p>
    <w:p w:rsidR="003E6D30" w:rsidRDefault="003E6D30" w:rsidP="001E2D8C">
      <w:pPr>
        <w:rPr>
          <w:lang w:val="en-US"/>
        </w:rPr>
      </w:pPr>
    </w:p>
    <w:p w:rsidR="006816C7" w:rsidRDefault="00853418" w:rsidP="001E2D8C">
      <w:pPr>
        <w:rPr>
          <w:lang w:val="en-US"/>
        </w:rPr>
      </w:pPr>
      <w:r w:rsidRPr="00E4656B">
        <w:rPr>
          <w:b/>
          <w:i/>
          <w:lang w:val="en-US"/>
        </w:rPr>
        <w:t>A logic tree methodology</w:t>
      </w:r>
      <w:r>
        <w:rPr>
          <w:lang w:val="en-US"/>
        </w:rPr>
        <w:t xml:space="preserve"> </w:t>
      </w:r>
      <w:r w:rsidR="006816C7">
        <w:rPr>
          <w:lang w:val="en-US"/>
        </w:rPr>
        <w:t>(Coppersmit</w:t>
      </w:r>
      <w:r w:rsidR="002563E1">
        <w:rPr>
          <w:lang w:val="en-US"/>
        </w:rPr>
        <w:t>h</w:t>
      </w:r>
      <w:r w:rsidR="006816C7">
        <w:rPr>
          <w:lang w:val="en-US"/>
        </w:rPr>
        <w:t xml:space="preserve"> &amp; Youngs, 1986) </w:t>
      </w:r>
      <w:r>
        <w:rPr>
          <w:lang w:val="en-US"/>
        </w:rPr>
        <w:t xml:space="preserve">is commonly used to represent epistemic uncertainty in PSHA as suggested by SSHAC </w:t>
      </w:r>
      <w:r w:rsidR="006816C7">
        <w:rPr>
          <w:lang w:val="en-US"/>
        </w:rPr>
        <w:t>(</w:t>
      </w:r>
      <w:r w:rsidR="00D85C16">
        <w:rPr>
          <w:lang w:val="en-US"/>
        </w:rPr>
        <w:t>1997</w:t>
      </w:r>
      <w:r w:rsidR="006816C7">
        <w:rPr>
          <w:lang w:val="en-US"/>
        </w:rPr>
        <w:t xml:space="preserve">). </w:t>
      </w:r>
      <w:r w:rsidR="00F97C1C">
        <w:rPr>
          <w:lang w:val="en-US"/>
        </w:rPr>
        <w:t xml:space="preserve">In a logic tree each node represents a key input parameter affecting seismic </w:t>
      </w:r>
      <w:r w:rsidR="00F97C1C">
        <w:rPr>
          <w:lang w:val="en-US"/>
        </w:rPr>
        <w:lastRenderedPageBreak/>
        <w:t>hazard. Branc</w:t>
      </w:r>
      <w:r w:rsidR="004A0FF3">
        <w:rPr>
          <w:lang w:val="en-US"/>
        </w:rPr>
        <w:t>h</w:t>
      </w:r>
      <w:r w:rsidR="00F97C1C">
        <w:rPr>
          <w:lang w:val="en-US"/>
        </w:rPr>
        <w:t>es emanating from the nodes represent different interpretations of the input parameter under co</w:t>
      </w:r>
      <w:r w:rsidR="00F97C1C">
        <w:rPr>
          <w:lang w:val="en-US"/>
        </w:rPr>
        <w:t>n</w:t>
      </w:r>
      <w:r w:rsidR="00F97C1C">
        <w:rPr>
          <w:lang w:val="en-US"/>
        </w:rPr>
        <w:t xml:space="preserve">sideration. Each branch is given a </w:t>
      </w:r>
      <w:r w:rsidR="00E4656B">
        <w:rPr>
          <w:lang w:val="en-US"/>
        </w:rPr>
        <w:t>probability</w:t>
      </w:r>
      <w:r w:rsidR="00F97C1C">
        <w:rPr>
          <w:lang w:val="en-US"/>
        </w:rPr>
        <w:t xml:space="preserve"> by experts or expert</w:t>
      </w:r>
      <w:r w:rsidR="00BC7B34">
        <w:rPr>
          <w:lang w:val="en-US"/>
        </w:rPr>
        <w:t>s</w:t>
      </w:r>
      <w:r w:rsidR="00F97C1C">
        <w:rPr>
          <w:lang w:val="en-US"/>
        </w:rPr>
        <w:t xml:space="preserve"> teams </w:t>
      </w:r>
      <w:r w:rsidR="00E4656B">
        <w:rPr>
          <w:lang w:val="en-US"/>
        </w:rPr>
        <w:t>which denotes the assumed likelihood that the branch is “true”. The sum of all probabilities of branches emending</w:t>
      </w:r>
      <w:r w:rsidR="00BD6598">
        <w:rPr>
          <w:lang w:val="en-US"/>
        </w:rPr>
        <w:t xml:space="preserve"> </w:t>
      </w:r>
      <w:r w:rsidR="00E4656B">
        <w:rPr>
          <w:lang w:val="en-US"/>
        </w:rPr>
        <w:t xml:space="preserve">from a node is 1, and the weight of each branch </w:t>
      </w:r>
      <w:r w:rsidR="000C68B4">
        <w:rPr>
          <w:lang w:val="en-US"/>
        </w:rPr>
        <w:t>is</w:t>
      </w:r>
      <w:r w:rsidR="00E4656B">
        <w:rPr>
          <w:lang w:val="en-US"/>
        </w:rPr>
        <w:t xml:space="preserve"> conditional on the values of the preceeding branches of the logic tree (</w:t>
      </w:r>
      <w:r w:rsidR="00B07AE4">
        <w:rPr>
          <w:highlight w:val="yellow"/>
          <w:lang w:val="en-US"/>
        </w:rPr>
        <w:fldChar w:fldCharType="begin"/>
      </w:r>
      <w:r w:rsidR="00B07AE4">
        <w:rPr>
          <w:lang w:val="en-US"/>
        </w:rPr>
        <w:instrText xml:space="preserve"> REF _Ref451165517 \h </w:instrText>
      </w:r>
      <w:r w:rsidR="00B07AE4">
        <w:rPr>
          <w:highlight w:val="yellow"/>
          <w:lang w:val="en-US"/>
        </w:rPr>
      </w:r>
      <w:r w:rsidR="00B07AE4">
        <w:rPr>
          <w:highlight w:val="yellow"/>
          <w:lang w:val="en-US"/>
        </w:rPr>
        <w:fldChar w:fldCharType="separate"/>
      </w:r>
      <w:r w:rsidR="00173034">
        <w:t xml:space="preserve">Figure </w:t>
      </w:r>
      <w:r w:rsidR="00173034">
        <w:rPr>
          <w:noProof/>
        </w:rPr>
        <w:t>21</w:t>
      </w:r>
      <w:r w:rsidR="00B07AE4">
        <w:rPr>
          <w:highlight w:val="yellow"/>
          <w:lang w:val="en-US"/>
        </w:rPr>
        <w:fldChar w:fldCharType="end"/>
      </w:r>
      <w:r w:rsidR="00A07F71">
        <w:rPr>
          <w:lang w:val="en-US"/>
        </w:rPr>
        <w:t>).</w:t>
      </w:r>
    </w:p>
    <w:p w:rsidR="000C68B4" w:rsidRDefault="000C68B4" w:rsidP="001E2D8C">
      <w:pPr>
        <w:rPr>
          <w:lang w:val="en-US"/>
        </w:rPr>
      </w:pPr>
    </w:p>
    <w:p w:rsidR="00D85C16" w:rsidRPr="002563E1" w:rsidRDefault="002563E1" w:rsidP="00D85C16">
      <w:pPr>
        <w:rPr>
          <w:lang w:val="en-US"/>
        </w:rPr>
      </w:pPr>
      <w:r w:rsidRPr="002563E1">
        <w:rPr>
          <w:lang w:val="en-US"/>
        </w:rPr>
        <w:t xml:space="preserve">Further detailed information on </w:t>
      </w:r>
      <w:r w:rsidR="00D85C16" w:rsidRPr="002563E1">
        <w:rPr>
          <w:lang w:val="en-US"/>
        </w:rPr>
        <w:t>uncertainty assessment</w:t>
      </w:r>
      <w:r w:rsidRPr="002563E1">
        <w:rPr>
          <w:lang w:val="en-US"/>
        </w:rPr>
        <w:t xml:space="preserve"> can be found in </w:t>
      </w:r>
      <w:r w:rsidR="00D85C16" w:rsidRPr="002563E1">
        <w:rPr>
          <w:lang w:val="en-US"/>
        </w:rPr>
        <w:t>NAGRA</w:t>
      </w:r>
      <w:r w:rsidRPr="002563E1">
        <w:rPr>
          <w:lang w:val="en-US"/>
        </w:rPr>
        <w:t xml:space="preserve"> (</w:t>
      </w:r>
      <w:r w:rsidR="00D85C16" w:rsidRPr="002563E1">
        <w:rPr>
          <w:lang w:val="en-US"/>
        </w:rPr>
        <w:t>2004</w:t>
      </w:r>
      <w:r w:rsidRPr="002563E1">
        <w:rPr>
          <w:lang w:val="en-US"/>
        </w:rPr>
        <w:t xml:space="preserve">) and </w:t>
      </w:r>
      <w:r w:rsidR="00D85C16" w:rsidRPr="002563E1">
        <w:rPr>
          <w:lang w:val="en-US"/>
        </w:rPr>
        <w:t>SSHAC</w:t>
      </w:r>
      <w:r w:rsidRPr="002563E1">
        <w:rPr>
          <w:lang w:val="en-US"/>
        </w:rPr>
        <w:t xml:space="preserve"> (</w:t>
      </w:r>
      <w:r w:rsidR="00D85C16" w:rsidRPr="002563E1">
        <w:rPr>
          <w:lang w:val="en-US"/>
        </w:rPr>
        <w:t>1997</w:t>
      </w:r>
      <w:r w:rsidRPr="002563E1">
        <w:rPr>
          <w:lang w:val="en-US"/>
        </w:rPr>
        <w:t>).</w:t>
      </w:r>
    </w:p>
    <w:p w:rsidR="000C68B4" w:rsidRDefault="000C68B4" w:rsidP="001E2D8C">
      <w:pPr>
        <w:rPr>
          <w:lang w:val="en-US"/>
        </w:rPr>
      </w:pPr>
    </w:p>
    <w:p w:rsidR="00D85C16" w:rsidRDefault="00D85C16" w:rsidP="001E2D8C">
      <w:pPr>
        <w:rPr>
          <w:lang w:val="en-US"/>
        </w:rPr>
      </w:pPr>
    </w:p>
    <w:p w:rsidR="006816C7" w:rsidRDefault="00FA7DEE" w:rsidP="001E2D8C">
      <w:pPr>
        <w:rPr>
          <w:lang w:val="en-US"/>
        </w:rPr>
      </w:pPr>
      <w:r>
        <w:rPr>
          <w:lang w:val="en-US"/>
        </w:rPr>
        <w:pict>
          <v:shape id="_x0000_i1053" type="#_x0000_t75" style="width:467.05pt;height:211.55pt">
            <v:imagedata r:id="rId83" o:title="Logic_tree_example"/>
          </v:shape>
        </w:pict>
      </w:r>
    </w:p>
    <w:p w:rsidR="006816C7" w:rsidRDefault="006816C7" w:rsidP="001E2D8C">
      <w:pPr>
        <w:rPr>
          <w:lang w:val="en-US"/>
        </w:rPr>
      </w:pPr>
    </w:p>
    <w:p w:rsidR="00D212AD" w:rsidRDefault="00B07AE4" w:rsidP="006816C7">
      <w:pPr>
        <w:pStyle w:val="Lgende"/>
        <w:jc w:val="center"/>
      </w:pPr>
      <w:bookmarkStart w:id="179" w:name="_Ref451165517"/>
      <w:bookmarkStart w:id="180" w:name="_Toc456012057"/>
      <w:r>
        <w:t xml:space="preserve">Figure </w:t>
      </w:r>
      <w:r>
        <w:fldChar w:fldCharType="begin"/>
      </w:r>
      <w:r>
        <w:instrText xml:space="preserve"> SEQ Figure \* ARABIC </w:instrText>
      </w:r>
      <w:r>
        <w:fldChar w:fldCharType="separate"/>
      </w:r>
      <w:r w:rsidR="00173034">
        <w:rPr>
          <w:noProof/>
        </w:rPr>
        <w:t>21</w:t>
      </w:r>
      <w:r>
        <w:fldChar w:fldCharType="end"/>
      </w:r>
      <w:bookmarkEnd w:id="179"/>
      <w:r>
        <w:t xml:space="preserve">. </w:t>
      </w:r>
      <w:r w:rsidR="006816C7">
        <w:t>(a) Example of a logic tree for assessing fault geometry as a characteristic of seismic sources. (b) Example of a logic tree to assess maximum magnitude for a seismic source with unce</w:t>
      </w:r>
      <w:r w:rsidR="006816C7">
        <w:t>r</w:t>
      </w:r>
      <w:r w:rsidR="006816C7">
        <w:t>tain kinema</w:t>
      </w:r>
      <w:r w:rsidR="006816C7">
        <w:t>t</w:t>
      </w:r>
      <w:r w:rsidR="006816C7">
        <w:t xml:space="preserve">ics (strike-slip, reverse) and fault length. The proability of the magnitude on the right of the tree is the product of the probabilities of the branches leading to the result. The final result is a </w:t>
      </w:r>
      <w:r w:rsidR="00D212AD">
        <w:t>distrib</w:t>
      </w:r>
      <w:r w:rsidR="00D212AD">
        <w:t>u</w:t>
      </w:r>
      <w:r w:rsidR="00D212AD">
        <w:t>tion of Mmax to be used as input for PSHA (redrawn from USNRG, 1997).</w:t>
      </w:r>
      <w:bookmarkEnd w:id="180"/>
    </w:p>
    <w:p w:rsidR="006816C7" w:rsidRPr="00923C7F" w:rsidRDefault="006816C7" w:rsidP="006816C7">
      <w:pPr>
        <w:pStyle w:val="Lgende"/>
        <w:jc w:val="center"/>
        <w:rPr>
          <w:i/>
        </w:rPr>
      </w:pPr>
      <w:r w:rsidRPr="00923C7F">
        <w:rPr>
          <w:i/>
        </w:rPr>
        <w:t>[</w:t>
      </w:r>
      <w:r w:rsidRPr="006816C7">
        <w:rPr>
          <w:i/>
        </w:rPr>
        <w:t>Logic_tree_example</w:t>
      </w:r>
      <w:r w:rsidRPr="00923C7F">
        <w:rPr>
          <w:i/>
        </w:rPr>
        <w:t>.JPG]</w:t>
      </w:r>
    </w:p>
    <w:p w:rsidR="009E00B8" w:rsidRDefault="009E00B8" w:rsidP="009E00B8">
      <w:pPr>
        <w:pStyle w:val="Titre3"/>
        <w:rPr>
          <w:lang w:val="en-US"/>
        </w:rPr>
      </w:pPr>
      <w:bookmarkStart w:id="181" w:name="_Toc456011917"/>
      <w:r>
        <w:rPr>
          <w:lang w:val="en-US"/>
        </w:rPr>
        <w:t>Deterministic Seismic Hazard Analysis (DSHA)</w:t>
      </w:r>
      <w:bookmarkEnd w:id="181"/>
    </w:p>
    <w:p w:rsidR="009E00B8" w:rsidRDefault="009E00B8" w:rsidP="001E2D8C">
      <w:pPr>
        <w:rPr>
          <w:lang w:val="en-US"/>
        </w:rPr>
      </w:pPr>
    </w:p>
    <w:p w:rsidR="009E00B8" w:rsidRDefault="009E00B8" w:rsidP="009E00B8">
      <w:pPr>
        <w:rPr>
          <w:lang w:val="en-US"/>
        </w:rPr>
      </w:pPr>
      <w:r>
        <w:rPr>
          <w:lang w:val="en-US"/>
        </w:rPr>
        <w:t xml:space="preserve">DSHA calculations can account for some epistemic uncertainties by introducing simple statistics </w:t>
      </w:r>
      <w:r w:rsidRPr="00F524B5">
        <w:rPr>
          <w:lang w:val="en-US"/>
        </w:rPr>
        <w:t xml:space="preserve">into the procedure </w:t>
      </w:r>
      <w:r>
        <w:rPr>
          <w:lang w:val="en-US"/>
        </w:rPr>
        <w:t xml:space="preserve">of selecting input parameters, e.g., </w:t>
      </w:r>
      <w:r w:rsidRPr="00F524B5">
        <w:rPr>
          <w:lang w:val="en-US"/>
        </w:rPr>
        <w:t xml:space="preserve">by taking </w:t>
      </w:r>
      <w:r>
        <w:rPr>
          <w:lang w:val="en-US"/>
        </w:rPr>
        <w:t xml:space="preserve">the </w:t>
      </w:r>
      <w:r w:rsidRPr="00F524B5">
        <w:rPr>
          <w:lang w:val="en-US"/>
        </w:rPr>
        <w:t xml:space="preserve">standard deviation </w:t>
      </w:r>
      <w:r>
        <w:rPr>
          <w:lang w:val="en-US"/>
        </w:rPr>
        <w:t>into account for empirically derived param</w:t>
      </w:r>
      <w:r>
        <w:rPr>
          <w:lang w:val="en-US"/>
        </w:rPr>
        <w:t>e</w:t>
      </w:r>
      <w:r>
        <w:rPr>
          <w:lang w:val="en-US"/>
        </w:rPr>
        <w:t>ters (e.g., M</w:t>
      </w:r>
      <w:r w:rsidRPr="00042AA3">
        <w:rPr>
          <w:vertAlign w:val="subscript"/>
          <w:lang w:val="en-US"/>
        </w:rPr>
        <w:t>max</w:t>
      </w:r>
      <w:r>
        <w:rPr>
          <w:lang w:val="en-US"/>
        </w:rPr>
        <w:t xml:space="preserve"> from fault dimentions,</w:t>
      </w:r>
      <w:r w:rsidRPr="00F524B5">
        <w:rPr>
          <w:lang w:val="en-US"/>
        </w:rPr>
        <w:t xml:space="preserve"> </w:t>
      </w:r>
      <w:r>
        <w:rPr>
          <w:lang w:val="en-US"/>
        </w:rPr>
        <w:t>GMPEs). Uncertainties related to different source zone models could, in principle, be handled by logic tree approaches similar to the ones applied in PSHA. The authors, however, are not aware of studies applying such approaches.</w:t>
      </w:r>
    </w:p>
    <w:p w:rsidR="00D85C16" w:rsidRDefault="00D85C16" w:rsidP="001E2D8C">
      <w:pPr>
        <w:rPr>
          <w:lang w:val="en-US"/>
        </w:rPr>
      </w:pPr>
    </w:p>
    <w:p w:rsidR="005F0DDE" w:rsidRDefault="009E00B8" w:rsidP="005F0DDE">
      <w:pPr>
        <w:pStyle w:val="Titre3"/>
        <w:rPr>
          <w:lang w:val="en-US"/>
        </w:rPr>
      </w:pPr>
      <w:bookmarkStart w:id="182" w:name="_Ref451072261"/>
      <w:r>
        <w:rPr>
          <w:lang w:val="en-US"/>
        </w:rPr>
        <w:br w:type="page"/>
      </w:r>
      <w:bookmarkStart w:id="183" w:name="_Toc456011918"/>
      <w:r w:rsidR="005F0DDE">
        <w:rPr>
          <w:lang w:val="en-US"/>
        </w:rPr>
        <w:lastRenderedPageBreak/>
        <w:t>Probabilistic fault displacement Analysis (PFDHA)</w:t>
      </w:r>
      <w:bookmarkEnd w:id="182"/>
      <w:bookmarkEnd w:id="183"/>
    </w:p>
    <w:p w:rsidR="005F0DDE" w:rsidRDefault="005F0DDE" w:rsidP="005F0DDE">
      <w:pPr>
        <w:rPr>
          <w:lang w:val="en-US"/>
        </w:rPr>
      </w:pPr>
      <w:r>
        <w:rPr>
          <w:lang w:val="en-US"/>
        </w:rPr>
        <w:t xml:space="preserve">The development of probabilistic methods for analyzing surface ruptures </w:t>
      </w:r>
      <w:r w:rsidRPr="000E468E">
        <w:rPr>
          <w:lang w:val="en-US"/>
        </w:rPr>
        <w:t>started only recently</w:t>
      </w:r>
      <w:r>
        <w:rPr>
          <w:lang w:val="en-US"/>
        </w:rPr>
        <w:t xml:space="preserve"> and PDFHA exerci</w:t>
      </w:r>
      <w:r>
        <w:rPr>
          <w:lang w:val="en-US"/>
        </w:rPr>
        <w:t>s</w:t>
      </w:r>
      <w:r>
        <w:rPr>
          <w:lang w:val="en-US"/>
        </w:rPr>
        <w:t xml:space="preserve">es were only performed for a very limited number of sites (e.g., </w:t>
      </w:r>
      <w:r w:rsidRPr="000E468E">
        <w:rPr>
          <w:lang w:val="en-US"/>
        </w:rPr>
        <w:t>Diablo Canyon NPP</w:t>
      </w:r>
      <w:r>
        <w:rPr>
          <w:lang w:val="en-US"/>
        </w:rPr>
        <w:t xml:space="preserve">, </w:t>
      </w:r>
      <w:r w:rsidR="00574A0F">
        <w:rPr>
          <w:lang w:val="en-US"/>
        </w:rPr>
        <w:t xml:space="preserve">USNRC, 2012; </w:t>
      </w:r>
      <w:r>
        <w:rPr>
          <w:lang w:val="en-US"/>
        </w:rPr>
        <w:t>Krsko NPP</w:t>
      </w:r>
      <w:r w:rsidR="00574A0F">
        <w:rPr>
          <w:lang w:val="en-US"/>
        </w:rPr>
        <w:t>, Cline et al., 2015</w:t>
      </w:r>
      <w:r>
        <w:rPr>
          <w:lang w:val="en-US"/>
        </w:rPr>
        <w:t>)</w:t>
      </w:r>
      <w:r w:rsidRPr="000E468E">
        <w:rPr>
          <w:lang w:val="en-US"/>
        </w:rPr>
        <w:t xml:space="preserve">. </w:t>
      </w:r>
      <w:r>
        <w:rPr>
          <w:lang w:val="en-US"/>
        </w:rPr>
        <w:t>A</w:t>
      </w:r>
      <w:r w:rsidR="00E22594">
        <w:rPr>
          <w:lang w:val="en-US"/>
        </w:rPr>
        <w:t>n</w:t>
      </w:r>
      <w:r>
        <w:rPr>
          <w:lang w:val="en-US"/>
        </w:rPr>
        <w:t xml:space="preserve"> </w:t>
      </w:r>
      <w:r w:rsidR="00E22594">
        <w:rPr>
          <w:lang w:val="en-US"/>
        </w:rPr>
        <w:t xml:space="preserve">elaborated and widely used </w:t>
      </w:r>
      <w:r>
        <w:rPr>
          <w:lang w:val="en-US"/>
        </w:rPr>
        <w:t>treatment of uncertainties is therefore not available. Recent studies, however, applied logic tree approaches to model the uncertainties of input parameters (Cline et al.,</w:t>
      </w:r>
      <w:r w:rsidR="00771D15">
        <w:rPr>
          <w:lang w:val="en-US"/>
        </w:rPr>
        <w:t xml:space="preserve"> 2015). I</w:t>
      </w:r>
      <w:r w:rsidR="00F93F67">
        <w:rPr>
          <w:lang w:val="en-US"/>
        </w:rPr>
        <w:t>n</w:t>
      </w:r>
      <w:r w:rsidR="00771D15">
        <w:rPr>
          <w:lang w:val="en-US"/>
        </w:rPr>
        <w:t xml:space="preserve">put parameters modelled by different branches are </w:t>
      </w:r>
      <w:r w:rsidR="002563E1">
        <w:rPr>
          <w:lang w:val="en-US"/>
        </w:rPr>
        <w:t xml:space="preserve">the </w:t>
      </w:r>
      <w:r w:rsidR="00771D15">
        <w:rPr>
          <w:lang w:val="en-US"/>
        </w:rPr>
        <w:t>probability of fault activity, fault length</w:t>
      </w:r>
      <w:r w:rsidR="00771D15" w:rsidRPr="00771D15">
        <w:rPr>
          <w:lang w:val="en-US"/>
        </w:rPr>
        <w:t xml:space="preserve"> </w:t>
      </w:r>
      <w:r w:rsidR="00771D15">
        <w:rPr>
          <w:lang w:val="en-US"/>
        </w:rPr>
        <w:t xml:space="preserve">and the derived maximum magnitude, slip rate, </w:t>
      </w:r>
      <w:r w:rsidR="00771D15" w:rsidRPr="00E22594">
        <w:rPr>
          <w:lang w:val="en-US"/>
        </w:rPr>
        <w:t xml:space="preserve">maximum magnitude, </w:t>
      </w:r>
      <w:r w:rsidR="002563E1">
        <w:rPr>
          <w:lang w:val="en-US"/>
        </w:rPr>
        <w:t xml:space="preserve">and </w:t>
      </w:r>
      <w:r w:rsidR="00E22594">
        <w:rPr>
          <w:lang w:val="en-US"/>
        </w:rPr>
        <w:t>principle</w:t>
      </w:r>
      <w:r w:rsidR="002563E1">
        <w:rPr>
          <w:lang w:val="en-US"/>
        </w:rPr>
        <w:t xml:space="preserve"> / </w:t>
      </w:r>
      <w:r w:rsidR="00771D15" w:rsidRPr="00E22594">
        <w:rPr>
          <w:lang w:val="en-US"/>
        </w:rPr>
        <w:t>distributed faulting.</w:t>
      </w:r>
    </w:p>
    <w:p w:rsidR="00E22594" w:rsidRDefault="00E22594" w:rsidP="005F0DDE">
      <w:pPr>
        <w:rPr>
          <w:lang w:val="en-US"/>
        </w:rPr>
      </w:pPr>
    </w:p>
    <w:p w:rsidR="005F0DDE" w:rsidRPr="00E22594" w:rsidRDefault="00E22594" w:rsidP="005F0DDE">
      <w:pPr>
        <w:rPr>
          <w:lang w:val="en-US"/>
        </w:rPr>
      </w:pPr>
      <w:r>
        <w:rPr>
          <w:lang w:val="en-US"/>
        </w:rPr>
        <w:t xml:space="preserve">It currently appears that most of the uncertainty of the results is due to the very small database which is available for </w:t>
      </w:r>
      <w:r w:rsidRPr="00E57F6C">
        <w:rPr>
          <w:lang w:val="en-US"/>
        </w:rPr>
        <w:t>secondary displacement</w:t>
      </w:r>
      <w:r>
        <w:rPr>
          <w:lang w:val="en-US"/>
        </w:rPr>
        <w:t xml:space="preserve">s such as </w:t>
      </w:r>
      <w:r w:rsidRPr="00E57F6C">
        <w:rPr>
          <w:lang w:val="en-US"/>
        </w:rPr>
        <w:t>induced movement</w:t>
      </w:r>
      <w:r>
        <w:rPr>
          <w:lang w:val="en-US"/>
        </w:rPr>
        <w:t>s</w:t>
      </w:r>
      <w:r w:rsidRPr="00E57F6C">
        <w:rPr>
          <w:lang w:val="en-US"/>
        </w:rPr>
        <w:t xml:space="preserve"> along pre-existing </w:t>
      </w:r>
      <w:r>
        <w:rPr>
          <w:lang w:val="en-US"/>
        </w:rPr>
        <w:t xml:space="preserve">slip </w:t>
      </w:r>
      <w:r w:rsidRPr="00E57F6C">
        <w:rPr>
          <w:lang w:val="en-US"/>
        </w:rPr>
        <w:t>planes</w:t>
      </w:r>
      <w:r w:rsidR="00A07F71">
        <w:rPr>
          <w:lang w:val="en-US"/>
        </w:rPr>
        <w:t xml:space="preserve"> (Takao et al., 2015).</w:t>
      </w:r>
    </w:p>
    <w:p w:rsidR="00BB27FD" w:rsidRPr="00BB27FD" w:rsidRDefault="00BB27FD" w:rsidP="00BB27FD">
      <w:pPr>
        <w:pStyle w:val="Titre2"/>
        <w:rPr>
          <w:lang w:val="en-US"/>
        </w:rPr>
      </w:pPr>
      <w:bookmarkStart w:id="184" w:name="_Toc456011919"/>
      <w:r w:rsidRPr="00BB27FD">
        <w:rPr>
          <w:lang w:val="en-US"/>
        </w:rPr>
        <w:t>Methodological limits</w:t>
      </w:r>
      <w:bookmarkEnd w:id="184"/>
      <w:r w:rsidRPr="00BB27FD">
        <w:rPr>
          <w:lang w:val="en-US"/>
        </w:rPr>
        <w:t xml:space="preserve"> </w:t>
      </w:r>
    </w:p>
    <w:p w:rsidR="003F6103" w:rsidRDefault="003F6103" w:rsidP="00106060">
      <w:pPr>
        <w:rPr>
          <w:lang w:val="en-US"/>
        </w:rPr>
      </w:pPr>
      <w:r>
        <w:rPr>
          <w:lang w:val="en-US"/>
        </w:rPr>
        <w:t>Outputs of seismic hazard assessments for low and very low exceedance probabilities down to 10</w:t>
      </w:r>
      <w:r w:rsidRPr="00A31C34">
        <w:rPr>
          <w:vertAlign w:val="superscript"/>
          <w:lang w:val="en-US"/>
        </w:rPr>
        <w:t>-5</w:t>
      </w:r>
      <w:r>
        <w:rPr>
          <w:lang w:val="en-US"/>
        </w:rPr>
        <w:t xml:space="preserve"> or 10</w:t>
      </w:r>
      <w:r w:rsidRPr="00A31C34">
        <w:rPr>
          <w:vertAlign w:val="superscript"/>
          <w:lang w:val="en-US"/>
        </w:rPr>
        <w:t>-6</w:t>
      </w:r>
      <w:r>
        <w:rPr>
          <w:lang w:val="en-US"/>
        </w:rPr>
        <w:t xml:space="preserve"> per year are required as </w:t>
      </w:r>
      <w:r w:rsidR="00106060" w:rsidRPr="00106060">
        <w:rPr>
          <w:lang w:val="en-US"/>
        </w:rPr>
        <w:t xml:space="preserve">numerical input for quantifying accident sequences </w:t>
      </w:r>
      <w:r>
        <w:rPr>
          <w:lang w:val="en-US"/>
        </w:rPr>
        <w:t>in PSA. Extrapolations down to very low</w:t>
      </w:r>
      <w:r w:rsidR="00A31C34">
        <w:rPr>
          <w:lang w:val="en-US"/>
        </w:rPr>
        <w:t xml:space="preserve"> </w:t>
      </w:r>
      <w:r>
        <w:rPr>
          <w:lang w:val="en-US"/>
        </w:rPr>
        <w:t>exce</w:t>
      </w:r>
      <w:r>
        <w:rPr>
          <w:lang w:val="en-US"/>
        </w:rPr>
        <w:t>e</w:t>
      </w:r>
      <w:r>
        <w:rPr>
          <w:lang w:val="en-US"/>
        </w:rPr>
        <w:t>cance probabilities are further implicitely required by the WENRA Reference Levels (WENRA, 2014) and su</w:t>
      </w:r>
      <w:r>
        <w:rPr>
          <w:lang w:val="en-US"/>
        </w:rPr>
        <w:t>p</w:t>
      </w:r>
      <w:r>
        <w:rPr>
          <w:lang w:val="en-US"/>
        </w:rPr>
        <w:t>porting</w:t>
      </w:r>
      <w:r w:rsidR="00A31C34">
        <w:rPr>
          <w:lang w:val="en-US"/>
        </w:rPr>
        <w:t xml:space="preserve"> Guidance D</w:t>
      </w:r>
      <w:r>
        <w:rPr>
          <w:lang w:val="en-US"/>
        </w:rPr>
        <w:t xml:space="preserve">ocuments for the assessment of design extension conditions (WENRA, 2015, </w:t>
      </w:r>
      <w:r w:rsidRPr="008B7CAF">
        <w:rPr>
          <w:color w:val="2E74B5"/>
          <w:lang w:val="en-US"/>
        </w:rPr>
        <w:t>Guidance F</w:t>
      </w:r>
      <w:r>
        <w:rPr>
          <w:lang w:val="en-US"/>
        </w:rPr>
        <w:t xml:space="preserve">; </w:t>
      </w:r>
      <w:r w:rsidRPr="008B7CAF">
        <w:rPr>
          <w:color w:val="2E74B5"/>
          <w:lang w:val="en-US"/>
        </w:rPr>
        <w:t>Gui</w:t>
      </w:r>
      <w:r w:rsidRPr="008B7CAF">
        <w:rPr>
          <w:color w:val="2E74B5"/>
          <w:lang w:val="en-US"/>
        </w:rPr>
        <w:t>d</w:t>
      </w:r>
      <w:r w:rsidRPr="008B7CAF">
        <w:rPr>
          <w:color w:val="2E74B5"/>
          <w:lang w:val="en-US"/>
        </w:rPr>
        <w:t>ance T</w:t>
      </w:r>
      <w:r>
        <w:rPr>
          <w:lang w:val="en-US"/>
        </w:rPr>
        <w:t xml:space="preserve">; 2016 </w:t>
      </w:r>
      <w:r w:rsidRPr="008B7CAF">
        <w:rPr>
          <w:color w:val="2E74B5"/>
          <w:lang w:val="en-US"/>
        </w:rPr>
        <w:t>Seismic</w:t>
      </w:r>
      <w:r>
        <w:rPr>
          <w:lang w:val="en-US"/>
        </w:rPr>
        <w:t xml:space="preserve">). </w:t>
      </w:r>
      <w:r w:rsidR="00A31C34">
        <w:rPr>
          <w:lang w:val="en-US"/>
        </w:rPr>
        <w:t>WENRA (2014</w:t>
      </w:r>
      <w:r w:rsidR="007C2501">
        <w:rPr>
          <w:lang w:val="en-US"/>
        </w:rPr>
        <w:t xml:space="preserve"> </w:t>
      </w:r>
      <w:r w:rsidR="007C2501" w:rsidRPr="008B7CAF">
        <w:rPr>
          <w:color w:val="2E74B5"/>
          <w:lang w:val="en-US"/>
        </w:rPr>
        <w:t>RLS</w:t>
      </w:r>
      <w:r w:rsidR="00A31C34">
        <w:rPr>
          <w:lang w:val="en-US"/>
        </w:rPr>
        <w:t>) does not define numerical target values for the non-exceedance prob</w:t>
      </w:r>
      <w:r w:rsidR="00A31C34">
        <w:rPr>
          <w:lang w:val="en-US"/>
        </w:rPr>
        <w:t>a</w:t>
      </w:r>
      <w:r w:rsidR="00A31C34">
        <w:rPr>
          <w:lang w:val="en-US"/>
        </w:rPr>
        <w:t>bility of events which must be considered in DEC analysis</w:t>
      </w:r>
      <w:r w:rsidR="00F412C9">
        <w:rPr>
          <w:lang w:val="en-US"/>
        </w:rPr>
        <w:t xml:space="preserve"> but </w:t>
      </w:r>
      <w:r w:rsidR="002563E1">
        <w:rPr>
          <w:lang w:val="en-US"/>
        </w:rPr>
        <w:t xml:space="preserve">it </w:t>
      </w:r>
      <w:r w:rsidR="00F412C9">
        <w:rPr>
          <w:lang w:val="en-US"/>
        </w:rPr>
        <w:t xml:space="preserve">requires </w:t>
      </w:r>
      <w:r w:rsidR="00F412C9" w:rsidRPr="00F412C9">
        <w:rPr>
          <w:i/>
          <w:lang w:val="en-US"/>
        </w:rPr>
        <w:t>“considering those events and combinations of events, which cannot be considered with a high degree of confidence to be extremely unlikely to occur”</w:t>
      </w:r>
      <w:r w:rsidR="00F412C9">
        <w:rPr>
          <w:lang w:val="en-US"/>
        </w:rPr>
        <w:t xml:space="preserve"> (WENRA, 2014, </w:t>
      </w:r>
      <w:r w:rsidR="00B07AE4">
        <w:rPr>
          <w:lang w:val="en-US"/>
        </w:rPr>
        <w:t xml:space="preserve">Reference Levels </w:t>
      </w:r>
      <w:r w:rsidR="00F412C9" w:rsidRPr="00B07AE4">
        <w:rPr>
          <w:lang w:val="en-US"/>
        </w:rPr>
        <w:t>Issue F</w:t>
      </w:r>
      <w:r w:rsidR="00F412C9">
        <w:rPr>
          <w:lang w:val="en-US"/>
        </w:rPr>
        <w:t>).</w:t>
      </w:r>
    </w:p>
    <w:p w:rsidR="00A31C34" w:rsidRDefault="00A31C34" w:rsidP="00106060">
      <w:pPr>
        <w:rPr>
          <w:lang w:val="en-US"/>
        </w:rPr>
      </w:pPr>
    </w:p>
    <w:p w:rsidR="00F412C9" w:rsidRDefault="00F412C9" w:rsidP="00106060">
      <w:pPr>
        <w:rPr>
          <w:lang w:val="en-US"/>
        </w:rPr>
      </w:pPr>
      <w:r>
        <w:rPr>
          <w:lang w:val="en-US"/>
        </w:rPr>
        <w:t xml:space="preserve">The commonly used probabilistic methods allow for a straight-forward </w:t>
      </w:r>
      <w:r w:rsidR="007C2501">
        <w:rPr>
          <w:lang w:val="en-US"/>
        </w:rPr>
        <w:t xml:space="preserve">calculation </w:t>
      </w:r>
      <w:r>
        <w:rPr>
          <w:lang w:val="en-US"/>
        </w:rPr>
        <w:t>of hazard curves</w:t>
      </w:r>
      <w:r w:rsidR="007A32D6">
        <w:rPr>
          <w:lang w:val="en-US"/>
        </w:rPr>
        <w:t xml:space="preserve"> down to e</w:t>
      </w:r>
      <w:r w:rsidR="007A32D6">
        <w:rPr>
          <w:lang w:val="en-US"/>
        </w:rPr>
        <w:t>x</w:t>
      </w:r>
      <w:r w:rsidR="007A32D6">
        <w:rPr>
          <w:lang w:val="en-US"/>
        </w:rPr>
        <w:t>tremely low exceedance probabilities</w:t>
      </w:r>
      <w:r>
        <w:rPr>
          <w:lang w:val="en-US"/>
        </w:rPr>
        <w:t xml:space="preserve">. Examples include the PEGASOS PSHA results (NAGRA, 2004; hazard curves </w:t>
      </w:r>
      <w:r w:rsidR="002563E1">
        <w:rPr>
          <w:lang w:val="en-US"/>
        </w:rPr>
        <w:t xml:space="preserve">for non-exceedance probabilities of </w:t>
      </w:r>
      <w:r>
        <w:rPr>
          <w:lang w:val="en-US"/>
        </w:rPr>
        <w:t>10</w:t>
      </w:r>
      <w:r w:rsidRPr="00A31C34">
        <w:rPr>
          <w:vertAlign w:val="superscript"/>
          <w:lang w:val="en-US"/>
        </w:rPr>
        <w:t>-</w:t>
      </w:r>
      <w:r>
        <w:rPr>
          <w:vertAlign w:val="superscript"/>
          <w:lang w:val="en-US"/>
        </w:rPr>
        <w:t>7</w:t>
      </w:r>
      <w:r>
        <w:rPr>
          <w:lang w:val="en-US"/>
        </w:rPr>
        <w:t xml:space="preserve"> per year) and PFDHA assessments calculating hazard curves down to </w:t>
      </w:r>
      <w:r w:rsidR="007A32D6">
        <w:rPr>
          <w:lang w:val="en-US"/>
        </w:rPr>
        <w:t>10</w:t>
      </w:r>
      <w:r w:rsidR="007A32D6" w:rsidRPr="007A32D6">
        <w:rPr>
          <w:vertAlign w:val="superscript"/>
          <w:lang w:val="en-US"/>
        </w:rPr>
        <w:t>-10</w:t>
      </w:r>
      <w:r w:rsidR="007A32D6">
        <w:rPr>
          <w:lang w:val="en-US"/>
        </w:rPr>
        <w:t xml:space="preserve"> (Cline et al., 205; Takao et al., 2003) or even lower (</w:t>
      </w:r>
      <w:r w:rsidR="002563E1">
        <w:rPr>
          <w:lang w:val="en-US"/>
        </w:rPr>
        <w:t>10</w:t>
      </w:r>
      <w:r w:rsidR="002563E1" w:rsidRPr="007A32D6">
        <w:rPr>
          <w:vertAlign w:val="superscript"/>
          <w:lang w:val="en-US"/>
        </w:rPr>
        <w:t>-1</w:t>
      </w:r>
      <w:r w:rsidR="002563E1">
        <w:rPr>
          <w:vertAlign w:val="superscript"/>
          <w:lang w:val="en-US"/>
        </w:rPr>
        <w:t>3</w:t>
      </w:r>
      <w:r w:rsidR="002563E1">
        <w:rPr>
          <w:lang w:val="en-US"/>
        </w:rPr>
        <w:t xml:space="preserve">, </w:t>
      </w:r>
      <w:r w:rsidR="007A32D6">
        <w:rPr>
          <w:lang w:val="en-US"/>
        </w:rPr>
        <w:t xml:space="preserve">Suzuki et al., 2015; Takao et al., 2015). </w:t>
      </w:r>
      <w:r w:rsidR="00375CA3">
        <w:rPr>
          <w:lang w:val="en-US"/>
        </w:rPr>
        <w:t>A critical scie</w:t>
      </w:r>
      <w:r w:rsidR="00375CA3">
        <w:rPr>
          <w:lang w:val="en-US"/>
        </w:rPr>
        <w:t>n</w:t>
      </w:r>
      <w:r w:rsidR="00375CA3">
        <w:rPr>
          <w:lang w:val="en-US"/>
        </w:rPr>
        <w:t xml:space="preserve">tific discussion of the reliability of such </w:t>
      </w:r>
      <w:r w:rsidR="007C2501">
        <w:rPr>
          <w:lang w:val="en-US"/>
        </w:rPr>
        <w:t>hazard results</w:t>
      </w:r>
      <w:r w:rsidR="00375CA3">
        <w:rPr>
          <w:lang w:val="en-US"/>
        </w:rPr>
        <w:t xml:space="preserve"> which goes beyond the  assessment of probabilistic (al</w:t>
      </w:r>
      <w:r w:rsidR="00375CA3">
        <w:rPr>
          <w:lang w:val="en-US"/>
        </w:rPr>
        <w:t>e</w:t>
      </w:r>
      <w:r w:rsidR="00375CA3">
        <w:rPr>
          <w:lang w:val="en-US"/>
        </w:rPr>
        <w:t>atory and epistemic) uncertainty is, however, commonly not provided.</w:t>
      </w:r>
    </w:p>
    <w:p w:rsidR="007C2501" w:rsidRDefault="007C2501" w:rsidP="00106060">
      <w:pPr>
        <w:rPr>
          <w:lang w:val="en-US"/>
        </w:rPr>
      </w:pPr>
    </w:p>
    <w:p w:rsidR="007C2501" w:rsidRDefault="007C2501" w:rsidP="007C2501">
      <w:pPr>
        <w:rPr>
          <w:lang w:val="en-US"/>
        </w:rPr>
      </w:pPr>
      <w:r>
        <w:rPr>
          <w:lang w:val="en-US"/>
        </w:rPr>
        <w:t xml:space="preserve">The interpretation of </w:t>
      </w:r>
      <w:r w:rsidR="009519D1">
        <w:rPr>
          <w:lang w:val="en-US"/>
        </w:rPr>
        <w:t xml:space="preserve">the reliability of </w:t>
      </w:r>
      <w:r>
        <w:rPr>
          <w:lang w:val="en-US"/>
        </w:rPr>
        <w:t>hazard results for extremely low exceedance probabilities needs t</w:t>
      </w:r>
      <w:r w:rsidR="00A07F71">
        <w:rPr>
          <w:lang w:val="en-US"/>
        </w:rPr>
        <w:t>o consider the following issues:</w:t>
      </w:r>
    </w:p>
    <w:p w:rsidR="007C2501" w:rsidRPr="00781019" w:rsidRDefault="00781019" w:rsidP="00860D1D">
      <w:pPr>
        <w:numPr>
          <w:ilvl w:val="0"/>
          <w:numId w:val="46"/>
        </w:numPr>
        <w:rPr>
          <w:lang w:val="en-US"/>
        </w:rPr>
      </w:pPr>
      <w:r w:rsidRPr="00781019">
        <w:rPr>
          <w:b/>
          <w:i/>
          <w:lang w:val="en-US"/>
        </w:rPr>
        <w:t>Earthquake d</w:t>
      </w:r>
      <w:r w:rsidR="007C2501" w:rsidRPr="00781019">
        <w:rPr>
          <w:b/>
          <w:i/>
          <w:lang w:val="en-US"/>
        </w:rPr>
        <w:t>ata coverage</w:t>
      </w:r>
      <w:r w:rsidRPr="00781019">
        <w:rPr>
          <w:b/>
          <w:i/>
          <w:lang w:val="en-US"/>
        </w:rPr>
        <w:t xml:space="preserve"> and completeness:</w:t>
      </w:r>
      <w:r w:rsidR="007C2501" w:rsidRPr="00781019">
        <w:rPr>
          <w:lang w:val="en-US"/>
        </w:rPr>
        <w:t xml:space="preserve"> </w:t>
      </w:r>
      <w:r w:rsidR="00491993">
        <w:rPr>
          <w:lang w:val="en-US"/>
        </w:rPr>
        <w:t xml:space="preserve">each </w:t>
      </w:r>
      <w:r w:rsidR="007C2501" w:rsidRPr="00781019">
        <w:rPr>
          <w:lang w:val="en-US"/>
        </w:rPr>
        <w:t xml:space="preserve">hazard assessment is based on a limited number of data which covers </w:t>
      </w:r>
      <w:r w:rsidR="00491993">
        <w:rPr>
          <w:lang w:val="en-US"/>
        </w:rPr>
        <w:t xml:space="preserve">a </w:t>
      </w:r>
      <w:r w:rsidR="007C2501" w:rsidRPr="00781019">
        <w:rPr>
          <w:lang w:val="en-US"/>
        </w:rPr>
        <w:t xml:space="preserve">limited time period. As discussed in chapter </w:t>
      </w:r>
      <w:r w:rsidR="007C2501" w:rsidRPr="00781019">
        <w:rPr>
          <w:lang w:val="en-US"/>
        </w:rPr>
        <w:fldChar w:fldCharType="begin"/>
      </w:r>
      <w:r w:rsidR="007C2501" w:rsidRPr="00781019">
        <w:rPr>
          <w:lang w:val="en-US"/>
        </w:rPr>
        <w:instrText xml:space="preserve"> REF _Ref450897611 \r \h </w:instrText>
      </w:r>
      <w:r w:rsidR="007C2501">
        <w:rPr>
          <w:lang w:val="en-US"/>
        </w:rPr>
      </w:r>
      <w:r w:rsidR="007C2501" w:rsidRPr="00781019">
        <w:rPr>
          <w:lang w:val="en-US"/>
        </w:rPr>
        <w:fldChar w:fldCharType="separate"/>
      </w:r>
      <w:r w:rsidR="00173034">
        <w:rPr>
          <w:lang w:val="en-US"/>
        </w:rPr>
        <w:t>3.1.3</w:t>
      </w:r>
      <w:r w:rsidR="007C2501" w:rsidRPr="00781019">
        <w:rPr>
          <w:lang w:val="en-US"/>
        </w:rPr>
        <w:fldChar w:fldCharType="end"/>
      </w:r>
      <w:r w:rsidR="007C2501" w:rsidRPr="00781019">
        <w:rPr>
          <w:lang w:val="en-US"/>
        </w:rPr>
        <w:t xml:space="preserve"> </w:t>
      </w:r>
      <w:r w:rsidR="00B07AE4">
        <w:rPr>
          <w:lang w:val="en-US"/>
        </w:rPr>
        <w:t xml:space="preserve">(page </w:t>
      </w:r>
      <w:r w:rsidR="00B07AE4">
        <w:rPr>
          <w:lang w:val="en-US"/>
        </w:rPr>
        <w:fldChar w:fldCharType="begin"/>
      </w:r>
      <w:r w:rsidR="00B07AE4">
        <w:rPr>
          <w:lang w:val="en-US"/>
        </w:rPr>
        <w:instrText xml:space="preserve"> PAGEREF _Ref451165642 \h </w:instrText>
      </w:r>
      <w:r w:rsidR="00B07AE4">
        <w:rPr>
          <w:lang w:val="en-US"/>
        </w:rPr>
      </w:r>
      <w:r w:rsidR="00B07AE4">
        <w:rPr>
          <w:lang w:val="en-US"/>
        </w:rPr>
        <w:fldChar w:fldCharType="separate"/>
      </w:r>
      <w:r w:rsidR="00173034">
        <w:rPr>
          <w:noProof/>
          <w:lang w:val="en-US"/>
        </w:rPr>
        <w:t>39</w:t>
      </w:r>
      <w:r w:rsidR="00B07AE4">
        <w:rPr>
          <w:lang w:val="en-US"/>
        </w:rPr>
        <w:fldChar w:fldCharType="end"/>
      </w:r>
      <w:r w:rsidR="00B07AE4">
        <w:rPr>
          <w:lang w:val="en-US"/>
        </w:rPr>
        <w:t xml:space="preserve">) </w:t>
      </w:r>
      <w:r w:rsidR="007C2501" w:rsidRPr="00781019">
        <w:rPr>
          <w:lang w:val="en-US"/>
        </w:rPr>
        <w:t>European earthquake d</w:t>
      </w:r>
      <w:r w:rsidR="007C2501" w:rsidRPr="00781019">
        <w:rPr>
          <w:lang w:val="en-US"/>
        </w:rPr>
        <w:t>a</w:t>
      </w:r>
      <w:r w:rsidR="007C2501" w:rsidRPr="00781019">
        <w:rPr>
          <w:lang w:val="en-US"/>
        </w:rPr>
        <w:t xml:space="preserve">ta </w:t>
      </w:r>
      <w:r w:rsidRPr="00781019">
        <w:rPr>
          <w:lang w:val="en-US"/>
        </w:rPr>
        <w:t xml:space="preserve">typically </w:t>
      </w:r>
      <w:r w:rsidR="007C2501" w:rsidRPr="00781019">
        <w:rPr>
          <w:lang w:val="en-US"/>
        </w:rPr>
        <w:t xml:space="preserve">cover </w:t>
      </w:r>
      <w:r w:rsidRPr="00781019">
        <w:rPr>
          <w:lang w:val="en-US"/>
        </w:rPr>
        <w:t>time periods of few hundred years only</w:t>
      </w:r>
      <w:r w:rsidR="009519D1">
        <w:rPr>
          <w:lang w:val="en-US"/>
        </w:rPr>
        <w:t xml:space="preserve"> and may be incomplete</w:t>
      </w:r>
      <w:r w:rsidR="002563E1">
        <w:rPr>
          <w:lang w:val="en-US"/>
        </w:rPr>
        <w:t xml:space="preserve"> even for this time inte</w:t>
      </w:r>
      <w:r w:rsidR="002563E1">
        <w:rPr>
          <w:lang w:val="en-US"/>
        </w:rPr>
        <w:t>r</w:t>
      </w:r>
      <w:r w:rsidR="002563E1">
        <w:rPr>
          <w:lang w:val="en-US"/>
        </w:rPr>
        <w:t>val</w:t>
      </w:r>
      <w:r w:rsidRPr="00781019">
        <w:rPr>
          <w:lang w:val="en-US"/>
        </w:rPr>
        <w:t>. Hazard asses</w:t>
      </w:r>
      <w:r w:rsidR="00F93F67">
        <w:rPr>
          <w:lang w:val="en-US"/>
        </w:rPr>
        <w:t>s</w:t>
      </w:r>
      <w:r w:rsidRPr="00781019">
        <w:rPr>
          <w:lang w:val="en-US"/>
        </w:rPr>
        <w:t>ments which are exclusively based on such data therefore essentially extrapolates the seismicity of the observation period to extremely long recurrence intervals (10.000 years and longer</w:t>
      </w:r>
      <w:r w:rsidR="00A26AE2">
        <w:rPr>
          <w:lang w:val="en-US"/>
        </w:rPr>
        <w:t xml:space="preserve">; </w:t>
      </w:r>
      <w:r w:rsidR="00A26AE2">
        <w:rPr>
          <w:lang w:val="en-US"/>
        </w:rPr>
        <w:fldChar w:fldCharType="begin"/>
      </w:r>
      <w:r w:rsidR="00A26AE2">
        <w:rPr>
          <w:lang w:val="en-US"/>
        </w:rPr>
        <w:instrText xml:space="preserve"> REF _Ref451165693 \h </w:instrText>
      </w:r>
      <w:r w:rsidR="00A26AE2">
        <w:rPr>
          <w:lang w:val="en-US"/>
        </w:rPr>
      </w:r>
      <w:r w:rsidR="00A26AE2">
        <w:rPr>
          <w:lang w:val="en-US"/>
        </w:rPr>
        <w:fldChar w:fldCharType="separate"/>
      </w:r>
      <w:r w:rsidR="00173034">
        <w:t>Fi</w:t>
      </w:r>
      <w:r w:rsidR="00173034">
        <w:t>g</w:t>
      </w:r>
      <w:r w:rsidR="00173034">
        <w:t xml:space="preserve">ure </w:t>
      </w:r>
      <w:r w:rsidR="00173034">
        <w:rPr>
          <w:noProof/>
        </w:rPr>
        <w:t>22</w:t>
      </w:r>
      <w:r w:rsidR="00A26AE2">
        <w:rPr>
          <w:lang w:val="en-US"/>
        </w:rPr>
        <w:fldChar w:fldCharType="end"/>
      </w:r>
      <w:r w:rsidRPr="00781019">
        <w:rPr>
          <w:lang w:val="en-US"/>
        </w:rPr>
        <w:t xml:space="preserve">). </w:t>
      </w:r>
      <w:r>
        <w:rPr>
          <w:lang w:val="en-US"/>
        </w:rPr>
        <w:t xml:space="preserve">The resulting </w:t>
      </w:r>
      <w:r w:rsidR="00A07F71">
        <w:rPr>
          <w:lang w:val="en-US"/>
        </w:rPr>
        <w:t>limitations to the reliability of SHA are</w:t>
      </w:r>
      <w:r>
        <w:rPr>
          <w:lang w:val="en-US"/>
        </w:rPr>
        <w:t xml:space="preserve"> p</w:t>
      </w:r>
      <w:r w:rsidR="007C2501" w:rsidRPr="00781019">
        <w:rPr>
          <w:lang w:val="en-US"/>
        </w:rPr>
        <w:t>articular</w:t>
      </w:r>
      <w:r>
        <w:rPr>
          <w:lang w:val="en-US"/>
        </w:rPr>
        <w:t>ly</w:t>
      </w:r>
      <w:r w:rsidR="007C2501" w:rsidRPr="00781019">
        <w:rPr>
          <w:lang w:val="en-US"/>
        </w:rPr>
        <w:t xml:space="preserve"> relevant for regions with low seismicity</w:t>
      </w:r>
      <w:r>
        <w:rPr>
          <w:lang w:val="en-US"/>
        </w:rPr>
        <w:t xml:space="preserve"> such as</w:t>
      </w:r>
      <w:r w:rsidR="007C2501" w:rsidRPr="00781019">
        <w:rPr>
          <w:lang w:val="en-US"/>
        </w:rPr>
        <w:t xml:space="preserve"> </w:t>
      </w:r>
      <w:r>
        <w:rPr>
          <w:lang w:val="en-US"/>
        </w:rPr>
        <w:t xml:space="preserve">the </w:t>
      </w:r>
      <w:r w:rsidRPr="00781019">
        <w:rPr>
          <w:lang w:val="en-US"/>
        </w:rPr>
        <w:t xml:space="preserve">stable </w:t>
      </w:r>
      <w:r>
        <w:rPr>
          <w:lang w:val="en-US"/>
        </w:rPr>
        <w:t xml:space="preserve">European </w:t>
      </w:r>
      <w:r w:rsidRPr="00781019">
        <w:rPr>
          <w:lang w:val="en-US"/>
        </w:rPr>
        <w:t>continental interiors</w:t>
      </w:r>
      <w:r w:rsidR="009519D1">
        <w:rPr>
          <w:lang w:val="en-US"/>
        </w:rPr>
        <w:t xml:space="preserve">. This is </w:t>
      </w:r>
      <w:r w:rsidR="007C2501" w:rsidRPr="00781019">
        <w:rPr>
          <w:lang w:val="en-US"/>
        </w:rPr>
        <w:t xml:space="preserve">due to </w:t>
      </w:r>
      <w:r w:rsidR="009519D1">
        <w:rPr>
          <w:lang w:val="en-US"/>
        </w:rPr>
        <w:t>the preval</w:t>
      </w:r>
      <w:r w:rsidR="00F93F67">
        <w:rPr>
          <w:lang w:val="en-US"/>
        </w:rPr>
        <w:t>e</w:t>
      </w:r>
      <w:r w:rsidR="009519D1">
        <w:rPr>
          <w:lang w:val="en-US"/>
        </w:rPr>
        <w:t xml:space="preserve">nce of active faults </w:t>
      </w:r>
      <w:r w:rsidR="009519D1">
        <w:rPr>
          <w:lang w:val="en-US"/>
        </w:rPr>
        <w:lastRenderedPageBreak/>
        <w:t xml:space="preserve">with very slow slip rates, </w:t>
      </w:r>
      <w:r w:rsidR="007C2501" w:rsidRPr="00781019">
        <w:rPr>
          <w:lang w:val="en-US"/>
        </w:rPr>
        <w:t>long recurrence intervals for large earthquakes</w:t>
      </w:r>
      <w:r w:rsidR="009519D1">
        <w:rPr>
          <w:lang w:val="en-US"/>
        </w:rPr>
        <w:t>,</w:t>
      </w:r>
      <w:r w:rsidR="007C2501" w:rsidRPr="00781019">
        <w:rPr>
          <w:lang w:val="en-US"/>
        </w:rPr>
        <w:t xml:space="preserve"> and </w:t>
      </w:r>
      <w:r w:rsidR="009519D1">
        <w:rPr>
          <w:lang w:val="en-US"/>
        </w:rPr>
        <w:t xml:space="preserve">the </w:t>
      </w:r>
      <w:r w:rsidR="007C2501" w:rsidRPr="00781019">
        <w:rPr>
          <w:lang w:val="en-US"/>
        </w:rPr>
        <w:t>general paucity of seismological data</w:t>
      </w:r>
      <w:r>
        <w:rPr>
          <w:lang w:val="en-US"/>
        </w:rPr>
        <w:t>.</w:t>
      </w:r>
    </w:p>
    <w:p w:rsidR="009519D1" w:rsidRDefault="00781019" w:rsidP="00860D1D">
      <w:pPr>
        <w:numPr>
          <w:ilvl w:val="0"/>
          <w:numId w:val="46"/>
        </w:numPr>
        <w:rPr>
          <w:lang w:val="en-US"/>
        </w:rPr>
      </w:pPr>
      <w:r w:rsidRPr="009519D1">
        <w:rPr>
          <w:b/>
          <w:i/>
          <w:lang w:val="en-US"/>
        </w:rPr>
        <w:t xml:space="preserve">Availability of paleo-earthquake data </w:t>
      </w:r>
      <w:r w:rsidR="009519D1" w:rsidRPr="009519D1">
        <w:rPr>
          <w:b/>
          <w:i/>
          <w:lang w:val="en-US"/>
        </w:rPr>
        <w:t>and integration of active fault data</w:t>
      </w:r>
      <w:r w:rsidRPr="009519D1">
        <w:rPr>
          <w:b/>
          <w:i/>
          <w:lang w:val="en-US"/>
        </w:rPr>
        <w:t>:</w:t>
      </w:r>
      <w:r>
        <w:rPr>
          <w:lang w:val="en-US"/>
        </w:rPr>
        <w:t xml:space="preserve"> </w:t>
      </w:r>
      <w:r w:rsidR="009519D1">
        <w:rPr>
          <w:lang w:val="en-US"/>
        </w:rPr>
        <w:t>the time</w:t>
      </w:r>
      <w:r w:rsidR="007C2501">
        <w:rPr>
          <w:lang w:val="en-US"/>
        </w:rPr>
        <w:t xml:space="preserve"> coverage </w:t>
      </w:r>
      <w:r w:rsidR="009519D1">
        <w:rPr>
          <w:lang w:val="en-US"/>
        </w:rPr>
        <w:t xml:space="preserve">of earthquake data can </w:t>
      </w:r>
      <w:r w:rsidR="007C2501">
        <w:rPr>
          <w:lang w:val="en-US"/>
        </w:rPr>
        <w:t>be significantly expanded by paleoseismological investigations</w:t>
      </w:r>
      <w:r w:rsidR="009519D1">
        <w:rPr>
          <w:lang w:val="en-US"/>
        </w:rPr>
        <w:t xml:space="preserve"> and the assessment of active faults</w:t>
      </w:r>
      <w:r w:rsidR="007C2501">
        <w:rPr>
          <w:lang w:val="en-US"/>
        </w:rPr>
        <w:t xml:space="preserve">. </w:t>
      </w:r>
      <w:r w:rsidR="00491993">
        <w:rPr>
          <w:lang w:val="en-US"/>
        </w:rPr>
        <w:t>Interpreting the reliability of an SHA therefore should critically review the availability, completeness an</w:t>
      </w:r>
      <w:r w:rsidR="00854592">
        <w:rPr>
          <w:lang w:val="en-US"/>
        </w:rPr>
        <w:t>d</w:t>
      </w:r>
      <w:r w:rsidR="00491993">
        <w:rPr>
          <w:lang w:val="en-US"/>
        </w:rPr>
        <w:t xml:space="preserve"> quality of paleoseismological data </w:t>
      </w:r>
      <w:r w:rsidR="00854592">
        <w:rPr>
          <w:lang w:val="en-US"/>
        </w:rPr>
        <w:t>as well as</w:t>
      </w:r>
      <w:r w:rsidR="00491993">
        <w:rPr>
          <w:lang w:val="en-US"/>
        </w:rPr>
        <w:t xml:space="preserve"> </w:t>
      </w:r>
      <w:r w:rsidR="00854592">
        <w:rPr>
          <w:lang w:val="en-US"/>
        </w:rPr>
        <w:t>the depth of research addressing the a</w:t>
      </w:r>
      <w:r w:rsidR="00854592">
        <w:rPr>
          <w:lang w:val="en-US"/>
        </w:rPr>
        <w:t>s</w:t>
      </w:r>
      <w:r w:rsidR="00854592">
        <w:rPr>
          <w:lang w:val="en-US"/>
        </w:rPr>
        <w:t>sessment of active and inactive faults in the area of consideration.</w:t>
      </w:r>
      <w:r w:rsidR="00854592" w:rsidRPr="00854592">
        <w:rPr>
          <w:lang w:val="en-US"/>
        </w:rPr>
        <w:t xml:space="preserve"> </w:t>
      </w:r>
      <w:r w:rsidR="00854592">
        <w:rPr>
          <w:lang w:val="en-US"/>
        </w:rPr>
        <w:t>In-depth research is expected to i</w:t>
      </w:r>
      <w:r w:rsidR="00854592">
        <w:rPr>
          <w:lang w:val="en-US"/>
        </w:rPr>
        <w:t>n</w:t>
      </w:r>
      <w:r w:rsidR="00854592">
        <w:rPr>
          <w:lang w:val="en-US"/>
        </w:rPr>
        <w:t>crease the reliability of hazard results.</w:t>
      </w:r>
    </w:p>
    <w:p w:rsidR="00001170" w:rsidRDefault="002563E1" w:rsidP="00106060">
      <w:pPr>
        <w:rPr>
          <w:lang w:val="en-US"/>
        </w:rPr>
      </w:pPr>
      <w:r>
        <w:rPr>
          <w:lang w:val="en-US"/>
        </w:rPr>
        <w:br w:type="page"/>
      </w:r>
    </w:p>
    <w:p w:rsidR="00001170" w:rsidRDefault="00FA7DEE" w:rsidP="00106060">
      <w:pPr>
        <w:rPr>
          <w:lang w:val="en-US"/>
        </w:rPr>
      </w:pPr>
      <w:r>
        <w:rPr>
          <w:lang w:val="en-US"/>
        </w:rPr>
        <w:pict>
          <v:shape id="_x0000_i1054" type="#_x0000_t75" style="width:467.7pt;height:296.3pt">
            <v:imagedata r:id="rId84" o:title="CENEC_vs_10000_years"/>
          </v:shape>
        </w:pict>
      </w:r>
    </w:p>
    <w:p w:rsidR="00001170" w:rsidRDefault="00001170" w:rsidP="00106060">
      <w:pPr>
        <w:rPr>
          <w:lang w:val="en-US"/>
        </w:rPr>
      </w:pPr>
    </w:p>
    <w:p w:rsidR="00001170" w:rsidRPr="00923C7F" w:rsidRDefault="00B07AE4" w:rsidP="00001170">
      <w:pPr>
        <w:pStyle w:val="Lgende"/>
        <w:jc w:val="center"/>
        <w:rPr>
          <w:i/>
        </w:rPr>
      </w:pPr>
      <w:bookmarkStart w:id="185" w:name="_Ref451165686"/>
      <w:bookmarkStart w:id="186" w:name="_Ref451165693"/>
      <w:bookmarkStart w:id="187" w:name="_Toc456012058"/>
      <w:r>
        <w:t xml:space="preserve">Figure </w:t>
      </w:r>
      <w:r>
        <w:fldChar w:fldCharType="begin"/>
      </w:r>
      <w:r>
        <w:instrText xml:space="preserve"> SEQ Figure \* ARABIC </w:instrText>
      </w:r>
      <w:r>
        <w:fldChar w:fldCharType="separate"/>
      </w:r>
      <w:r w:rsidR="00173034">
        <w:rPr>
          <w:noProof/>
        </w:rPr>
        <w:t>22</w:t>
      </w:r>
      <w:r>
        <w:fldChar w:fldCharType="end"/>
      </w:r>
      <w:bookmarkEnd w:id="186"/>
      <w:r>
        <w:t xml:space="preserve">. </w:t>
      </w:r>
      <w:r w:rsidR="007D2041">
        <w:t xml:space="preserve">(a) </w:t>
      </w:r>
      <w:r w:rsidR="00912901">
        <w:t>C</w:t>
      </w:r>
      <w:r w:rsidR="00001170">
        <w:t xml:space="preserve">omparison of the time coverage of the European CENEC </w:t>
      </w:r>
      <w:r w:rsidR="00912901">
        <w:t>e</w:t>
      </w:r>
      <w:r w:rsidR="00001170">
        <w:t xml:space="preserve">arthquake </w:t>
      </w:r>
      <w:r w:rsidR="00912901">
        <w:t>c</w:t>
      </w:r>
      <w:r w:rsidR="00001170">
        <w:t xml:space="preserve">atalogue with a 10.000 years time interval </w:t>
      </w:r>
      <w:r w:rsidR="007D2041">
        <w:t>illustrating the extent of extrapolation required to assess events with occu</w:t>
      </w:r>
      <w:r w:rsidR="007D2041">
        <w:t>r</w:t>
      </w:r>
      <w:r w:rsidR="007D2041">
        <w:t>rence probabilities of 10</w:t>
      </w:r>
      <w:r w:rsidR="007D2041" w:rsidRPr="007D2041">
        <w:rPr>
          <w:vertAlign w:val="superscript"/>
        </w:rPr>
        <w:t>-4</w:t>
      </w:r>
      <w:r w:rsidR="007D2041">
        <w:t xml:space="preserve"> per year</w:t>
      </w:r>
      <w:r w:rsidR="007D1AC5">
        <w:t xml:space="preserve"> (“once in 10.000 years”)</w:t>
      </w:r>
      <w:r w:rsidR="007D2041">
        <w:t>. (b</w:t>
      </w:r>
      <w:r w:rsidR="00001170">
        <w:t xml:space="preserve">) </w:t>
      </w:r>
      <w:r w:rsidR="00912901">
        <w:t>Regional coverage of the CENEC catalogue.</w:t>
      </w:r>
      <w:r w:rsidR="00001170">
        <w:t xml:space="preserve"> (</w:t>
      </w:r>
      <w:r w:rsidR="007D2041">
        <w:t>c</w:t>
      </w:r>
      <w:r w:rsidR="00001170">
        <w:t xml:space="preserve">) </w:t>
      </w:r>
      <w:r w:rsidR="00912901">
        <w:t xml:space="preserve">Cumulative number of earthquakes </w:t>
      </w:r>
      <w:r w:rsidR="00912901" w:rsidRPr="00912901">
        <w:t xml:space="preserve">for single magnitude classes </w:t>
      </w:r>
      <w:r w:rsidR="007D2041">
        <w:t xml:space="preserve">of the CENEC Earthquake Catalogue (Grünthal et al., 2009) </w:t>
      </w:r>
      <w:r w:rsidR="00912901" w:rsidRPr="00912901">
        <w:t>plotting versus time.</w:t>
      </w:r>
      <w:r w:rsidR="00912901">
        <w:t xml:space="preserve"> See chapter </w:t>
      </w:r>
      <w:r w:rsidR="00912901">
        <w:fldChar w:fldCharType="begin"/>
      </w:r>
      <w:r w:rsidR="00912901">
        <w:instrText xml:space="preserve"> REF _Ref450905152 \r \h </w:instrText>
      </w:r>
      <w:r w:rsidR="00912901">
        <w:fldChar w:fldCharType="separate"/>
      </w:r>
      <w:r w:rsidR="00173034">
        <w:t>3.3.1</w:t>
      </w:r>
      <w:r w:rsidR="00912901">
        <w:fldChar w:fldCharType="end"/>
      </w:r>
      <w:r w:rsidR="00912901">
        <w:t xml:space="preserve"> for detailed expl</w:t>
      </w:r>
      <w:r w:rsidR="00912901">
        <w:t>a</w:t>
      </w:r>
      <w:r w:rsidR="00912901">
        <w:t>nation.</w:t>
      </w:r>
      <w:r w:rsidR="007D1AC5">
        <w:t xml:space="preserve">   </w:t>
      </w:r>
      <w:r w:rsidR="00001170" w:rsidRPr="00923C7F">
        <w:rPr>
          <w:i/>
        </w:rPr>
        <w:t>[</w:t>
      </w:r>
      <w:r w:rsidR="007D2041" w:rsidRPr="007D2041">
        <w:rPr>
          <w:i/>
        </w:rPr>
        <w:t>CENEC_vs_10000_years</w:t>
      </w:r>
      <w:r w:rsidR="00001170" w:rsidRPr="00923C7F">
        <w:rPr>
          <w:i/>
        </w:rPr>
        <w:t>.JPG]</w:t>
      </w:r>
      <w:bookmarkEnd w:id="185"/>
      <w:bookmarkEnd w:id="187"/>
    </w:p>
    <w:p w:rsidR="00DA4412" w:rsidRDefault="00A26AE2" w:rsidP="00DA4412">
      <w:pPr>
        <w:rPr>
          <w:lang w:val="en-US"/>
        </w:rPr>
      </w:pPr>
      <w:r>
        <w:rPr>
          <w:lang w:val="en-US"/>
        </w:rPr>
        <w:br w:type="page"/>
      </w:r>
      <w:r w:rsidR="00574A0F" w:rsidRPr="00854592">
        <w:rPr>
          <w:lang w:val="en-US"/>
        </w:rPr>
        <w:lastRenderedPageBreak/>
        <w:t xml:space="preserve">Limits to the assessment of seismic ground motion hazards </w:t>
      </w:r>
      <w:r w:rsidR="00DA4412" w:rsidRPr="00854592">
        <w:rPr>
          <w:lang w:val="en-US"/>
        </w:rPr>
        <w:t xml:space="preserve">are further evident from examples of </w:t>
      </w:r>
      <w:r w:rsidR="00574A0F" w:rsidRPr="00854592">
        <w:rPr>
          <w:lang w:val="en-US"/>
        </w:rPr>
        <w:t>diverging results of PSHA</w:t>
      </w:r>
      <w:r w:rsidR="00DA4412" w:rsidRPr="00854592">
        <w:rPr>
          <w:lang w:val="en-US"/>
        </w:rPr>
        <w:t xml:space="preserve"> </w:t>
      </w:r>
      <w:r w:rsidR="00854592" w:rsidRPr="00854592">
        <w:rPr>
          <w:lang w:val="en-US"/>
        </w:rPr>
        <w:t>which were</w:t>
      </w:r>
      <w:r w:rsidR="00DA4412" w:rsidRPr="00854592">
        <w:rPr>
          <w:lang w:val="en-US"/>
        </w:rPr>
        <w:t xml:space="preserve"> performed for the same site </w:t>
      </w:r>
      <w:r w:rsidR="00854592" w:rsidRPr="00854592">
        <w:rPr>
          <w:lang w:val="en-US"/>
        </w:rPr>
        <w:t xml:space="preserve">and revealed different results </w:t>
      </w:r>
      <w:r w:rsidR="00DA4412" w:rsidRPr="00854592">
        <w:rPr>
          <w:lang w:val="en-US"/>
        </w:rPr>
        <w:t>(e.g., USNRC, 2010). The interpr</w:t>
      </w:r>
      <w:r w:rsidR="00DA4412" w:rsidRPr="00854592">
        <w:rPr>
          <w:lang w:val="en-US"/>
        </w:rPr>
        <w:t>e</w:t>
      </w:r>
      <w:r w:rsidR="00DA4412" w:rsidRPr="00854592">
        <w:rPr>
          <w:lang w:val="en-US"/>
        </w:rPr>
        <w:t>tation of hazard</w:t>
      </w:r>
      <w:r w:rsidR="00A07F71">
        <w:rPr>
          <w:lang w:val="en-US"/>
        </w:rPr>
        <w:t xml:space="preserve"> should therefore consider that:</w:t>
      </w:r>
    </w:p>
    <w:p w:rsidR="00DA4412" w:rsidRPr="00A26AE2" w:rsidRDefault="00854592" w:rsidP="00860D1D">
      <w:pPr>
        <w:numPr>
          <w:ilvl w:val="0"/>
          <w:numId w:val="46"/>
        </w:numPr>
        <w:rPr>
          <w:lang w:val="en-US"/>
        </w:rPr>
      </w:pPr>
      <w:r w:rsidRPr="00A26AE2">
        <w:rPr>
          <w:b/>
          <w:i/>
          <w:lang w:val="en-US"/>
        </w:rPr>
        <w:t>The v</w:t>
      </w:r>
      <w:r w:rsidR="007C2501" w:rsidRPr="00A26AE2">
        <w:rPr>
          <w:b/>
          <w:i/>
          <w:lang w:val="en-US"/>
        </w:rPr>
        <w:t>alidation of seismic hazard results is generally not possible.</w:t>
      </w:r>
      <w:r w:rsidR="007C2501" w:rsidRPr="00A26AE2">
        <w:rPr>
          <w:lang w:val="en-US"/>
        </w:rPr>
        <w:t xml:space="preserve"> Comparisons of hazard predictions of the GSHAP Global Seismic Hazard Map (GSHAP, 1999) which were made significant times ago with the seismicity recorded after 1999, however, show </w:t>
      </w:r>
      <w:r w:rsidR="00DA4412" w:rsidRPr="00A26AE2">
        <w:rPr>
          <w:lang w:val="en-US"/>
        </w:rPr>
        <w:t xml:space="preserve">that </w:t>
      </w:r>
      <w:r w:rsidR="007C2501" w:rsidRPr="00A26AE2">
        <w:rPr>
          <w:lang w:val="en-US"/>
        </w:rPr>
        <w:t xml:space="preserve">abundant and severe pitfalls </w:t>
      </w:r>
      <w:r w:rsidR="00DA4412" w:rsidRPr="00A26AE2">
        <w:rPr>
          <w:lang w:val="en-US"/>
        </w:rPr>
        <w:t xml:space="preserve">can occur </w:t>
      </w:r>
      <w:r w:rsidR="007C2501" w:rsidRPr="00A26AE2">
        <w:rPr>
          <w:lang w:val="en-US"/>
        </w:rPr>
        <w:t>in hazard pr</w:t>
      </w:r>
      <w:r w:rsidR="007C2501" w:rsidRPr="00A26AE2">
        <w:rPr>
          <w:lang w:val="en-US"/>
        </w:rPr>
        <w:t>e</w:t>
      </w:r>
      <w:r w:rsidR="007C2501" w:rsidRPr="00A26AE2">
        <w:rPr>
          <w:lang w:val="en-US"/>
        </w:rPr>
        <w:t>diction</w:t>
      </w:r>
      <w:r w:rsidR="00A26AE2">
        <w:rPr>
          <w:rStyle w:val="Appelnotedebasdep"/>
          <w:lang w:val="en-US"/>
        </w:rPr>
        <w:footnoteReference w:id="17"/>
      </w:r>
      <w:r w:rsidR="007C2501" w:rsidRPr="00A26AE2">
        <w:rPr>
          <w:lang w:val="en-US"/>
        </w:rPr>
        <w:t xml:space="preserve"> (Wyss &amp; Rosset, 2013). Similar </w:t>
      </w:r>
      <w:r w:rsidR="00DA4412" w:rsidRPr="00A26AE2">
        <w:rPr>
          <w:lang w:val="en-US"/>
        </w:rPr>
        <w:t xml:space="preserve">underpredictions of seismic hazard were proved </w:t>
      </w:r>
      <w:r w:rsidR="007C2501" w:rsidRPr="00A26AE2">
        <w:rPr>
          <w:lang w:val="en-US"/>
        </w:rPr>
        <w:t>for the hazard maps of Japan</w:t>
      </w:r>
      <w:r w:rsidR="007C2501">
        <w:rPr>
          <w:rStyle w:val="Appelnotedebasdep"/>
          <w:lang w:val="en-US"/>
        </w:rPr>
        <w:footnoteReference w:id="18"/>
      </w:r>
      <w:r w:rsidR="007C2501" w:rsidRPr="00A26AE2">
        <w:rPr>
          <w:lang w:val="en-US"/>
        </w:rPr>
        <w:t xml:space="preserve"> (Geller, 2011) and the USGS (Stein et al., 2012)</w:t>
      </w:r>
      <w:r w:rsidR="00DA4412" w:rsidRPr="00A26AE2">
        <w:rPr>
          <w:lang w:val="en-US"/>
        </w:rPr>
        <w:t xml:space="preserve">. Some reasons for the observed failure of SHA to correctly predict hazard levels </w:t>
      </w:r>
      <w:r w:rsidR="002563E1">
        <w:rPr>
          <w:lang w:val="en-US"/>
        </w:rPr>
        <w:t xml:space="preserve">in addition to the ones listed above </w:t>
      </w:r>
      <w:r w:rsidR="00DA4412" w:rsidRPr="00A26AE2">
        <w:rPr>
          <w:lang w:val="en-US"/>
        </w:rPr>
        <w:t>are di</w:t>
      </w:r>
      <w:r w:rsidR="00A07F71">
        <w:rPr>
          <w:lang w:val="en-US"/>
        </w:rPr>
        <w:t>scussed by Stein et al. (2012).</w:t>
      </w:r>
    </w:p>
    <w:p w:rsidR="00491993" w:rsidRPr="001E2D8C" w:rsidRDefault="00491993" w:rsidP="001E2D8C">
      <w:pPr>
        <w:rPr>
          <w:lang w:val="en-US"/>
        </w:rPr>
      </w:pPr>
    </w:p>
    <w:p w:rsidR="00832F9F" w:rsidRPr="00832F9F" w:rsidRDefault="00D060D7" w:rsidP="001E2D8C">
      <w:pPr>
        <w:pStyle w:val="Titre2"/>
        <w:rPr>
          <w:lang w:val="en-US"/>
        </w:rPr>
      </w:pPr>
      <w:r>
        <w:rPr>
          <w:lang w:val="en-US"/>
        </w:rPr>
        <w:br w:type="page"/>
      </w:r>
      <w:bookmarkStart w:id="188" w:name="_Toc456011920"/>
      <w:r w:rsidR="001E2D8C" w:rsidRPr="001E2D8C">
        <w:rPr>
          <w:lang w:val="en-US"/>
        </w:rPr>
        <w:lastRenderedPageBreak/>
        <w:t>Event modelling</w:t>
      </w:r>
      <w:bookmarkEnd w:id="188"/>
    </w:p>
    <w:p w:rsidR="009F247C" w:rsidRDefault="0064543C" w:rsidP="00A43FCE">
      <w:pPr>
        <w:rPr>
          <w:lang w:val="en-US"/>
        </w:rPr>
      </w:pPr>
      <w:r w:rsidRPr="00BD3125">
        <w:rPr>
          <w:b/>
          <w:i/>
          <w:lang w:val="en-US"/>
        </w:rPr>
        <w:t>Ground motion simulation</w:t>
      </w:r>
      <w:r w:rsidR="009F247C" w:rsidRPr="00BD3125">
        <w:rPr>
          <w:b/>
          <w:i/>
          <w:lang w:val="en-US"/>
        </w:rPr>
        <w:t>.</w:t>
      </w:r>
      <w:r w:rsidR="009F247C">
        <w:rPr>
          <w:lang w:val="en-US"/>
        </w:rPr>
        <w:t xml:space="preserve"> </w:t>
      </w:r>
      <w:r w:rsidR="00832F9F">
        <w:rPr>
          <w:lang w:val="en-US"/>
        </w:rPr>
        <w:t xml:space="preserve">Due to the understanding of physical fault rupture processes </w:t>
      </w:r>
      <w:r>
        <w:rPr>
          <w:lang w:val="en-US"/>
        </w:rPr>
        <w:t xml:space="preserve">ground motion simulation </w:t>
      </w:r>
      <w:r w:rsidR="00832F9F">
        <w:rPr>
          <w:lang w:val="en-US"/>
        </w:rPr>
        <w:t>techniques for ground motion hazard assessment gained significant importance during the last years. Modelling techniques address the simulation of ground motion based on the modelling of fault rupture processes to make predictions</w:t>
      </w:r>
      <w:r w:rsidR="00953665">
        <w:rPr>
          <w:lang w:val="en-US"/>
        </w:rPr>
        <w:t xml:space="preserve"> of the ground motion at a given site</w:t>
      </w:r>
      <w:r w:rsidR="00832F9F">
        <w:rPr>
          <w:lang w:val="en-US"/>
        </w:rPr>
        <w:t xml:space="preserve">. </w:t>
      </w:r>
      <w:r w:rsidR="00953665">
        <w:rPr>
          <w:lang w:val="en-US"/>
        </w:rPr>
        <w:t xml:space="preserve">Doing this strong motion simulation complements or </w:t>
      </w:r>
      <w:r w:rsidR="002F308E">
        <w:rPr>
          <w:lang w:val="en-US"/>
        </w:rPr>
        <w:t>substitutes</w:t>
      </w:r>
      <w:r w:rsidR="00953665">
        <w:rPr>
          <w:lang w:val="en-US"/>
        </w:rPr>
        <w:t xml:space="preserve"> empirical GMPEs, which relate ground motion parameters to earthquake magn</w:t>
      </w:r>
      <w:r w:rsidR="00A07F71">
        <w:rPr>
          <w:lang w:val="en-US"/>
        </w:rPr>
        <w:t>itude and epicentral distances.</w:t>
      </w:r>
    </w:p>
    <w:p w:rsidR="009F247C" w:rsidRDefault="009F247C" w:rsidP="00A43FCE">
      <w:pPr>
        <w:rPr>
          <w:lang w:val="en-US"/>
        </w:rPr>
      </w:pPr>
    </w:p>
    <w:p w:rsidR="00D060D7" w:rsidRDefault="00953665" w:rsidP="00A43FCE">
      <w:pPr>
        <w:rPr>
          <w:lang w:val="en-US"/>
        </w:rPr>
      </w:pPr>
      <w:r>
        <w:rPr>
          <w:lang w:val="en-US"/>
        </w:rPr>
        <w:t xml:space="preserve">In contrast to empirically derived </w:t>
      </w:r>
      <w:r w:rsidR="009F247C">
        <w:rPr>
          <w:lang w:val="en-US"/>
        </w:rPr>
        <w:t xml:space="preserve">GMPE </w:t>
      </w:r>
      <w:r>
        <w:rPr>
          <w:lang w:val="en-US"/>
        </w:rPr>
        <w:t>models</w:t>
      </w:r>
      <w:r w:rsidR="002F308E">
        <w:rPr>
          <w:lang w:val="en-US"/>
        </w:rPr>
        <w:t>,</w:t>
      </w:r>
      <w:r>
        <w:rPr>
          <w:lang w:val="en-US"/>
        </w:rPr>
        <w:t xml:space="preserve"> ground motion simulations </w:t>
      </w:r>
      <w:r w:rsidR="00A43FCE">
        <w:rPr>
          <w:lang w:val="en-US"/>
        </w:rPr>
        <w:t xml:space="preserve">use </w:t>
      </w:r>
      <w:r w:rsidR="00A43FCE" w:rsidRPr="00A43FCE">
        <w:rPr>
          <w:i/>
          <w:lang w:val="en-US"/>
        </w:rPr>
        <w:t xml:space="preserve">“the elastodynamic representation theorem … to compute the total ground motion at a site from time functions of slip on the fault that represent faulting and Green’s functions that represent seismic wave propagation” </w:t>
      </w:r>
      <w:r w:rsidR="00A43FCE">
        <w:rPr>
          <w:lang w:val="en-US"/>
        </w:rPr>
        <w:t>(IAEA, 2015, SR-85)</w:t>
      </w:r>
      <w:r w:rsidR="00A43FCE" w:rsidRPr="00A43FCE">
        <w:rPr>
          <w:lang w:val="en-US"/>
        </w:rPr>
        <w:t>.</w:t>
      </w:r>
      <w:r w:rsidR="00A43FCE">
        <w:rPr>
          <w:lang w:val="en-US"/>
        </w:rPr>
        <w:t xml:space="preserve"> Simulation accounts for fault geometry parameters, fault slip parameters, crustal structure parameters such as seismic wave velocity, density, damping, and soil parameters. Simulations therefore are</w:t>
      </w:r>
      <w:r w:rsidR="00D060D7">
        <w:rPr>
          <w:lang w:val="en-US"/>
        </w:rPr>
        <w:t>, in principle,</w:t>
      </w:r>
      <w:r w:rsidR="00A43FCE">
        <w:rPr>
          <w:lang w:val="en-US"/>
        </w:rPr>
        <w:t xml:space="preserve"> capable to </w:t>
      </w:r>
      <w:r w:rsidR="00D060D7">
        <w:rPr>
          <w:lang w:val="en-US"/>
        </w:rPr>
        <w:t>overcome drawbacks of GMPEs which are related to the common lack of data from locations close to the ruptured fault</w:t>
      </w:r>
      <w:r w:rsidR="00280C98">
        <w:rPr>
          <w:lang w:val="en-US"/>
        </w:rPr>
        <w:t xml:space="preserve"> (i.e., GMPEs are not readily applicable to near-site faults)</w:t>
      </w:r>
      <w:r w:rsidR="00D060D7">
        <w:rPr>
          <w:lang w:val="en-US"/>
        </w:rPr>
        <w:t>, lack of data for larger earthquake magnitudes, and the scarcity of strong-motion data from low-seismicity stable continental regions which prevent the development of r</w:t>
      </w:r>
      <w:r w:rsidR="00601EA7">
        <w:rPr>
          <w:lang w:val="en-US"/>
        </w:rPr>
        <w:t>eliable GMPEs for such regions.</w:t>
      </w:r>
    </w:p>
    <w:p w:rsidR="00D060D7" w:rsidRDefault="00D060D7" w:rsidP="00A43FCE">
      <w:pPr>
        <w:rPr>
          <w:lang w:val="en-US"/>
        </w:rPr>
      </w:pPr>
    </w:p>
    <w:p w:rsidR="00A43FCE" w:rsidRDefault="00D060D7" w:rsidP="00A43FCE">
      <w:pPr>
        <w:rPr>
          <w:lang w:val="en-US"/>
        </w:rPr>
      </w:pPr>
      <w:r>
        <w:rPr>
          <w:lang w:val="en-US"/>
        </w:rPr>
        <w:t>It should be noted, however, that ground motion simulation is only applicable for identif</w:t>
      </w:r>
      <w:r w:rsidR="002F308E">
        <w:rPr>
          <w:lang w:val="en-US"/>
        </w:rPr>
        <w:t>i</w:t>
      </w:r>
      <w:r>
        <w:rPr>
          <w:lang w:val="en-US"/>
        </w:rPr>
        <w:t>able fault and requires detailed imput data. IAEA (2010) lists the following data requirements for simulation:</w:t>
      </w:r>
    </w:p>
    <w:p w:rsidR="00896239" w:rsidRPr="00896239" w:rsidRDefault="00896239" w:rsidP="00896239">
      <w:pPr>
        <w:rPr>
          <w:i/>
          <w:lang w:val="en-US"/>
        </w:rPr>
      </w:pPr>
      <w:r>
        <w:rPr>
          <w:i/>
          <w:lang w:val="en-US"/>
        </w:rPr>
        <w:tab/>
      </w:r>
      <w:r w:rsidRPr="00896239">
        <w:rPr>
          <w:i/>
          <w:lang w:val="en-US"/>
        </w:rPr>
        <w:t xml:space="preserve">(a) </w:t>
      </w:r>
      <w:r>
        <w:rPr>
          <w:i/>
          <w:lang w:val="en-US"/>
        </w:rPr>
        <w:t>“</w:t>
      </w:r>
      <w:r w:rsidRPr="00896239">
        <w:rPr>
          <w:i/>
          <w:lang w:val="en-US"/>
        </w:rPr>
        <w:t>Fault geometry parameters (location, length, width, depth, dip, strike);</w:t>
      </w:r>
    </w:p>
    <w:p w:rsidR="00896239" w:rsidRPr="00896239" w:rsidRDefault="00896239" w:rsidP="00896239">
      <w:pPr>
        <w:ind w:firstLine="709"/>
        <w:rPr>
          <w:i/>
          <w:lang w:val="en-US"/>
        </w:rPr>
      </w:pPr>
      <w:r w:rsidRPr="00896239">
        <w:rPr>
          <w:i/>
          <w:lang w:val="en-US"/>
        </w:rPr>
        <w:t>(b) Macroparameters (seismic moment, average dislocation, rupture velocity, average stress drop);</w:t>
      </w:r>
    </w:p>
    <w:p w:rsidR="00896239" w:rsidRPr="00896239" w:rsidRDefault="00896239" w:rsidP="00896239">
      <w:pPr>
        <w:ind w:firstLine="709"/>
        <w:rPr>
          <w:i/>
          <w:lang w:val="en-US"/>
        </w:rPr>
      </w:pPr>
      <w:r w:rsidRPr="00896239">
        <w:rPr>
          <w:i/>
          <w:lang w:val="en-US"/>
        </w:rPr>
        <w:t>(c) Microparameters (rise time, dislocation, stress parameters for finite fault</w:t>
      </w:r>
      <w:r>
        <w:rPr>
          <w:i/>
          <w:lang w:val="en-US"/>
        </w:rPr>
        <w:t xml:space="preserve"> </w:t>
      </w:r>
      <w:r w:rsidRPr="00896239">
        <w:rPr>
          <w:i/>
          <w:lang w:val="en-US"/>
        </w:rPr>
        <w:t>elements);</w:t>
      </w:r>
    </w:p>
    <w:p w:rsidR="00D060D7" w:rsidRPr="00896239" w:rsidRDefault="00896239" w:rsidP="00896239">
      <w:pPr>
        <w:ind w:left="709"/>
        <w:rPr>
          <w:i/>
          <w:lang w:val="en-US"/>
        </w:rPr>
      </w:pPr>
      <w:r w:rsidRPr="00896239">
        <w:rPr>
          <w:i/>
          <w:lang w:val="en-US"/>
        </w:rPr>
        <w:t>(d) Crustal structure parameters, such as shear wave velocity, density and</w:t>
      </w:r>
      <w:r>
        <w:rPr>
          <w:i/>
          <w:lang w:val="en-US"/>
        </w:rPr>
        <w:t xml:space="preserve"> </w:t>
      </w:r>
      <w:r w:rsidRPr="00896239">
        <w:rPr>
          <w:i/>
          <w:lang w:val="en-US"/>
        </w:rPr>
        <w:t xml:space="preserve">damping of wave propagation (i.e. the wave attenuation Q value).” </w:t>
      </w:r>
      <w:r w:rsidRPr="00896239">
        <w:rPr>
          <w:lang w:val="en-US"/>
        </w:rPr>
        <w:t>(IAEA, 2010, 5.14)</w:t>
      </w:r>
    </w:p>
    <w:p w:rsidR="00A43FCE" w:rsidRDefault="00A43FCE" w:rsidP="00A43FCE">
      <w:pPr>
        <w:rPr>
          <w:lang w:val="en-US"/>
        </w:rPr>
      </w:pPr>
    </w:p>
    <w:p w:rsidR="0064543C" w:rsidRDefault="00896239" w:rsidP="001E2D8C">
      <w:pPr>
        <w:rPr>
          <w:lang w:val="en-US"/>
        </w:rPr>
      </w:pPr>
      <w:r>
        <w:rPr>
          <w:lang w:val="en-US"/>
        </w:rPr>
        <w:t>Ground motion simulation approaches therefore require a very detailed geological and seismologi</w:t>
      </w:r>
      <w:r w:rsidR="00601EA7">
        <w:rPr>
          <w:lang w:val="en-US"/>
        </w:rPr>
        <w:t>cal understanding of faults.</w:t>
      </w:r>
    </w:p>
    <w:p w:rsidR="0064543C" w:rsidRDefault="0064543C" w:rsidP="001E2D8C">
      <w:pPr>
        <w:rPr>
          <w:lang w:val="en-US"/>
        </w:rPr>
      </w:pPr>
    </w:p>
    <w:p w:rsidR="009F247C" w:rsidRDefault="00832F9F" w:rsidP="001E2D8C">
      <w:pPr>
        <w:rPr>
          <w:lang w:val="en-US"/>
        </w:rPr>
      </w:pPr>
      <w:r>
        <w:rPr>
          <w:lang w:val="en-US"/>
        </w:rPr>
        <w:t>IAEA (2015 SR-85) provides detailed information on the methodology</w:t>
      </w:r>
      <w:r w:rsidR="00896239">
        <w:rPr>
          <w:lang w:val="en-US"/>
        </w:rPr>
        <w:t xml:space="preserve"> along with examples of ground motion predi</w:t>
      </w:r>
      <w:r w:rsidR="00896239">
        <w:rPr>
          <w:lang w:val="en-US"/>
        </w:rPr>
        <w:t>c</w:t>
      </w:r>
      <w:r w:rsidR="002F308E">
        <w:rPr>
          <w:lang w:val="en-US"/>
        </w:rPr>
        <w:t>t</w:t>
      </w:r>
      <w:r w:rsidR="00896239">
        <w:rPr>
          <w:lang w:val="en-US"/>
        </w:rPr>
        <w:t>ions based on simulation approaches</w:t>
      </w:r>
      <w:r>
        <w:rPr>
          <w:lang w:val="en-US"/>
        </w:rPr>
        <w:t>. Due to the advances in modelling</w:t>
      </w:r>
      <w:r w:rsidR="002F308E">
        <w:rPr>
          <w:lang w:val="en-US"/>
        </w:rPr>
        <w:t>,</w:t>
      </w:r>
      <w:r>
        <w:rPr>
          <w:lang w:val="en-US"/>
        </w:rPr>
        <w:t xml:space="preserve"> IAEA started r</w:t>
      </w:r>
      <w:r w:rsidR="002563E1">
        <w:rPr>
          <w:lang w:val="en-US"/>
        </w:rPr>
        <w:t>e</w:t>
      </w:r>
      <w:r>
        <w:rPr>
          <w:lang w:val="en-US"/>
        </w:rPr>
        <w:t>vising IAEA SSG-9 (IAEA, 2010) to incorporate modelling techniques.</w:t>
      </w:r>
      <w:r w:rsidR="002563E1">
        <w:rPr>
          <w:lang w:val="en-US"/>
        </w:rPr>
        <w:t xml:space="preserve"> </w:t>
      </w:r>
      <w:r w:rsidR="009F247C">
        <w:rPr>
          <w:lang w:val="en-US"/>
        </w:rPr>
        <w:t>A recent study applying simulation techniques to complement ground motion data has been published for Fennoskandia where ground motion observations for moderate and large eartqhuakes (M &gt; 3) are not available due to the low seismicity of the region (NSK, 2015). In this study mo</w:t>
      </w:r>
      <w:r w:rsidR="009F247C">
        <w:rPr>
          <w:lang w:val="en-US"/>
        </w:rPr>
        <w:t>d</w:t>
      </w:r>
      <w:r w:rsidR="009F247C">
        <w:rPr>
          <w:lang w:val="en-US"/>
        </w:rPr>
        <w:t xml:space="preserve">elling techniques were </w:t>
      </w:r>
      <w:r w:rsidR="00B37526">
        <w:rPr>
          <w:lang w:val="en-US"/>
        </w:rPr>
        <w:t>developed to generate synthetic accelerograms startin</w:t>
      </w:r>
      <w:r w:rsidR="00601EA7">
        <w:rPr>
          <w:lang w:val="en-US"/>
        </w:rPr>
        <w:t>g from fault rupture processes.</w:t>
      </w:r>
    </w:p>
    <w:p w:rsidR="001E2D8C" w:rsidRPr="001E2D8C" w:rsidRDefault="00E01D15" w:rsidP="001E2D8C">
      <w:pPr>
        <w:pStyle w:val="Titre2"/>
        <w:rPr>
          <w:lang w:val="en-US"/>
        </w:rPr>
      </w:pPr>
      <w:bookmarkStart w:id="189" w:name="_Ref451432042"/>
      <w:bookmarkStart w:id="190" w:name="_Ref451432051"/>
      <w:bookmarkStart w:id="191" w:name="_Toc456011921"/>
      <w:r w:rsidRPr="001E2D8C">
        <w:rPr>
          <w:lang w:val="en-US"/>
        </w:rPr>
        <w:lastRenderedPageBreak/>
        <w:t>Use of expert judgment</w:t>
      </w:r>
      <w:bookmarkEnd w:id="189"/>
      <w:bookmarkEnd w:id="190"/>
      <w:bookmarkEnd w:id="191"/>
      <w:r w:rsidRPr="001E2D8C">
        <w:rPr>
          <w:lang w:val="en-US"/>
        </w:rPr>
        <w:t xml:space="preserve"> </w:t>
      </w:r>
    </w:p>
    <w:p w:rsidR="00493383" w:rsidRDefault="001D235D" w:rsidP="001D235D">
      <w:pPr>
        <w:rPr>
          <w:lang w:val="en-US"/>
        </w:rPr>
      </w:pPr>
      <w:r>
        <w:rPr>
          <w:lang w:val="en-US"/>
        </w:rPr>
        <w:t xml:space="preserve">A formalized approach for the use of expert judgement and the role of different experts in </w:t>
      </w:r>
      <w:r w:rsidR="00B54751">
        <w:rPr>
          <w:lang w:val="en-US"/>
        </w:rPr>
        <w:t>P</w:t>
      </w:r>
      <w:r>
        <w:rPr>
          <w:lang w:val="en-US"/>
        </w:rPr>
        <w:t>SHA has initially been proposed by the “</w:t>
      </w:r>
      <w:r w:rsidRPr="001D235D">
        <w:rPr>
          <w:lang w:val="en-US"/>
        </w:rPr>
        <w:t>Senior Seismic Hazard Analysis Committee</w:t>
      </w:r>
      <w:r>
        <w:rPr>
          <w:lang w:val="en-US"/>
        </w:rPr>
        <w:t xml:space="preserve"> (SSHAC)” in the U.S. through the U.S. NRC (SSHAC, 1997</w:t>
      </w:r>
      <w:r w:rsidR="00FD1463">
        <w:rPr>
          <w:lang w:val="en-US"/>
        </w:rPr>
        <w:t>, referred to as “SSHAC Guidelines”</w:t>
      </w:r>
      <w:r>
        <w:rPr>
          <w:lang w:val="en-US"/>
        </w:rPr>
        <w:t xml:space="preserve">). </w:t>
      </w:r>
      <w:r w:rsidRPr="00FD1463">
        <w:rPr>
          <w:i/>
          <w:lang w:val="en-US"/>
        </w:rPr>
        <w:t>“The paper addresses why a</w:t>
      </w:r>
      <w:r w:rsidR="003A37B7">
        <w:rPr>
          <w:i/>
          <w:lang w:val="en-US"/>
        </w:rPr>
        <w:t>nd how multiple expert opi</w:t>
      </w:r>
      <w:r w:rsidR="003A37B7">
        <w:rPr>
          <w:i/>
          <w:lang w:val="en-US"/>
        </w:rPr>
        <w:t>n</w:t>
      </w:r>
      <w:r w:rsidR="003A37B7">
        <w:rPr>
          <w:i/>
          <w:lang w:val="en-US"/>
        </w:rPr>
        <w:t xml:space="preserve">ions </w:t>
      </w:r>
      <w:r w:rsidRPr="00FD1463">
        <w:rPr>
          <w:i/>
          <w:lang w:val="en-US"/>
        </w:rPr>
        <w:t>and the intrinsic uncertainties that attend them</w:t>
      </w:r>
      <w:r w:rsidR="003A37B7">
        <w:rPr>
          <w:i/>
          <w:lang w:val="en-US"/>
        </w:rPr>
        <w:t xml:space="preserve"> </w:t>
      </w:r>
      <w:r w:rsidRPr="00FD1463">
        <w:rPr>
          <w:i/>
          <w:lang w:val="en-US"/>
        </w:rPr>
        <w:t>should be used in Probabilistic Seismic Hazard Analyses (PSHA) for crit</w:t>
      </w:r>
      <w:r w:rsidRPr="00FD1463">
        <w:rPr>
          <w:i/>
          <w:lang w:val="en-US"/>
        </w:rPr>
        <w:t>i</w:t>
      </w:r>
      <w:r w:rsidRPr="00FD1463">
        <w:rPr>
          <w:i/>
          <w:lang w:val="en-US"/>
        </w:rPr>
        <w:t xml:space="preserve">cal facilities such as commercial nuclear power plants.” </w:t>
      </w:r>
      <w:r>
        <w:rPr>
          <w:lang w:val="en-US"/>
        </w:rPr>
        <w:t>(Hanks et al., 2009).</w:t>
      </w:r>
    </w:p>
    <w:p w:rsidR="00FD1463" w:rsidRDefault="00FD1463" w:rsidP="001D235D">
      <w:pPr>
        <w:rPr>
          <w:lang w:val="en-US"/>
        </w:rPr>
      </w:pPr>
    </w:p>
    <w:p w:rsidR="003A37B7" w:rsidRDefault="00FD1463" w:rsidP="009669ED">
      <w:pPr>
        <w:rPr>
          <w:lang w:val="en-US"/>
        </w:rPr>
      </w:pPr>
      <w:r>
        <w:rPr>
          <w:lang w:val="en-US"/>
        </w:rPr>
        <w:t>The principal concern of formalizing the contribution of different experts and expert judgement are the epistemic uncertainties in the inputs to PSHA, which drive the uncertainties of the output of the hazard assessments</w:t>
      </w:r>
      <w:r w:rsidR="009B7B99">
        <w:rPr>
          <w:lang w:val="en-US"/>
        </w:rPr>
        <w:t xml:space="preserve"> (e.g., uncertainties of the key input parameters discussed in chater </w:t>
      </w:r>
      <w:r w:rsidR="009B7B99">
        <w:rPr>
          <w:lang w:val="en-US"/>
        </w:rPr>
        <w:fldChar w:fldCharType="begin"/>
      </w:r>
      <w:r w:rsidR="009B7B99">
        <w:rPr>
          <w:lang w:val="en-US"/>
        </w:rPr>
        <w:instrText xml:space="preserve"> REF _Ref433356063 \r \h </w:instrText>
      </w:r>
      <w:r w:rsidR="009B7B99">
        <w:rPr>
          <w:lang w:val="en-US"/>
        </w:rPr>
      </w:r>
      <w:r w:rsidR="009B7B99">
        <w:rPr>
          <w:lang w:val="en-US"/>
        </w:rPr>
        <w:fldChar w:fldCharType="separate"/>
      </w:r>
      <w:r w:rsidR="00173034">
        <w:rPr>
          <w:lang w:val="en-US"/>
        </w:rPr>
        <w:t>4.2</w:t>
      </w:r>
      <w:r w:rsidR="009B7B99">
        <w:rPr>
          <w:lang w:val="en-US"/>
        </w:rPr>
        <w:fldChar w:fldCharType="end"/>
      </w:r>
      <w:r w:rsidR="009B7B99">
        <w:rPr>
          <w:lang w:val="en-US"/>
        </w:rPr>
        <w:t xml:space="preserve">, page </w:t>
      </w:r>
      <w:r w:rsidR="009B7B99">
        <w:rPr>
          <w:lang w:val="en-US"/>
        </w:rPr>
        <w:fldChar w:fldCharType="begin"/>
      </w:r>
      <w:r w:rsidR="009B7B99">
        <w:rPr>
          <w:lang w:val="en-US"/>
        </w:rPr>
        <w:instrText xml:space="preserve"> PAGEREF _Ref433356088 \h </w:instrText>
      </w:r>
      <w:r w:rsidR="009B7B99">
        <w:rPr>
          <w:lang w:val="en-US"/>
        </w:rPr>
      </w:r>
      <w:r w:rsidR="009B7B99">
        <w:rPr>
          <w:lang w:val="en-US"/>
        </w:rPr>
        <w:fldChar w:fldCharType="separate"/>
      </w:r>
      <w:r w:rsidR="00173034">
        <w:rPr>
          <w:noProof/>
          <w:lang w:val="en-US"/>
        </w:rPr>
        <w:t>69</w:t>
      </w:r>
      <w:r w:rsidR="009B7B99">
        <w:rPr>
          <w:lang w:val="en-US"/>
        </w:rPr>
        <w:fldChar w:fldCharType="end"/>
      </w:r>
      <w:r w:rsidR="009B7B99">
        <w:rPr>
          <w:lang w:val="en-US"/>
        </w:rPr>
        <w:t xml:space="preserve"> ff)</w:t>
      </w:r>
      <w:r>
        <w:rPr>
          <w:lang w:val="en-US"/>
        </w:rPr>
        <w:t xml:space="preserve">. </w:t>
      </w:r>
      <w:r w:rsidR="003A37B7">
        <w:rPr>
          <w:lang w:val="en-US"/>
        </w:rPr>
        <w:t>The SSHAC approach to PSHA has been developed to account for these uncertainties as fully as possible. Accordingly, USNRC (2012) summarizes the purp</w:t>
      </w:r>
      <w:r w:rsidR="00601EA7">
        <w:rPr>
          <w:lang w:val="en-US"/>
        </w:rPr>
        <w:t>ose of the approach as follows:</w:t>
      </w:r>
    </w:p>
    <w:p w:rsidR="003A37B7" w:rsidRDefault="003A37B7" w:rsidP="009669ED">
      <w:pPr>
        <w:rPr>
          <w:lang w:val="en-US"/>
        </w:rPr>
      </w:pPr>
    </w:p>
    <w:p w:rsidR="003A37B7" w:rsidRPr="003A37B7" w:rsidRDefault="003A37B7" w:rsidP="003A37B7">
      <w:pPr>
        <w:ind w:left="709"/>
        <w:rPr>
          <w:i/>
          <w:lang w:val="en-US"/>
        </w:rPr>
      </w:pPr>
      <w:r w:rsidRPr="003A37B7">
        <w:rPr>
          <w:i/>
          <w:lang w:val="en-US"/>
        </w:rPr>
        <w:t>“The fundamental goal of a SSHAC process is to carry out properly and document completely the activ</w:t>
      </w:r>
      <w:r w:rsidRPr="003A37B7">
        <w:rPr>
          <w:i/>
          <w:lang w:val="en-US"/>
        </w:rPr>
        <w:t>i</w:t>
      </w:r>
      <w:r w:rsidRPr="003A37B7">
        <w:rPr>
          <w:i/>
          <w:lang w:val="en-US"/>
        </w:rPr>
        <w:t>ties of evaluation and integration, defined as:</w:t>
      </w:r>
    </w:p>
    <w:p w:rsidR="003A37B7" w:rsidRPr="003A37B7" w:rsidRDefault="003A37B7" w:rsidP="003A37B7">
      <w:pPr>
        <w:ind w:left="709"/>
        <w:rPr>
          <w:i/>
          <w:u w:val="single"/>
          <w:lang w:val="en-US"/>
        </w:rPr>
      </w:pPr>
    </w:p>
    <w:p w:rsidR="003A37B7" w:rsidRPr="003A37B7" w:rsidRDefault="003A37B7" w:rsidP="003A37B7">
      <w:pPr>
        <w:ind w:left="709"/>
        <w:rPr>
          <w:i/>
          <w:lang w:val="en-US"/>
        </w:rPr>
      </w:pPr>
      <w:r w:rsidRPr="003A37B7">
        <w:rPr>
          <w:i/>
          <w:u w:val="single"/>
          <w:lang w:val="en-US"/>
        </w:rPr>
        <w:t>Evaluation:</w:t>
      </w:r>
      <w:r w:rsidRPr="003A37B7">
        <w:rPr>
          <w:i/>
          <w:lang w:val="en-US"/>
        </w:rPr>
        <w:t xml:space="preserve"> The consideration of the complete set of data, models, and methods proposed by the larger technical community that are relevant to the hazard analysis.</w:t>
      </w:r>
    </w:p>
    <w:p w:rsidR="003A37B7" w:rsidRPr="003A37B7" w:rsidRDefault="003A37B7" w:rsidP="003A37B7">
      <w:pPr>
        <w:ind w:left="709"/>
        <w:rPr>
          <w:i/>
          <w:u w:val="single"/>
          <w:lang w:val="en-US"/>
        </w:rPr>
      </w:pPr>
    </w:p>
    <w:p w:rsidR="003A37B7" w:rsidRPr="003A37B7" w:rsidRDefault="003A37B7" w:rsidP="003A37B7">
      <w:pPr>
        <w:ind w:left="709"/>
        <w:rPr>
          <w:i/>
          <w:lang w:val="en-US"/>
        </w:rPr>
      </w:pPr>
      <w:r w:rsidRPr="003A37B7">
        <w:rPr>
          <w:i/>
          <w:u w:val="single"/>
          <w:lang w:val="en-US"/>
        </w:rPr>
        <w:t>Integration:</w:t>
      </w:r>
      <w:r w:rsidRPr="003A37B7">
        <w:rPr>
          <w:i/>
          <w:lang w:val="en-US"/>
        </w:rPr>
        <w:t xml:space="preserve"> Representing the center, body, and range of technically defensible interpretations in light of the evaluation process (i.e., informed by the assessment of existing data, models, and methods).”</w:t>
      </w:r>
    </w:p>
    <w:p w:rsidR="003A37B7" w:rsidRPr="003A37B7" w:rsidRDefault="003A37B7" w:rsidP="003A37B7">
      <w:pPr>
        <w:ind w:left="709"/>
        <w:rPr>
          <w:lang w:val="en-US"/>
        </w:rPr>
      </w:pPr>
      <w:r>
        <w:rPr>
          <w:lang w:val="en-US"/>
        </w:rPr>
        <w:t>(USNRC, 2012, p. XVI-XVII)</w:t>
      </w:r>
    </w:p>
    <w:p w:rsidR="003A37B7" w:rsidRDefault="003A37B7" w:rsidP="009669ED">
      <w:pPr>
        <w:rPr>
          <w:lang w:val="en-US"/>
        </w:rPr>
      </w:pPr>
    </w:p>
    <w:p w:rsidR="009669ED" w:rsidRDefault="00E958F3" w:rsidP="009669ED">
      <w:pPr>
        <w:rPr>
          <w:lang w:val="en-US"/>
        </w:rPr>
      </w:pPr>
      <w:r w:rsidRPr="00E958F3">
        <w:rPr>
          <w:lang w:val="en-US"/>
        </w:rPr>
        <w:t>The process of a PSHA using a SSHAC approach is summarized in Hanks et al. (2009) :</w:t>
      </w:r>
      <w:r>
        <w:rPr>
          <w:i/>
          <w:lang w:val="en-US"/>
        </w:rPr>
        <w:t xml:space="preserve"> </w:t>
      </w:r>
      <w:r w:rsidR="00FD1463" w:rsidRPr="00E958F3">
        <w:rPr>
          <w:i/>
          <w:lang w:val="en-US"/>
        </w:rPr>
        <w:t xml:space="preserve">“SSHAC Guidelines </w:t>
      </w:r>
      <w:r>
        <w:rPr>
          <w:i/>
          <w:lang w:val="en-US"/>
        </w:rPr>
        <w:t xml:space="preserve">[SSHAC,1997] </w:t>
      </w:r>
      <w:r w:rsidR="00FD1463" w:rsidRPr="00E958F3">
        <w:rPr>
          <w:i/>
          <w:lang w:val="en-US"/>
        </w:rPr>
        <w:t>are concerned with how to capture, quantify, and communicate both the implicit and explicit</w:t>
      </w:r>
      <w:r w:rsidR="00FD1463" w:rsidRPr="00FD1463">
        <w:rPr>
          <w:i/>
          <w:lang w:val="en-US"/>
        </w:rPr>
        <w:t xml:space="preserve"> u</w:t>
      </w:r>
      <w:r w:rsidR="00FD1463" w:rsidRPr="00FD1463">
        <w:rPr>
          <w:i/>
          <w:lang w:val="en-US"/>
        </w:rPr>
        <w:t>n</w:t>
      </w:r>
      <w:r w:rsidR="00FD1463" w:rsidRPr="00FD1463">
        <w:rPr>
          <w:i/>
          <w:lang w:val="en-US"/>
        </w:rPr>
        <w:t>certainties expressed by multiple experts.</w:t>
      </w:r>
      <w:r w:rsidR="009B7B99">
        <w:rPr>
          <w:i/>
          <w:lang w:val="en-US"/>
        </w:rPr>
        <w:t xml:space="preserve">   …   </w:t>
      </w:r>
      <w:r w:rsidR="009B7B99" w:rsidRPr="009B7B99">
        <w:rPr>
          <w:i/>
          <w:lang w:val="en-US"/>
        </w:rPr>
        <w:t>SSHAC (1997) proposed a process for obtaining and aggregating expert interpretations, judgments, and models … . This process begins with diverse inputs, such as differing mo</w:t>
      </w:r>
      <w:r w:rsidR="009B7B99" w:rsidRPr="009B7B99">
        <w:rPr>
          <w:i/>
          <w:lang w:val="en-US"/>
        </w:rPr>
        <w:t>d</w:t>
      </w:r>
      <w:r w:rsidR="009B7B99" w:rsidRPr="009B7B99">
        <w:rPr>
          <w:i/>
          <w:lang w:val="en-US"/>
        </w:rPr>
        <w:t>els and interpretations obtained from multiple experts, which are then evaluated through an interactive process overseen by a technical integrator</w:t>
      </w:r>
      <w:bookmarkStart w:id="192" w:name="_Ref433371077"/>
      <w:r>
        <w:rPr>
          <w:rStyle w:val="Appelnotedebasdep"/>
          <w:i/>
          <w:lang w:val="en-US"/>
        </w:rPr>
        <w:footnoteReference w:id="19"/>
      </w:r>
      <w:bookmarkEnd w:id="192"/>
      <w:r w:rsidR="009B7B99" w:rsidRPr="009B7B99">
        <w:rPr>
          <w:i/>
          <w:lang w:val="en-US"/>
        </w:rPr>
        <w:t xml:space="preserve"> (TI)</w:t>
      </w:r>
      <w:r w:rsidR="009B7B99">
        <w:rPr>
          <w:i/>
          <w:lang w:val="en-US"/>
        </w:rPr>
        <w:t xml:space="preserve"> </w:t>
      </w:r>
      <w:r w:rsidR="009B7B99" w:rsidRPr="009B7B99">
        <w:rPr>
          <w:i/>
          <w:lang w:val="en-US"/>
        </w:rPr>
        <w:t>or technical facilitator/integrator</w:t>
      </w:r>
      <w:r w:rsidRPr="00E958F3">
        <w:rPr>
          <w:i/>
          <w:vertAlign w:val="superscript"/>
          <w:lang w:val="en-US"/>
        </w:rPr>
        <w:fldChar w:fldCharType="begin"/>
      </w:r>
      <w:r w:rsidRPr="00E958F3">
        <w:rPr>
          <w:i/>
          <w:vertAlign w:val="superscript"/>
          <w:lang w:val="en-US"/>
        </w:rPr>
        <w:instrText xml:space="preserve"> NOTEREF _Ref433371077 \h </w:instrText>
      </w:r>
      <w:r w:rsidRPr="00E958F3">
        <w:rPr>
          <w:i/>
          <w:vertAlign w:val="superscript"/>
          <w:lang w:val="en-US"/>
        </w:rPr>
      </w:r>
      <w:r>
        <w:rPr>
          <w:i/>
          <w:vertAlign w:val="superscript"/>
          <w:lang w:val="en-US"/>
        </w:rPr>
        <w:instrText xml:space="preserve"> \* MERGEFORMAT </w:instrText>
      </w:r>
      <w:r w:rsidRPr="00E958F3">
        <w:rPr>
          <w:i/>
          <w:vertAlign w:val="superscript"/>
          <w:lang w:val="en-US"/>
        </w:rPr>
        <w:fldChar w:fldCharType="separate"/>
      </w:r>
      <w:r w:rsidR="00173034">
        <w:rPr>
          <w:i/>
          <w:vertAlign w:val="superscript"/>
          <w:lang w:val="en-US"/>
        </w:rPr>
        <w:t>19</w:t>
      </w:r>
      <w:r w:rsidRPr="00E958F3">
        <w:rPr>
          <w:i/>
          <w:vertAlign w:val="superscript"/>
          <w:lang w:val="en-US"/>
        </w:rPr>
        <w:fldChar w:fldCharType="end"/>
      </w:r>
      <w:r w:rsidR="009B7B99" w:rsidRPr="009B7B99">
        <w:rPr>
          <w:i/>
          <w:lang w:val="en-US"/>
        </w:rPr>
        <w:t xml:space="preserve"> (TFI). This process results in a model representing not only the experts</w:t>
      </w:r>
      <w:r w:rsidR="009B7B99">
        <w:rPr>
          <w:i/>
          <w:lang w:val="en-US"/>
        </w:rPr>
        <w:t xml:space="preserve"> </w:t>
      </w:r>
      <w:r w:rsidR="009B7B99" w:rsidRPr="009B7B99">
        <w:rPr>
          <w:i/>
          <w:lang w:val="en-US"/>
        </w:rPr>
        <w:t>from whom it was derived but, ideally, also the larger informed technical community</w:t>
      </w:r>
      <w:r w:rsidRPr="00E958F3">
        <w:rPr>
          <w:i/>
          <w:vertAlign w:val="superscript"/>
          <w:lang w:val="en-US"/>
        </w:rPr>
        <w:fldChar w:fldCharType="begin"/>
      </w:r>
      <w:r w:rsidRPr="00E958F3">
        <w:rPr>
          <w:i/>
          <w:vertAlign w:val="superscript"/>
          <w:lang w:val="en-US"/>
        </w:rPr>
        <w:instrText xml:space="preserve"> NOTEREF _Ref433371077 \h </w:instrText>
      </w:r>
      <w:r w:rsidRPr="00E958F3">
        <w:rPr>
          <w:i/>
          <w:vertAlign w:val="superscript"/>
          <w:lang w:val="en-US"/>
        </w:rPr>
      </w:r>
      <w:r>
        <w:rPr>
          <w:i/>
          <w:vertAlign w:val="superscript"/>
          <w:lang w:val="en-US"/>
        </w:rPr>
        <w:instrText xml:space="preserve"> \* MERGEFORMAT </w:instrText>
      </w:r>
      <w:r w:rsidRPr="00E958F3">
        <w:rPr>
          <w:i/>
          <w:vertAlign w:val="superscript"/>
          <w:lang w:val="en-US"/>
        </w:rPr>
        <w:fldChar w:fldCharType="separate"/>
      </w:r>
      <w:r w:rsidR="00173034">
        <w:rPr>
          <w:i/>
          <w:vertAlign w:val="superscript"/>
          <w:lang w:val="en-US"/>
        </w:rPr>
        <w:t>19</w:t>
      </w:r>
      <w:r w:rsidRPr="00E958F3">
        <w:rPr>
          <w:i/>
          <w:vertAlign w:val="superscript"/>
          <w:lang w:val="en-US"/>
        </w:rPr>
        <w:fldChar w:fldCharType="end"/>
      </w:r>
      <w:r w:rsidR="009B7B99" w:rsidRPr="009B7B99">
        <w:rPr>
          <w:i/>
          <w:lang w:val="en-US"/>
        </w:rPr>
        <w:t xml:space="preserve"> (ITC) that the</w:t>
      </w:r>
      <w:r w:rsidR="009B7B99">
        <w:rPr>
          <w:i/>
          <w:lang w:val="en-US"/>
        </w:rPr>
        <w:t xml:space="preserve"> </w:t>
      </w:r>
      <w:r w:rsidR="009B7B99" w:rsidRPr="009B7B99">
        <w:rPr>
          <w:i/>
          <w:lang w:val="en-US"/>
        </w:rPr>
        <w:t>experts in principle represent.</w:t>
      </w:r>
      <w:r w:rsidR="009669ED">
        <w:rPr>
          <w:i/>
          <w:lang w:val="en-US"/>
        </w:rPr>
        <w:t xml:space="preserve"> … </w:t>
      </w:r>
      <w:r w:rsidR="009669ED" w:rsidRPr="009669ED">
        <w:rPr>
          <w:i/>
          <w:lang w:val="en-US"/>
        </w:rPr>
        <w:t>The goal of all this interaction is “to represent the center, body, and range of technical</w:t>
      </w:r>
      <w:r w:rsidR="009669ED">
        <w:rPr>
          <w:i/>
          <w:lang w:val="en-US"/>
        </w:rPr>
        <w:t xml:space="preserve"> </w:t>
      </w:r>
      <w:r w:rsidR="009669ED" w:rsidRPr="009669ED">
        <w:rPr>
          <w:i/>
          <w:lang w:val="en-US"/>
        </w:rPr>
        <w:t>interpretations that the larger informed technical community would have if they were to conduct the</w:t>
      </w:r>
      <w:r w:rsidR="007A5C96">
        <w:rPr>
          <w:i/>
          <w:lang w:val="en-US"/>
        </w:rPr>
        <w:t xml:space="preserve"> </w:t>
      </w:r>
      <w:r w:rsidR="004D245D">
        <w:rPr>
          <w:i/>
          <w:lang w:val="en-US"/>
        </w:rPr>
        <w:t xml:space="preserve">[seismic hazard] </w:t>
      </w:r>
      <w:r w:rsidR="009669ED" w:rsidRPr="009669ED">
        <w:rPr>
          <w:i/>
          <w:lang w:val="en-US"/>
        </w:rPr>
        <w:t>study.”</w:t>
      </w:r>
      <w:r w:rsidR="00FD1463" w:rsidRPr="00FD1463">
        <w:rPr>
          <w:i/>
          <w:lang w:val="en-US"/>
        </w:rPr>
        <w:t xml:space="preserve">” </w:t>
      </w:r>
      <w:r w:rsidR="00FD1463">
        <w:rPr>
          <w:lang w:val="en-US"/>
        </w:rPr>
        <w:t>(Hanks et al., 2009).</w:t>
      </w:r>
    </w:p>
    <w:p w:rsidR="009669ED" w:rsidRDefault="009669ED" w:rsidP="009669ED">
      <w:pPr>
        <w:rPr>
          <w:lang w:val="en-US"/>
        </w:rPr>
      </w:pPr>
    </w:p>
    <w:p w:rsidR="00E958F3" w:rsidRPr="00042295" w:rsidRDefault="00A627E4" w:rsidP="00042295">
      <w:pPr>
        <w:rPr>
          <w:lang w:val="en-US"/>
        </w:rPr>
      </w:pPr>
      <w:r>
        <w:rPr>
          <w:lang w:val="en-US"/>
        </w:rPr>
        <w:t xml:space="preserve">SSHAC </w:t>
      </w:r>
      <w:r w:rsidR="004D245D">
        <w:rPr>
          <w:lang w:val="en-US"/>
        </w:rPr>
        <w:t xml:space="preserve">consequently established </w:t>
      </w:r>
      <w:r>
        <w:rPr>
          <w:lang w:val="en-US"/>
        </w:rPr>
        <w:t>formalized process</w:t>
      </w:r>
      <w:r w:rsidR="004D245D">
        <w:rPr>
          <w:lang w:val="en-US"/>
        </w:rPr>
        <w:t>es to perform a PSHA</w:t>
      </w:r>
      <w:r>
        <w:rPr>
          <w:lang w:val="en-US"/>
        </w:rPr>
        <w:t xml:space="preserve"> with different roles attributed to the contributing technical experts</w:t>
      </w:r>
      <w:r w:rsidR="007A5C96">
        <w:rPr>
          <w:lang w:val="en-US"/>
        </w:rPr>
        <w:t xml:space="preserve"> (</w:t>
      </w:r>
      <w:r w:rsidR="004D245D">
        <w:rPr>
          <w:lang w:val="en-US"/>
        </w:rPr>
        <w:t>SSHAC, 1997</w:t>
      </w:r>
      <w:r w:rsidR="007A5C96">
        <w:rPr>
          <w:lang w:val="en-US"/>
        </w:rPr>
        <w:t>)</w:t>
      </w:r>
      <w:r>
        <w:rPr>
          <w:lang w:val="en-US"/>
        </w:rPr>
        <w:t xml:space="preserve">. </w:t>
      </w:r>
      <w:r w:rsidR="004D245D">
        <w:rPr>
          <w:lang w:val="en-US"/>
        </w:rPr>
        <w:t xml:space="preserve">The interaction between experts which is required in some levels of </w:t>
      </w:r>
      <w:r w:rsidR="004D245D">
        <w:rPr>
          <w:lang w:val="en-US"/>
        </w:rPr>
        <w:lastRenderedPageBreak/>
        <w:t xml:space="preserve">the SSHAC approach is regarded as the major difference between SSHAC and conventional expert elicitation which involve independent experts as well but do not support their interaction. </w:t>
      </w:r>
      <w:r w:rsidR="00042295">
        <w:rPr>
          <w:lang w:val="en-US"/>
        </w:rPr>
        <w:t>Another i</w:t>
      </w:r>
      <w:r w:rsidR="00042295" w:rsidRPr="00042295">
        <w:rPr>
          <w:lang w:val="en-US"/>
        </w:rPr>
        <w:t>mportant difference</w:t>
      </w:r>
      <w:r w:rsidR="00042295">
        <w:rPr>
          <w:lang w:val="en-US"/>
        </w:rPr>
        <w:t xml:space="preserve"> between the SSHAC approach and expert elicitation</w:t>
      </w:r>
      <w:r w:rsidR="00042295" w:rsidRPr="00042295">
        <w:rPr>
          <w:lang w:val="en-US"/>
        </w:rPr>
        <w:t xml:space="preserve"> is that SSHAC-based studies integrate rather than aggregate the asses</w:t>
      </w:r>
      <w:r w:rsidR="00042295" w:rsidRPr="00042295">
        <w:rPr>
          <w:lang w:val="en-US"/>
        </w:rPr>
        <w:t>s</w:t>
      </w:r>
      <w:r w:rsidR="00042295" w:rsidRPr="00042295">
        <w:rPr>
          <w:lang w:val="en-US"/>
        </w:rPr>
        <w:t xml:space="preserve">ments of individual experts </w:t>
      </w:r>
      <w:r w:rsidR="00E958F3">
        <w:rPr>
          <w:lang w:val="en-US"/>
        </w:rPr>
        <w:t>by stimulating dis</w:t>
      </w:r>
      <w:r w:rsidR="00B550EB">
        <w:rPr>
          <w:lang w:val="en-US"/>
        </w:rPr>
        <w:t>c</w:t>
      </w:r>
      <w:r w:rsidR="00E958F3">
        <w:rPr>
          <w:lang w:val="en-US"/>
        </w:rPr>
        <w:t xml:space="preserve">ussions between the experts and the revision of models </w:t>
      </w:r>
      <w:r w:rsidR="00042295">
        <w:rPr>
          <w:lang w:val="en-US"/>
        </w:rPr>
        <w:t>(USNRC, 2012).</w:t>
      </w:r>
    </w:p>
    <w:p w:rsidR="007A5C96" w:rsidRDefault="007A5C96" w:rsidP="00FD1463">
      <w:pPr>
        <w:rPr>
          <w:lang w:val="en-US"/>
        </w:rPr>
      </w:pPr>
    </w:p>
    <w:p w:rsidR="00A627E4" w:rsidRDefault="00A627E4" w:rsidP="00FD1463">
      <w:pPr>
        <w:rPr>
          <w:lang w:val="en-US"/>
        </w:rPr>
      </w:pPr>
      <w:r>
        <w:rPr>
          <w:lang w:val="en-US"/>
        </w:rPr>
        <w:t>SSHAC (1997) define</w:t>
      </w:r>
      <w:r w:rsidR="00FB2582">
        <w:rPr>
          <w:lang w:val="en-US"/>
        </w:rPr>
        <w:t>s</w:t>
      </w:r>
      <w:r>
        <w:rPr>
          <w:lang w:val="en-US"/>
        </w:rPr>
        <w:t xml:space="preserve"> four levels of PSHA studies </w:t>
      </w:r>
      <w:r w:rsidR="00E958F3">
        <w:rPr>
          <w:lang w:val="en-US"/>
        </w:rPr>
        <w:t>referred to as Level 1 to Level 4</w:t>
      </w:r>
      <w:r w:rsidR="003C4C72">
        <w:rPr>
          <w:lang w:val="en-US"/>
        </w:rPr>
        <w:t xml:space="preserve">. Among these Level </w:t>
      </w:r>
      <w:r w:rsidR="00E958F3">
        <w:rPr>
          <w:lang w:val="en-US"/>
        </w:rPr>
        <w:t xml:space="preserve">4 </w:t>
      </w:r>
      <w:r w:rsidR="003C4C72">
        <w:rPr>
          <w:lang w:val="en-US"/>
        </w:rPr>
        <w:t xml:space="preserve">studies </w:t>
      </w:r>
      <w:r w:rsidR="00E958F3">
        <w:rPr>
          <w:lang w:val="en-US"/>
        </w:rPr>
        <w:t>are regarded to capture and quantify the uncertainties in SHA to the best extent.</w:t>
      </w:r>
      <w:r w:rsidR="003C4C72">
        <w:rPr>
          <w:lang w:val="en-US"/>
        </w:rPr>
        <w:t xml:space="preserve"> The levels </w:t>
      </w:r>
      <w:r>
        <w:rPr>
          <w:lang w:val="en-US"/>
        </w:rPr>
        <w:t xml:space="preserve">differ by their complexity and required resources. </w:t>
      </w:r>
      <w:r w:rsidR="00FB2582">
        <w:rPr>
          <w:lang w:val="en-US"/>
        </w:rPr>
        <w:t xml:space="preserve">Both </w:t>
      </w:r>
      <w:r>
        <w:rPr>
          <w:lang w:val="en-US"/>
        </w:rPr>
        <w:t>increase from Level 1 to Level 4</w:t>
      </w:r>
      <w:r w:rsidR="00FB2582">
        <w:rPr>
          <w:lang w:val="en-US"/>
        </w:rPr>
        <w:t xml:space="preserve">. </w:t>
      </w:r>
      <w:r w:rsidR="003C4C72">
        <w:rPr>
          <w:lang w:val="en-US"/>
        </w:rPr>
        <w:t xml:space="preserve">A short summary of the main elements of each of these levels and the most important differences between them is provided in </w:t>
      </w:r>
      <w:r w:rsidR="003C4C72">
        <w:rPr>
          <w:lang w:val="en-US"/>
        </w:rPr>
        <w:fldChar w:fldCharType="begin"/>
      </w:r>
      <w:r w:rsidR="003C4C72">
        <w:rPr>
          <w:lang w:val="en-US"/>
        </w:rPr>
        <w:instrText xml:space="preserve"> REF _Ref433371532 \h </w:instrText>
      </w:r>
      <w:r w:rsidR="003C4C72">
        <w:rPr>
          <w:lang w:val="en-US"/>
        </w:rPr>
      </w:r>
      <w:r w:rsidR="003C4C72">
        <w:rPr>
          <w:lang w:val="en-US"/>
        </w:rPr>
        <w:fldChar w:fldCharType="separate"/>
      </w:r>
      <w:r w:rsidR="00173034">
        <w:t xml:space="preserve">Table </w:t>
      </w:r>
      <w:r w:rsidR="00173034">
        <w:rPr>
          <w:noProof/>
        </w:rPr>
        <w:t>11</w:t>
      </w:r>
      <w:r w:rsidR="003C4C72">
        <w:rPr>
          <w:lang w:val="en-US"/>
        </w:rPr>
        <w:fldChar w:fldCharType="end"/>
      </w:r>
      <w:r w:rsidR="003C4C72">
        <w:rPr>
          <w:lang w:val="en-US"/>
        </w:rPr>
        <w:t>. Detailed descriptions of the four approaches are provided by SSHAC (1997), Hanks et al. (2009), and USNRC (2012).</w:t>
      </w:r>
    </w:p>
    <w:p w:rsidR="003C4C72" w:rsidRDefault="003C4C72" w:rsidP="00FD1463">
      <w:pPr>
        <w:rPr>
          <w:lang w:val="en-US"/>
        </w:rPr>
      </w:pPr>
    </w:p>
    <w:p w:rsidR="003C4C72" w:rsidRDefault="003C4C72" w:rsidP="003C4C72">
      <w:pPr>
        <w:rPr>
          <w:lang w:val="en-US"/>
        </w:rPr>
      </w:pPr>
      <w:r w:rsidRPr="00EE767C">
        <w:rPr>
          <w:lang w:val="en-US"/>
        </w:rPr>
        <w:t>Detailed guidelines for the implementation of SSHAC Level 3 and Level 4 seismic hazard studies are provided by</w:t>
      </w:r>
      <w:r>
        <w:rPr>
          <w:lang w:val="en-US"/>
        </w:rPr>
        <w:t xml:space="preserve"> USNRC (2012). Guidance includes definitions of the roles of involved experts, explanation of the SSHAC concept, structure and process, and implementation guidelines. Hanks et al. (2009) include reports on the experience gat</w:t>
      </w:r>
      <w:r>
        <w:rPr>
          <w:lang w:val="en-US"/>
        </w:rPr>
        <w:t>h</w:t>
      </w:r>
      <w:r>
        <w:rPr>
          <w:lang w:val="en-US"/>
        </w:rPr>
        <w:t>ered during past SSHAC Level 3 and 4 studies along with further references.</w:t>
      </w:r>
    </w:p>
    <w:p w:rsidR="003C4C72" w:rsidRDefault="003C4C72" w:rsidP="003C4C72">
      <w:pPr>
        <w:rPr>
          <w:lang w:val="en-US"/>
        </w:rPr>
      </w:pPr>
    </w:p>
    <w:p w:rsidR="00B6288F" w:rsidRDefault="00942F8A" w:rsidP="00FD1463">
      <w:pPr>
        <w:rPr>
          <w:lang w:val="en-US"/>
        </w:rPr>
      </w:pPr>
      <w:r>
        <w:rPr>
          <w:lang w:val="en-US"/>
        </w:rPr>
        <w:t xml:space="preserve">For </w:t>
      </w:r>
      <w:r w:rsidRPr="00942F8A">
        <w:rPr>
          <w:lang w:val="en-US"/>
        </w:rPr>
        <w:t xml:space="preserve">existing </w:t>
      </w:r>
      <w:r>
        <w:rPr>
          <w:lang w:val="en-US"/>
        </w:rPr>
        <w:t xml:space="preserve">European NPPs </w:t>
      </w:r>
      <w:r w:rsidR="006C581C">
        <w:rPr>
          <w:lang w:val="en-US"/>
        </w:rPr>
        <w:t>a full-scope</w:t>
      </w:r>
      <w:r w:rsidRPr="00942F8A">
        <w:rPr>
          <w:lang w:val="en-US"/>
        </w:rPr>
        <w:t xml:space="preserve"> SSHAC Level 4 </w:t>
      </w:r>
      <w:r>
        <w:rPr>
          <w:lang w:val="en-US"/>
        </w:rPr>
        <w:t xml:space="preserve">approach has so far only been applied to the Swiss </w:t>
      </w:r>
      <w:r w:rsidR="006C581C">
        <w:rPr>
          <w:lang w:val="en-US"/>
        </w:rPr>
        <w:t xml:space="preserve">plants in the framework of the </w:t>
      </w:r>
      <w:r w:rsidRPr="00942F8A">
        <w:rPr>
          <w:lang w:val="en-US"/>
        </w:rPr>
        <w:t>PEGASOS</w:t>
      </w:r>
      <w:r w:rsidR="006C581C">
        <w:rPr>
          <w:lang w:val="en-US"/>
        </w:rPr>
        <w:t xml:space="preserve"> Project and the Pegasos Refinement Project (PRP</w:t>
      </w:r>
      <w:r w:rsidRPr="00942F8A">
        <w:rPr>
          <w:lang w:val="en-US"/>
        </w:rPr>
        <w:t>)</w:t>
      </w:r>
      <w:r w:rsidR="006C581C">
        <w:rPr>
          <w:lang w:val="en-US"/>
        </w:rPr>
        <w:t xml:space="preserve">. The hazard assessment process is described in detail in NAGRA (2004). The procedure </w:t>
      </w:r>
      <w:r w:rsidRPr="00942F8A">
        <w:rPr>
          <w:lang w:val="en-US"/>
        </w:rPr>
        <w:t>turned out to be extremely complex and time consuming</w:t>
      </w:r>
      <w:r w:rsidR="006C581C">
        <w:rPr>
          <w:lang w:val="en-US"/>
        </w:rPr>
        <w:t>. A</w:t>
      </w:r>
      <w:r w:rsidRPr="00942F8A">
        <w:rPr>
          <w:lang w:val="en-US"/>
        </w:rPr>
        <w:t xml:space="preserve">lthought already started at the end of the 1990s the process of deterimining hazard levels </w:t>
      </w:r>
      <w:r w:rsidR="006C581C">
        <w:rPr>
          <w:lang w:val="en-US"/>
        </w:rPr>
        <w:t xml:space="preserve">for regulatory decision </w:t>
      </w:r>
      <w:r w:rsidRPr="00942F8A">
        <w:rPr>
          <w:lang w:val="en-US"/>
        </w:rPr>
        <w:t>has not been finished so far</w:t>
      </w:r>
      <w:r w:rsidR="002563E1">
        <w:rPr>
          <w:lang w:val="en-US"/>
        </w:rPr>
        <w:t xml:space="preserve"> (May 2016)</w:t>
      </w:r>
      <w:r w:rsidR="00601EA7">
        <w:rPr>
          <w:lang w:val="en-US"/>
        </w:rPr>
        <w:t>.</w:t>
      </w:r>
    </w:p>
    <w:p w:rsidR="009B7B99" w:rsidRDefault="004D245D" w:rsidP="00FD1463">
      <w:pPr>
        <w:rPr>
          <w:lang w:val="en-US"/>
        </w:rPr>
      </w:pPr>
      <w:r>
        <w:rPr>
          <w:lang w:val="en-US"/>
        </w:rPr>
        <w:br w:type="page"/>
      </w:r>
    </w:p>
    <w:tbl>
      <w:tblPr>
        <w:tblW w:w="9072" w:type="dxa"/>
        <w:jc w:val="center"/>
        <w:tblLayout w:type="fixed"/>
        <w:tblCellMar>
          <w:left w:w="70" w:type="dxa"/>
          <w:right w:w="70" w:type="dxa"/>
        </w:tblCellMar>
        <w:tblLook w:val="04A0" w:firstRow="1" w:lastRow="0" w:firstColumn="1" w:lastColumn="0" w:noHBand="0" w:noVBand="1"/>
      </w:tblPr>
      <w:tblGrid>
        <w:gridCol w:w="1701"/>
        <w:gridCol w:w="5103"/>
        <w:gridCol w:w="2268"/>
      </w:tblGrid>
      <w:tr w:rsidR="007A5C96" w:rsidRPr="007A5C96" w:rsidTr="007A5C96">
        <w:trPr>
          <w:trHeight w:val="396"/>
          <w:jc w:val="center"/>
        </w:trPr>
        <w:tc>
          <w:tcPr>
            <w:tcW w:w="9072"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A5C96" w:rsidRPr="007A5C96" w:rsidRDefault="007A5C96" w:rsidP="003C4C72">
            <w:pPr>
              <w:spacing w:line="240" w:lineRule="auto"/>
              <w:jc w:val="left"/>
              <w:rPr>
                <w:b/>
                <w:bCs/>
                <w:color w:val="000000"/>
                <w:szCs w:val="18"/>
                <w:lang w:eastAsia="de-AT"/>
              </w:rPr>
            </w:pPr>
            <w:r w:rsidRPr="007A5C96">
              <w:rPr>
                <w:b/>
                <w:bCs/>
                <w:color w:val="000000"/>
                <w:szCs w:val="18"/>
                <w:lang w:eastAsia="de-AT"/>
              </w:rPr>
              <w:t>Roles of exerts in PSHA  according to the SSHAC approach</w:t>
            </w:r>
          </w:p>
        </w:tc>
      </w:tr>
      <w:tr w:rsidR="007A5C96" w:rsidRPr="007A5C96" w:rsidTr="007A5C96">
        <w:trPr>
          <w:trHeight w:val="1410"/>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Peer Reviewers</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Pr>
                <w:i/>
                <w:color w:val="000000"/>
                <w:szCs w:val="18"/>
                <w:lang w:eastAsia="de-AT"/>
              </w:rPr>
              <w:t>“</w:t>
            </w:r>
            <w:r w:rsidR="007A5C96" w:rsidRPr="007A5C96">
              <w:rPr>
                <w:i/>
                <w:color w:val="000000"/>
                <w:szCs w:val="18"/>
                <w:lang w:eastAsia="de-AT"/>
              </w:rPr>
              <w:t>Review both the soundness of the technical input and the final hazard results and, for SSHAC Levels 3 and 4, the pr</w:t>
            </w:r>
            <w:r w:rsidR="007A5C96" w:rsidRPr="007A5C96">
              <w:rPr>
                <w:i/>
                <w:color w:val="000000"/>
                <w:szCs w:val="18"/>
                <w:lang w:eastAsia="de-AT"/>
              </w:rPr>
              <w:t>o</w:t>
            </w:r>
            <w:r w:rsidR="007A5C96" w:rsidRPr="007A5C96">
              <w:rPr>
                <w:i/>
                <w:color w:val="000000"/>
                <w:szCs w:val="18"/>
                <w:lang w:eastAsia="de-AT"/>
              </w:rPr>
              <w:t xml:space="preserve">cedural aspects of the expert interaction. Peer review at Levels 3 and 4 is formalized with Participatory Peer Review Panels (PPRP) that </w:t>
            </w:r>
            <w:r w:rsidR="00601EA7" w:rsidRPr="007A5C96">
              <w:rPr>
                <w:i/>
                <w:color w:val="000000"/>
                <w:szCs w:val="18"/>
                <w:lang w:eastAsia="de-AT"/>
              </w:rPr>
              <w:t>provides</w:t>
            </w:r>
            <w:r w:rsidR="007A5C96" w:rsidRPr="007A5C96">
              <w:rPr>
                <w:i/>
                <w:color w:val="000000"/>
                <w:szCs w:val="18"/>
                <w:lang w:eastAsia="de-AT"/>
              </w:rPr>
              <w:t xml:space="preserve"> commentary throughout the course of the project.</w:t>
            </w:r>
            <w:r>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Hanks et al., 2009, p. 9</w:t>
            </w:r>
          </w:p>
        </w:tc>
      </w:tr>
      <w:tr w:rsidR="007A5C96" w:rsidRPr="007A5C96" w:rsidTr="007A5C96">
        <w:trPr>
          <w:trHeight w:val="972"/>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Technical Facilit</w:t>
            </w:r>
            <w:r w:rsidRPr="007A5C96">
              <w:rPr>
                <w:color w:val="000000"/>
                <w:szCs w:val="18"/>
                <w:lang w:val="de-AT" w:eastAsia="de-AT"/>
              </w:rPr>
              <w:t>a</w:t>
            </w:r>
            <w:r w:rsidRPr="007A5C96">
              <w:rPr>
                <w:color w:val="000000"/>
                <w:szCs w:val="18"/>
                <w:lang w:val="de-AT" w:eastAsia="de-AT"/>
              </w:rPr>
              <w:t>tor / Integrator (TFI)</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Pr>
                <w:i/>
                <w:color w:val="000000"/>
                <w:szCs w:val="18"/>
                <w:lang w:eastAsia="de-AT"/>
              </w:rPr>
              <w:t>“</w:t>
            </w:r>
            <w:r w:rsidR="007A5C96" w:rsidRPr="007A5C96">
              <w:rPr>
                <w:i/>
                <w:color w:val="000000"/>
                <w:szCs w:val="18"/>
                <w:lang w:eastAsia="de-AT"/>
              </w:rPr>
              <w:t>A SSHAC Level 4 individual or team who compiles the community distributions constructed by each evaluator team into a single community distribution representing the views of t</w:t>
            </w:r>
            <w:r w:rsidR="007A5C96" w:rsidRPr="004D245D">
              <w:rPr>
                <w:i/>
                <w:color w:val="000000"/>
                <w:szCs w:val="18"/>
                <w:lang w:eastAsia="de-AT"/>
              </w:rPr>
              <w:t>he informed technical community.</w:t>
            </w:r>
            <w:r>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SSHAC, 1997, p. 29</w:t>
            </w:r>
          </w:p>
        </w:tc>
      </w:tr>
      <w:tr w:rsidR="007A5C96" w:rsidRPr="007A5C96" w:rsidTr="007A5C96">
        <w:trPr>
          <w:trHeight w:val="778"/>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Technical Integr</w:t>
            </w:r>
            <w:r w:rsidRPr="007A5C96">
              <w:rPr>
                <w:color w:val="000000"/>
                <w:szCs w:val="18"/>
                <w:lang w:val="de-AT" w:eastAsia="de-AT"/>
              </w:rPr>
              <w:t>a</w:t>
            </w:r>
            <w:r w:rsidRPr="007A5C96">
              <w:rPr>
                <w:color w:val="000000"/>
                <w:szCs w:val="18"/>
                <w:lang w:val="de-AT" w:eastAsia="de-AT"/>
              </w:rPr>
              <w:t>tor (TI)</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Pr>
                <w:i/>
                <w:color w:val="000000"/>
                <w:szCs w:val="18"/>
                <w:lang w:eastAsia="de-AT"/>
              </w:rPr>
              <w:t>“</w:t>
            </w:r>
            <w:r w:rsidR="007A5C96" w:rsidRPr="007A5C96">
              <w:rPr>
                <w:i/>
                <w:color w:val="000000"/>
                <w:szCs w:val="18"/>
                <w:lang w:eastAsia="de-AT"/>
              </w:rPr>
              <w:t>A SSHAC Level 3 individual or team responsible for captu</w:t>
            </w:r>
            <w:r w:rsidR="007A5C96" w:rsidRPr="007A5C96">
              <w:rPr>
                <w:i/>
                <w:color w:val="000000"/>
                <w:szCs w:val="18"/>
                <w:lang w:eastAsia="de-AT"/>
              </w:rPr>
              <w:t>r</w:t>
            </w:r>
            <w:r w:rsidR="007A5C96" w:rsidRPr="007A5C96">
              <w:rPr>
                <w:i/>
                <w:color w:val="000000"/>
                <w:szCs w:val="18"/>
                <w:lang w:eastAsia="de-AT"/>
              </w:rPr>
              <w:t>ing the views of the informed technical community in the f</w:t>
            </w:r>
            <w:r w:rsidR="007A5C96" w:rsidRPr="004D245D">
              <w:rPr>
                <w:i/>
                <w:color w:val="000000"/>
                <w:szCs w:val="18"/>
                <w:lang w:eastAsia="de-AT"/>
              </w:rPr>
              <w:t>orm of a community distribution.</w:t>
            </w:r>
            <w:r>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SSHAC, 1997, p. 30</w:t>
            </w:r>
          </w:p>
        </w:tc>
      </w:tr>
      <w:tr w:rsidR="007A5C96" w:rsidRPr="007A5C96" w:rsidTr="007A5C96">
        <w:trPr>
          <w:trHeight w:val="528"/>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Hazard Analyst</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Pr>
                <w:i/>
                <w:color w:val="000000"/>
                <w:szCs w:val="18"/>
                <w:lang w:eastAsia="de-AT"/>
              </w:rPr>
              <w:t>“</w:t>
            </w:r>
            <w:r w:rsidR="007A5C96" w:rsidRPr="007A5C96">
              <w:rPr>
                <w:i/>
                <w:color w:val="000000"/>
                <w:szCs w:val="18"/>
                <w:lang w:eastAsia="de-AT"/>
              </w:rPr>
              <w:t>PSHA cognoscenti who actually perform the PSHA calcul</w:t>
            </w:r>
            <w:r w:rsidR="007A5C96" w:rsidRPr="007A5C96">
              <w:rPr>
                <w:i/>
                <w:color w:val="000000"/>
                <w:szCs w:val="18"/>
                <w:lang w:eastAsia="de-AT"/>
              </w:rPr>
              <w:t>a</w:t>
            </w:r>
            <w:r w:rsidR="007A5C96" w:rsidRPr="007A5C96">
              <w:rPr>
                <w:i/>
                <w:color w:val="000000"/>
                <w:szCs w:val="18"/>
                <w:lang w:eastAsia="de-AT"/>
              </w:rPr>
              <w:t>tions.</w:t>
            </w:r>
            <w:r>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Hanks et al., 2009, p. 9</w:t>
            </w:r>
          </w:p>
        </w:tc>
      </w:tr>
      <w:tr w:rsidR="007A5C96" w:rsidRPr="007A5C96" w:rsidTr="007A5C96">
        <w:trPr>
          <w:trHeight w:val="792"/>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Normative Expert</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Pr>
                <w:i/>
                <w:color w:val="000000"/>
                <w:szCs w:val="18"/>
                <w:lang w:eastAsia="de-AT"/>
              </w:rPr>
              <w:t>“</w:t>
            </w:r>
            <w:r w:rsidR="007A5C96" w:rsidRPr="007A5C96">
              <w:rPr>
                <w:i/>
                <w:color w:val="000000"/>
                <w:szCs w:val="18"/>
                <w:lang w:eastAsia="de-AT"/>
              </w:rPr>
              <w:t>An expert with sound theoretical and conceptual unde</w:t>
            </w:r>
            <w:r w:rsidR="007A5C96" w:rsidRPr="007A5C96">
              <w:rPr>
                <w:i/>
                <w:color w:val="000000"/>
                <w:szCs w:val="18"/>
                <w:lang w:eastAsia="de-AT"/>
              </w:rPr>
              <w:t>r</w:t>
            </w:r>
            <w:r w:rsidR="007A5C96" w:rsidRPr="007A5C96">
              <w:rPr>
                <w:i/>
                <w:color w:val="000000"/>
                <w:szCs w:val="18"/>
                <w:lang w:eastAsia="de-AT"/>
              </w:rPr>
              <w:t>standing of probability, logic trees, and model build</w:t>
            </w:r>
            <w:r w:rsidR="007A5C96" w:rsidRPr="004D245D">
              <w:rPr>
                <w:i/>
                <w:color w:val="000000"/>
                <w:szCs w:val="18"/>
                <w:lang w:eastAsia="de-AT"/>
              </w:rPr>
              <w:t>ing in probabilistic frameworks.</w:t>
            </w:r>
            <w:r>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Hanks et al., 2009, p. 49</w:t>
            </w:r>
          </w:p>
        </w:tc>
      </w:tr>
      <w:tr w:rsidR="007A5C96" w:rsidRPr="007A5C96" w:rsidTr="007A5C96">
        <w:trPr>
          <w:trHeight w:val="784"/>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Proponent Expert</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Pr>
                <w:i/>
                <w:color w:val="000000"/>
                <w:szCs w:val="18"/>
                <w:lang w:eastAsia="de-AT"/>
              </w:rPr>
              <w:t>“</w:t>
            </w:r>
            <w:r w:rsidR="007A5C96" w:rsidRPr="007A5C96">
              <w:rPr>
                <w:i/>
                <w:color w:val="000000"/>
                <w:szCs w:val="18"/>
                <w:lang w:eastAsia="de-AT"/>
              </w:rPr>
              <w:t>A technical expert who advocates a particular hypothesis or technical position and has developed and evaluated a particular</w:t>
            </w:r>
            <w:r w:rsidR="007A5C96" w:rsidRPr="004D245D">
              <w:rPr>
                <w:i/>
                <w:color w:val="000000"/>
                <w:szCs w:val="18"/>
                <w:lang w:eastAsia="de-AT"/>
              </w:rPr>
              <w:t xml:space="preserve"> hypothesis to explain the data.</w:t>
            </w:r>
            <w:r>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SSHAC, 1997, p. 24</w:t>
            </w:r>
          </w:p>
        </w:tc>
      </w:tr>
      <w:tr w:rsidR="007A5C96" w:rsidRPr="007A5C96" w:rsidTr="007A5C96">
        <w:trPr>
          <w:trHeight w:val="1409"/>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en-US" w:eastAsia="de-AT"/>
              </w:rPr>
              <w:t xml:space="preserve">Evaluator Expert: </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Pr>
                <w:i/>
                <w:color w:val="000000"/>
                <w:szCs w:val="18"/>
                <w:lang w:val="en-US" w:eastAsia="de-AT"/>
              </w:rPr>
              <w:t>“</w:t>
            </w:r>
            <w:r w:rsidR="007A5C96" w:rsidRPr="007A5C96">
              <w:rPr>
                <w:i/>
                <w:color w:val="000000"/>
                <w:szCs w:val="18"/>
                <w:lang w:val="en-US" w:eastAsia="de-AT"/>
              </w:rPr>
              <w:t>A technical expert who provides his/her representation of the community distribution by examining the available data and assessing the technical basis for proponent models; the expert then is expected to represent the community distr</w:t>
            </w:r>
            <w:r w:rsidR="007A5C96" w:rsidRPr="007A5C96">
              <w:rPr>
                <w:i/>
                <w:color w:val="000000"/>
                <w:szCs w:val="18"/>
                <w:lang w:val="en-US" w:eastAsia="de-AT"/>
              </w:rPr>
              <w:t>i</w:t>
            </w:r>
            <w:r w:rsidR="007A5C96" w:rsidRPr="007A5C96">
              <w:rPr>
                <w:i/>
                <w:color w:val="000000"/>
                <w:szCs w:val="18"/>
                <w:lang w:val="en-US" w:eastAsia="de-AT"/>
              </w:rPr>
              <w:t>bution of the ITC in light of the</w:t>
            </w:r>
            <w:r w:rsidR="007A5C96" w:rsidRPr="004D245D">
              <w:rPr>
                <w:i/>
                <w:color w:val="000000"/>
                <w:szCs w:val="18"/>
                <w:lang w:val="en-US" w:eastAsia="de-AT"/>
              </w:rPr>
              <w:t xml:space="preserve"> other evaluators distrib</w:t>
            </w:r>
            <w:r w:rsidR="007A5C96" w:rsidRPr="004D245D">
              <w:rPr>
                <w:i/>
                <w:color w:val="000000"/>
                <w:szCs w:val="18"/>
                <w:lang w:val="en-US" w:eastAsia="de-AT"/>
              </w:rPr>
              <w:t>u</w:t>
            </w:r>
            <w:r w:rsidR="007A5C96" w:rsidRPr="004D245D">
              <w:rPr>
                <w:i/>
                <w:color w:val="000000"/>
                <w:szCs w:val="18"/>
                <w:lang w:val="en-US" w:eastAsia="de-AT"/>
              </w:rPr>
              <w:t>tions.</w:t>
            </w:r>
            <w:r>
              <w:rPr>
                <w:i/>
                <w:color w:val="000000"/>
                <w:szCs w:val="18"/>
                <w:lang w:val="en-US"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en-US" w:eastAsia="de-AT"/>
              </w:rPr>
              <w:t>Hanks et al., 2009, p. 49</w:t>
            </w:r>
          </w:p>
        </w:tc>
      </w:tr>
      <w:tr w:rsidR="007A5C96" w:rsidRPr="007A5C96" w:rsidTr="004D245D">
        <w:trPr>
          <w:trHeight w:val="982"/>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Resource Expert</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sidRPr="004D245D">
              <w:rPr>
                <w:i/>
                <w:color w:val="000000"/>
                <w:szCs w:val="18"/>
                <w:lang w:eastAsia="de-AT"/>
              </w:rPr>
              <w:t>“</w:t>
            </w:r>
            <w:r w:rsidR="007A5C96" w:rsidRPr="007A5C96">
              <w:rPr>
                <w:i/>
                <w:color w:val="000000"/>
                <w:szCs w:val="18"/>
                <w:lang w:eastAsia="de-AT"/>
              </w:rPr>
              <w:t>A technical expert who has either site-specific knowledge or expertise with a particular methodology or procedure useful to the evaluator experts in develo</w:t>
            </w:r>
            <w:r w:rsidR="007A5C96" w:rsidRPr="004D245D">
              <w:rPr>
                <w:i/>
                <w:color w:val="000000"/>
                <w:szCs w:val="18"/>
                <w:lang w:eastAsia="de-AT"/>
              </w:rPr>
              <w:t>ping the commun</w:t>
            </w:r>
            <w:r w:rsidR="007A5C96" w:rsidRPr="004D245D">
              <w:rPr>
                <w:i/>
                <w:color w:val="000000"/>
                <w:szCs w:val="18"/>
                <w:lang w:eastAsia="de-AT"/>
              </w:rPr>
              <w:t>i</w:t>
            </w:r>
            <w:r w:rsidR="007A5C96" w:rsidRPr="004D245D">
              <w:rPr>
                <w:i/>
                <w:color w:val="000000"/>
                <w:szCs w:val="18"/>
                <w:lang w:eastAsia="de-AT"/>
              </w:rPr>
              <w:t>ty distribution.</w:t>
            </w:r>
            <w:r w:rsidRPr="004D245D">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Hanks et al., 2009, p. 50</w:t>
            </w:r>
          </w:p>
        </w:tc>
      </w:tr>
      <w:tr w:rsidR="007A5C96" w:rsidRPr="007A5C96" w:rsidTr="007A5C96">
        <w:trPr>
          <w:trHeight w:val="756"/>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Technical Comm</w:t>
            </w:r>
            <w:r w:rsidRPr="007A5C96">
              <w:rPr>
                <w:color w:val="000000"/>
                <w:szCs w:val="18"/>
                <w:lang w:val="de-AT" w:eastAsia="de-AT"/>
              </w:rPr>
              <w:t>u</w:t>
            </w:r>
            <w:r w:rsidRPr="007A5C96">
              <w:rPr>
                <w:color w:val="000000"/>
                <w:szCs w:val="18"/>
                <w:lang w:val="de-AT" w:eastAsia="de-AT"/>
              </w:rPr>
              <w:t>nity (TC)</w:t>
            </w:r>
          </w:p>
        </w:tc>
        <w:tc>
          <w:tcPr>
            <w:tcW w:w="5103" w:type="dxa"/>
            <w:tcBorders>
              <w:top w:val="nil"/>
              <w:left w:val="nil"/>
              <w:bottom w:val="single" w:sz="4" w:space="0" w:color="auto"/>
              <w:right w:val="single" w:sz="4" w:space="0" w:color="auto"/>
            </w:tcBorders>
            <w:shd w:val="clear" w:color="auto" w:fill="auto"/>
            <w:hideMark/>
          </w:tcPr>
          <w:p w:rsidR="007A5C96" w:rsidRPr="007A5C96" w:rsidRDefault="004D245D" w:rsidP="007A5C96">
            <w:pPr>
              <w:spacing w:line="240" w:lineRule="auto"/>
              <w:jc w:val="left"/>
              <w:rPr>
                <w:i/>
                <w:color w:val="000000"/>
                <w:szCs w:val="18"/>
                <w:lang w:eastAsia="de-AT"/>
              </w:rPr>
            </w:pPr>
            <w:r w:rsidRPr="004D245D">
              <w:rPr>
                <w:i/>
                <w:color w:val="000000"/>
                <w:szCs w:val="18"/>
                <w:lang w:eastAsia="de-AT"/>
              </w:rPr>
              <w:t>“</w:t>
            </w:r>
            <w:r w:rsidR="007A5C96" w:rsidRPr="007A5C96">
              <w:rPr>
                <w:i/>
                <w:color w:val="000000"/>
                <w:szCs w:val="18"/>
                <w:lang w:eastAsia="de-AT"/>
              </w:rPr>
              <w:t>The cadre of scientists and engineers known for their exp</w:t>
            </w:r>
            <w:r w:rsidR="007A5C96" w:rsidRPr="007A5C96">
              <w:rPr>
                <w:i/>
                <w:color w:val="000000"/>
                <w:szCs w:val="18"/>
                <w:lang w:eastAsia="de-AT"/>
              </w:rPr>
              <w:t>e</w:t>
            </w:r>
            <w:r w:rsidR="007A5C96" w:rsidRPr="007A5C96">
              <w:rPr>
                <w:i/>
                <w:color w:val="000000"/>
                <w:szCs w:val="18"/>
                <w:lang w:eastAsia="de-AT"/>
              </w:rPr>
              <w:t>rience with and knowledge of SSC [seismic source characte</w:t>
            </w:r>
            <w:r w:rsidR="007A5C96" w:rsidRPr="007A5C96">
              <w:rPr>
                <w:i/>
                <w:color w:val="000000"/>
                <w:szCs w:val="18"/>
                <w:lang w:eastAsia="de-AT"/>
              </w:rPr>
              <w:t>r</w:t>
            </w:r>
            <w:r w:rsidR="007A5C96" w:rsidRPr="007A5C96">
              <w:rPr>
                <w:i/>
                <w:color w:val="000000"/>
                <w:szCs w:val="18"/>
                <w:lang w:eastAsia="de-AT"/>
              </w:rPr>
              <w:t>ization] or GMC [ground motion characterizattion] issues.</w:t>
            </w:r>
            <w:r w:rsidRPr="004D245D">
              <w:rPr>
                <w:i/>
                <w:color w:val="000000"/>
                <w:szCs w:val="18"/>
                <w:lang w:eastAsia="de-AT"/>
              </w:rPr>
              <w:t>”</w:t>
            </w:r>
          </w:p>
        </w:tc>
        <w:tc>
          <w:tcPr>
            <w:tcW w:w="2268"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Hanks et al., 2009, p. 8</w:t>
            </w:r>
          </w:p>
        </w:tc>
      </w:tr>
      <w:tr w:rsidR="007A5C96" w:rsidRPr="007A5C96" w:rsidTr="007A5C96">
        <w:trPr>
          <w:trHeight w:val="970"/>
          <w:jc w:val="center"/>
        </w:trPr>
        <w:tc>
          <w:tcPr>
            <w:tcW w:w="1701"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Informed Technical Community (ITC)</w:t>
            </w:r>
          </w:p>
        </w:tc>
        <w:tc>
          <w:tcPr>
            <w:tcW w:w="5103" w:type="dxa"/>
            <w:tcBorders>
              <w:top w:val="nil"/>
              <w:left w:val="nil"/>
              <w:bottom w:val="single" w:sz="4" w:space="0" w:color="auto"/>
              <w:right w:val="single" w:sz="4" w:space="0" w:color="auto"/>
            </w:tcBorders>
            <w:shd w:val="clear" w:color="auto" w:fill="auto"/>
            <w:hideMark/>
          </w:tcPr>
          <w:p w:rsidR="00042295" w:rsidRDefault="00042295" w:rsidP="00042295">
            <w:pPr>
              <w:spacing w:line="240" w:lineRule="auto"/>
              <w:jc w:val="left"/>
              <w:rPr>
                <w:i/>
                <w:color w:val="000000"/>
                <w:szCs w:val="18"/>
                <w:lang w:eastAsia="de-AT"/>
              </w:rPr>
            </w:pPr>
            <w:r>
              <w:rPr>
                <w:color w:val="000000"/>
                <w:szCs w:val="18"/>
                <w:lang w:eastAsia="de-AT"/>
              </w:rPr>
              <w:t>A memb</w:t>
            </w:r>
            <w:r w:rsidRPr="00042295">
              <w:rPr>
                <w:color w:val="000000"/>
                <w:szCs w:val="18"/>
                <w:lang w:eastAsia="de-AT"/>
              </w:rPr>
              <w:t>er of the ITC (who is also part of the TC) is described as</w:t>
            </w:r>
            <w:r>
              <w:rPr>
                <w:i/>
                <w:color w:val="000000"/>
                <w:szCs w:val="18"/>
                <w:lang w:eastAsia="de-AT"/>
              </w:rPr>
              <w:t xml:space="preserve"> </w:t>
            </w:r>
            <w:r w:rsidR="004D245D" w:rsidRPr="004D245D">
              <w:rPr>
                <w:i/>
                <w:color w:val="000000"/>
                <w:szCs w:val="18"/>
                <w:lang w:eastAsia="de-AT"/>
              </w:rPr>
              <w:t>”</w:t>
            </w:r>
            <w:r w:rsidRPr="00042295">
              <w:rPr>
                <w:i/>
                <w:color w:val="000000"/>
                <w:szCs w:val="18"/>
                <w:lang w:eastAsia="de-AT"/>
              </w:rPr>
              <w:t>an expert who has full access to</w:t>
            </w:r>
            <w:r>
              <w:rPr>
                <w:i/>
                <w:color w:val="000000"/>
                <w:szCs w:val="18"/>
                <w:lang w:eastAsia="de-AT"/>
              </w:rPr>
              <w:t xml:space="preserve"> </w:t>
            </w:r>
            <w:r w:rsidRPr="00042295">
              <w:rPr>
                <w:i/>
                <w:color w:val="000000"/>
                <w:szCs w:val="18"/>
                <w:lang w:eastAsia="de-AT"/>
              </w:rPr>
              <w:t>the complete database developed for a project and has fully participated in the interactive SSHAC</w:t>
            </w:r>
            <w:r>
              <w:rPr>
                <w:i/>
                <w:color w:val="000000"/>
                <w:szCs w:val="18"/>
                <w:lang w:eastAsia="de-AT"/>
              </w:rPr>
              <w:t xml:space="preserve"> </w:t>
            </w:r>
            <w:r w:rsidRPr="00042295">
              <w:rPr>
                <w:i/>
                <w:color w:val="000000"/>
                <w:szCs w:val="18"/>
                <w:lang w:eastAsia="de-AT"/>
              </w:rPr>
              <w:t>process.</w:t>
            </w:r>
            <w:r>
              <w:rPr>
                <w:i/>
                <w:color w:val="000000"/>
                <w:szCs w:val="18"/>
                <w:lang w:eastAsia="de-AT"/>
              </w:rPr>
              <w:t xml:space="preserve"> … E</w:t>
            </w:r>
            <w:r w:rsidRPr="00042295">
              <w:rPr>
                <w:i/>
                <w:color w:val="000000"/>
                <w:szCs w:val="18"/>
                <w:lang w:eastAsia="de-AT"/>
              </w:rPr>
              <w:t>xperts who participate in the PSHA study must endeavorto represent “the larger informed technical community” by assuming the hypothetical case where</w:t>
            </w:r>
            <w:r>
              <w:rPr>
                <w:i/>
                <w:color w:val="000000"/>
                <w:szCs w:val="18"/>
                <w:lang w:eastAsia="de-AT"/>
              </w:rPr>
              <w:t xml:space="preserve"> </w:t>
            </w:r>
            <w:r w:rsidRPr="00042295">
              <w:rPr>
                <w:i/>
                <w:color w:val="000000"/>
                <w:szCs w:val="18"/>
                <w:lang w:eastAsia="de-AT"/>
              </w:rPr>
              <w:t>the others in the larger technical community become “informed” through participation in the same</w:t>
            </w:r>
            <w:r>
              <w:rPr>
                <w:i/>
                <w:color w:val="000000"/>
                <w:szCs w:val="18"/>
                <w:lang w:eastAsia="de-AT"/>
              </w:rPr>
              <w:t xml:space="preserve"> </w:t>
            </w:r>
            <w:r w:rsidRPr="00042295">
              <w:rPr>
                <w:i/>
                <w:color w:val="000000"/>
                <w:szCs w:val="18"/>
                <w:lang w:eastAsia="de-AT"/>
              </w:rPr>
              <w:t>process.</w:t>
            </w:r>
            <w:r>
              <w:rPr>
                <w:i/>
                <w:color w:val="000000"/>
                <w:szCs w:val="18"/>
                <w:lang w:eastAsia="de-AT"/>
              </w:rPr>
              <w:t>”</w:t>
            </w:r>
          </w:p>
          <w:p w:rsidR="00042295" w:rsidRPr="007A5C96" w:rsidRDefault="00042295" w:rsidP="007A5C96">
            <w:pPr>
              <w:spacing w:line="240" w:lineRule="auto"/>
              <w:jc w:val="left"/>
              <w:rPr>
                <w:i/>
                <w:color w:val="000000"/>
                <w:szCs w:val="18"/>
                <w:lang w:eastAsia="de-AT"/>
              </w:rPr>
            </w:pPr>
          </w:p>
        </w:tc>
        <w:tc>
          <w:tcPr>
            <w:tcW w:w="2268" w:type="dxa"/>
            <w:tcBorders>
              <w:top w:val="nil"/>
              <w:left w:val="nil"/>
              <w:bottom w:val="single" w:sz="4" w:space="0" w:color="auto"/>
              <w:right w:val="single" w:sz="8" w:space="0" w:color="auto"/>
            </w:tcBorders>
            <w:shd w:val="clear" w:color="auto" w:fill="auto"/>
            <w:hideMark/>
          </w:tcPr>
          <w:p w:rsidR="007A5C96" w:rsidRPr="007A5C96" w:rsidRDefault="00042295" w:rsidP="00042295">
            <w:pPr>
              <w:spacing w:line="240" w:lineRule="auto"/>
              <w:jc w:val="left"/>
              <w:rPr>
                <w:color w:val="000000"/>
                <w:szCs w:val="18"/>
                <w:lang w:eastAsia="de-AT"/>
              </w:rPr>
            </w:pPr>
            <w:r w:rsidRPr="00042295">
              <w:rPr>
                <w:color w:val="000000"/>
                <w:szCs w:val="18"/>
                <w:lang w:eastAsia="de-AT"/>
              </w:rPr>
              <w:t>U.</w:t>
            </w:r>
            <w:r>
              <w:rPr>
                <w:color w:val="000000"/>
                <w:szCs w:val="18"/>
                <w:lang w:eastAsia="de-AT"/>
              </w:rPr>
              <w:t>S.NRC, 2012</w:t>
            </w:r>
            <w:r w:rsidR="007A5C96" w:rsidRPr="007A5C96">
              <w:rPr>
                <w:color w:val="000000"/>
                <w:szCs w:val="18"/>
                <w:lang w:eastAsia="de-AT"/>
              </w:rPr>
              <w:t>, p. 10</w:t>
            </w:r>
          </w:p>
        </w:tc>
      </w:tr>
    </w:tbl>
    <w:p w:rsidR="007A5C96" w:rsidRDefault="007A5C96" w:rsidP="00FD1463">
      <w:pPr>
        <w:rPr>
          <w:lang w:val="en-US"/>
        </w:rPr>
      </w:pPr>
    </w:p>
    <w:p w:rsidR="007A5C96" w:rsidRDefault="007A5C96" w:rsidP="007A5C96">
      <w:pPr>
        <w:pStyle w:val="ASAMPSAtable"/>
        <w:numPr>
          <w:ilvl w:val="0"/>
          <w:numId w:val="0"/>
        </w:numPr>
        <w:ind w:left="720" w:hanging="360"/>
      </w:pPr>
      <w:bookmarkStart w:id="193" w:name="_Ref433371141"/>
      <w:bookmarkStart w:id="194" w:name="_Toc456012034"/>
      <w:r>
        <w:t xml:space="preserve">Table </w:t>
      </w:r>
      <w:r>
        <w:fldChar w:fldCharType="begin"/>
      </w:r>
      <w:r>
        <w:instrText xml:space="preserve"> SEQ Table \* ARABIC </w:instrText>
      </w:r>
      <w:r>
        <w:fldChar w:fldCharType="separate"/>
      </w:r>
      <w:r w:rsidR="00173034">
        <w:rPr>
          <w:noProof/>
        </w:rPr>
        <w:t>10</w:t>
      </w:r>
      <w:r>
        <w:fldChar w:fldCharType="end"/>
      </w:r>
      <w:bookmarkEnd w:id="193"/>
      <w:r>
        <w:t>.  Definitions of the roles of experts in a PS</w:t>
      </w:r>
      <w:r w:rsidR="00B550EB">
        <w:t>H</w:t>
      </w:r>
      <w:r>
        <w:t>A project according to SSHAC Guidelines.</w:t>
      </w:r>
      <w:bookmarkEnd w:id="194"/>
    </w:p>
    <w:p w:rsidR="007A5C96" w:rsidRDefault="007A5C96" w:rsidP="001E2D8C">
      <w:pPr>
        <w:rPr>
          <w:lang w:val="en-US"/>
        </w:rPr>
      </w:pPr>
    </w:p>
    <w:p w:rsidR="004D245D" w:rsidRDefault="004D245D">
      <w:r>
        <w:br w:type="page"/>
      </w:r>
    </w:p>
    <w:tbl>
      <w:tblPr>
        <w:tblW w:w="8299" w:type="dxa"/>
        <w:jc w:val="center"/>
        <w:tblCellMar>
          <w:left w:w="70" w:type="dxa"/>
          <w:right w:w="70" w:type="dxa"/>
        </w:tblCellMar>
        <w:tblLook w:val="04A0" w:firstRow="1" w:lastRow="0" w:firstColumn="1" w:lastColumn="0" w:noHBand="0" w:noVBand="1"/>
      </w:tblPr>
      <w:tblGrid>
        <w:gridCol w:w="1627"/>
        <w:gridCol w:w="6672"/>
      </w:tblGrid>
      <w:tr w:rsidR="007A5C96" w:rsidRPr="007A5C96" w:rsidTr="00B047C3">
        <w:trPr>
          <w:trHeight w:val="276"/>
          <w:jc w:val="center"/>
        </w:trPr>
        <w:tc>
          <w:tcPr>
            <w:tcW w:w="1627" w:type="dxa"/>
            <w:tcBorders>
              <w:top w:val="single" w:sz="8" w:space="0" w:color="auto"/>
              <w:left w:val="single" w:sz="8" w:space="0" w:color="auto"/>
              <w:bottom w:val="single" w:sz="8" w:space="0" w:color="auto"/>
              <w:right w:val="nil"/>
            </w:tcBorders>
            <w:shd w:val="clear" w:color="auto" w:fill="auto"/>
            <w:noWrap/>
            <w:vAlign w:val="center"/>
            <w:hideMark/>
          </w:tcPr>
          <w:p w:rsidR="007A5C96" w:rsidRPr="007A5C96" w:rsidRDefault="004D245D" w:rsidP="007A5C96">
            <w:pPr>
              <w:spacing w:line="240" w:lineRule="auto"/>
              <w:jc w:val="left"/>
              <w:rPr>
                <w:b/>
                <w:bCs/>
                <w:color w:val="000000"/>
                <w:szCs w:val="18"/>
                <w:lang w:eastAsia="de-AT"/>
              </w:rPr>
            </w:pPr>
            <w:r>
              <w:rPr>
                <w:lang w:val="en-US"/>
              </w:rPr>
              <w:br w:type="page"/>
            </w:r>
            <w:r w:rsidR="007A5C96" w:rsidRPr="007A5C96">
              <w:rPr>
                <w:b/>
                <w:bCs/>
                <w:color w:val="000000"/>
                <w:szCs w:val="18"/>
                <w:lang w:eastAsia="de-AT"/>
              </w:rPr>
              <w:t> </w:t>
            </w:r>
          </w:p>
        </w:tc>
        <w:tc>
          <w:tcPr>
            <w:tcW w:w="6672" w:type="dxa"/>
            <w:tcBorders>
              <w:top w:val="single" w:sz="8" w:space="0" w:color="auto"/>
              <w:left w:val="nil"/>
              <w:bottom w:val="single" w:sz="8" w:space="0" w:color="auto"/>
              <w:right w:val="single" w:sz="8" w:space="0" w:color="auto"/>
            </w:tcBorders>
            <w:shd w:val="clear" w:color="auto" w:fill="auto"/>
            <w:vAlign w:val="center"/>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SSHAC Level 1</w:t>
            </w:r>
          </w:p>
        </w:tc>
      </w:tr>
      <w:tr w:rsidR="007A5C96" w:rsidRPr="007A5C96" w:rsidTr="00B047C3">
        <w:trPr>
          <w:trHeight w:val="264"/>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Structure</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TI is a single hazard analyst</w:t>
            </w:r>
          </w:p>
        </w:tc>
      </w:tr>
      <w:tr w:rsidR="007A5C96" w:rsidRPr="007A5C96" w:rsidTr="00B047C3">
        <w:trPr>
          <w:trHeight w:val="528"/>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TI reviews literature, datasets, and models; TI quantifies uncertainties and expresses his view on all models and parameters</w:t>
            </w:r>
          </w:p>
        </w:tc>
      </w:tr>
      <w:tr w:rsidR="007A5C96" w:rsidRPr="007A5C96" w:rsidTr="00B047C3">
        <w:trPr>
          <w:trHeight w:val="528"/>
          <w:jc w:val="center"/>
        </w:trPr>
        <w:tc>
          <w:tcPr>
            <w:tcW w:w="1627" w:type="dxa"/>
            <w:tcBorders>
              <w:top w:val="single" w:sz="4" w:space="0" w:color="auto"/>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Peer review</w:t>
            </w:r>
          </w:p>
        </w:tc>
        <w:tc>
          <w:tcPr>
            <w:tcW w:w="6672" w:type="dxa"/>
            <w:tcBorders>
              <w:top w:val="single" w:sz="4" w:space="0" w:color="auto"/>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Peer review (late stage) to determine if opinions of ITC are captured and doc</w:t>
            </w:r>
            <w:r w:rsidRPr="007A5C96">
              <w:rPr>
                <w:color w:val="000000"/>
                <w:szCs w:val="18"/>
                <w:lang w:eastAsia="de-AT"/>
              </w:rPr>
              <w:t>u</w:t>
            </w:r>
            <w:r w:rsidR="00601EA7">
              <w:rPr>
                <w:color w:val="000000"/>
                <w:szCs w:val="18"/>
                <w:lang w:eastAsia="de-AT"/>
              </w:rPr>
              <w:t>mentation is complete</w:t>
            </w:r>
          </w:p>
        </w:tc>
      </w:tr>
      <w:tr w:rsidR="007A5C96" w:rsidRPr="007A5C96" w:rsidTr="00B047C3">
        <w:trPr>
          <w:trHeight w:val="421"/>
          <w:jc w:val="center"/>
        </w:trPr>
        <w:tc>
          <w:tcPr>
            <w:tcW w:w="1627" w:type="dxa"/>
            <w:tcBorders>
              <w:top w:val="nil"/>
              <w:left w:val="single" w:sz="8" w:space="0" w:color="auto"/>
              <w:bottom w:val="single" w:sz="8"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Application</w:t>
            </w:r>
          </w:p>
        </w:tc>
        <w:tc>
          <w:tcPr>
            <w:tcW w:w="6672" w:type="dxa"/>
            <w:tcBorders>
              <w:top w:val="nil"/>
              <w:left w:val="nil"/>
              <w:bottom w:val="single" w:sz="8"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PSHA for conventional faciliteis, sensitivity sudies to evaluate new information</w:t>
            </w:r>
          </w:p>
        </w:tc>
      </w:tr>
      <w:tr w:rsidR="007A5C96" w:rsidRPr="007A5C96" w:rsidTr="00B047C3">
        <w:trPr>
          <w:trHeight w:val="276"/>
          <w:jc w:val="center"/>
        </w:trPr>
        <w:tc>
          <w:tcPr>
            <w:tcW w:w="1627" w:type="dxa"/>
            <w:tcBorders>
              <w:top w:val="nil"/>
              <w:left w:val="single" w:sz="8" w:space="0" w:color="auto"/>
              <w:bottom w:val="single" w:sz="8" w:space="0" w:color="auto"/>
              <w:right w:val="nil"/>
            </w:tcBorders>
            <w:shd w:val="clear" w:color="auto" w:fill="auto"/>
            <w:noWrap/>
            <w:vAlign w:val="center"/>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single" w:sz="8" w:space="0" w:color="auto"/>
              <w:right w:val="single" w:sz="8" w:space="0" w:color="auto"/>
            </w:tcBorders>
            <w:shd w:val="clear" w:color="auto" w:fill="auto"/>
            <w:vAlign w:val="center"/>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SSHAC Level 2</w:t>
            </w:r>
          </w:p>
        </w:tc>
      </w:tr>
      <w:tr w:rsidR="007A5C96" w:rsidRPr="007A5C96" w:rsidTr="00B047C3">
        <w:trPr>
          <w:trHeight w:val="264"/>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Structure</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In addition to Level 1:</w:t>
            </w:r>
          </w:p>
        </w:tc>
      </w:tr>
      <w:tr w:rsidR="007A5C96" w:rsidRPr="007A5C96" w:rsidTr="00B047C3">
        <w:trPr>
          <w:trHeight w:val="264"/>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 </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TI is a evaluator team including the hazard analyst</w:t>
            </w:r>
          </w:p>
        </w:tc>
      </w:tr>
      <w:tr w:rsidR="007A5C96" w:rsidRPr="007A5C96" w:rsidTr="00B047C3">
        <w:trPr>
          <w:trHeight w:val="528"/>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TI contacts members of ITC regarding databases and directly communicates with prop</w:t>
            </w:r>
            <w:r w:rsidR="00601EA7">
              <w:rPr>
                <w:color w:val="000000"/>
                <w:szCs w:val="18"/>
                <w:lang w:eastAsia="de-AT"/>
              </w:rPr>
              <w:t>onents of alternative viewponts</w:t>
            </w:r>
          </w:p>
        </w:tc>
      </w:tr>
      <w:tr w:rsidR="007A5C96" w:rsidRPr="007A5C96" w:rsidTr="00B047C3">
        <w:trPr>
          <w:trHeight w:val="264"/>
          <w:jc w:val="center"/>
        </w:trPr>
        <w:tc>
          <w:tcPr>
            <w:tcW w:w="1627" w:type="dxa"/>
            <w:tcBorders>
              <w:top w:val="nil"/>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Topical meetings to resolve questions of key topics</w:t>
            </w:r>
          </w:p>
        </w:tc>
      </w:tr>
      <w:tr w:rsidR="007A5C96" w:rsidRPr="007A5C96" w:rsidTr="00B047C3">
        <w:trPr>
          <w:trHeight w:val="264"/>
          <w:jc w:val="center"/>
        </w:trPr>
        <w:tc>
          <w:tcPr>
            <w:tcW w:w="1627" w:type="dxa"/>
            <w:tcBorders>
              <w:top w:val="nil"/>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Peer review</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601EA7" w:rsidP="007A5C96">
            <w:pPr>
              <w:spacing w:line="240" w:lineRule="auto"/>
              <w:jc w:val="left"/>
              <w:rPr>
                <w:color w:val="000000"/>
                <w:szCs w:val="18"/>
                <w:lang w:val="de-AT" w:eastAsia="de-AT"/>
              </w:rPr>
            </w:pPr>
            <w:r>
              <w:rPr>
                <w:color w:val="000000"/>
                <w:szCs w:val="18"/>
                <w:lang w:val="de-AT" w:eastAsia="de-AT"/>
              </w:rPr>
              <w:t>Participatory or late stage</w:t>
            </w:r>
          </w:p>
        </w:tc>
      </w:tr>
      <w:tr w:rsidR="007A5C96" w:rsidRPr="007A5C96" w:rsidTr="00B047C3">
        <w:trPr>
          <w:trHeight w:val="276"/>
          <w:jc w:val="center"/>
        </w:trPr>
        <w:tc>
          <w:tcPr>
            <w:tcW w:w="1627" w:type="dxa"/>
            <w:tcBorders>
              <w:top w:val="nil"/>
              <w:left w:val="single" w:sz="8" w:space="0" w:color="auto"/>
              <w:bottom w:val="single" w:sz="8"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Application</w:t>
            </w:r>
          </w:p>
        </w:tc>
        <w:tc>
          <w:tcPr>
            <w:tcW w:w="6672" w:type="dxa"/>
            <w:tcBorders>
              <w:top w:val="nil"/>
              <w:left w:val="nil"/>
              <w:bottom w:val="single" w:sz="8"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PSHA for critical infrastructure</w:t>
            </w:r>
          </w:p>
        </w:tc>
      </w:tr>
      <w:tr w:rsidR="007A5C96" w:rsidRPr="007A5C96" w:rsidTr="00B047C3">
        <w:trPr>
          <w:trHeight w:val="276"/>
          <w:jc w:val="center"/>
        </w:trPr>
        <w:tc>
          <w:tcPr>
            <w:tcW w:w="1627" w:type="dxa"/>
            <w:tcBorders>
              <w:top w:val="nil"/>
              <w:left w:val="single" w:sz="8" w:space="0" w:color="auto"/>
              <w:bottom w:val="single" w:sz="8" w:space="0" w:color="auto"/>
              <w:right w:val="nil"/>
            </w:tcBorders>
            <w:shd w:val="clear" w:color="auto" w:fill="auto"/>
            <w:noWrap/>
            <w:vAlign w:val="center"/>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 </w:t>
            </w:r>
          </w:p>
        </w:tc>
        <w:tc>
          <w:tcPr>
            <w:tcW w:w="6672" w:type="dxa"/>
            <w:tcBorders>
              <w:top w:val="nil"/>
              <w:left w:val="nil"/>
              <w:bottom w:val="single" w:sz="8" w:space="0" w:color="auto"/>
              <w:right w:val="single" w:sz="8" w:space="0" w:color="auto"/>
            </w:tcBorders>
            <w:shd w:val="clear" w:color="auto" w:fill="auto"/>
            <w:vAlign w:val="center"/>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SSHAC Level 3</w:t>
            </w:r>
          </w:p>
        </w:tc>
      </w:tr>
      <w:tr w:rsidR="007A5C96" w:rsidRPr="007A5C96" w:rsidTr="00B047C3">
        <w:trPr>
          <w:trHeight w:val="264"/>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Structure</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 xml:space="preserve">In addition to Level 2: </w:t>
            </w:r>
          </w:p>
        </w:tc>
      </w:tr>
      <w:tr w:rsidR="007A5C96" w:rsidRPr="007A5C96" w:rsidTr="00B047C3">
        <w:trPr>
          <w:trHeight w:val="528"/>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 </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TI team, proponents and resource experts are brought togehter in workshops to discuss diferet methods, models and databases</w:t>
            </w:r>
          </w:p>
        </w:tc>
      </w:tr>
      <w:tr w:rsidR="007A5C96" w:rsidRPr="007A5C96" w:rsidTr="00B047C3">
        <w:trPr>
          <w:trHeight w:val="528"/>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TI team questions proponents and resource experts to understand applicability of alternative models</w:t>
            </w:r>
          </w:p>
        </w:tc>
      </w:tr>
      <w:tr w:rsidR="007A5C96" w:rsidRPr="007A5C96" w:rsidTr="00B047C3">
        <w:trPr>
          <w:trHeight w:val="264"/>
          <w:jc w:val="center"/>
        </w:trPr>
        <w:tc>
          <w:tcPr>
            <w:tcW w:w="1627" w:type="dxa"/>
            <w:tcBorders>
              <w:top w:val="nil"/>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Revision to the models in the light of feedback</w:t>
            </w:r>
          </w:p>
        </w:tc>
      </w:tr>
      <w:tr w:rsidR="007A5C96" w:rsidRPr="007A5C96" w:rsidTr="00B047C3">
        <w:trPr>
          <w:trHeight w:val="264"/>
          <w:jc w:val="center"/>
        </w:trPr>
        <w:tc>
          <w:tcPr>
            <w:tcW w:w="1627" w:type="dxa"/>
            <w:tcBorders>
              <w:top w:val="nil"/>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Peer review</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Participatory peer review of technical descissions made by TI team</w:t>
            </w:r>
          </w:p>
        </w:tc>
      </w:tr>
      <w:tr w:rsidR="007A5C96" w:rsidRPr="007A5C96" w:rsidTr="00B047C3">
        <w:trPr>
          <w:trHeight w:val="792"/>
          <w:jc w:val="center"/>
        </w:trPr>
        <w:tc>
          <w:tcPr>
            <w:tcW w:w="1627" w:type="dxa"/>
            <w:tcBorders>
              <w:top w:val="nil"/>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Documentation</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Includes discussion of all models, parameters, and their technical basis; final hazard with sensitivity analyses to understand important contributors to hazard and uncertainties</w:t>
            </w:r>
          </w:p>
        </w:tc>
      </w:tr>
      <w:tr w:rsidR="007A5C96" w:rsidRPr="007A5C96" w:rsidTr="00B047C3">
        <w:trPr>
          <w:trHeight w:val="375"/>
          <w:jc w:val="center"/>
        </w:trPr>
        <w:tc>
          <w:tcPr>
            <w:tcW w:w="1627" w:type="dxa"/>
            <w:tcBorders>
              <w:top w:val="nil"/>
              <w:left w:val="single" w:sz="8" w:space="0" w:color="auto"/>
              <w:bottom w:val="single" w:sz="8"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Application</w:t>
            </w:r>
          </w:p>
        </w:tc>
        <w:tc>
          <w:tcPr>
            <w:tcW w:w="6672" w:type="dxa"/>
            <w:tcBorders>
              <w:top w:val="nil"/>
              <w:left w:val="nil"/>
              <w:bottom w:val="single" w:sz="8"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PSHA for nuclear installations, National Seismic Hazard Map Programme for U.S.</w:t>
            </w:r>
          </w:p>
        </w:tc>
      </w:tr>
      <w:tr w:rsidR="007A5C96" w:rsidRPr="007A5C96" w:rsidTr="00B047C3">
        <w:trPr>
          <w:trHeight w:val="276"/>
          <w:jc w:val="center"/>
        </w:trPr>
        <w:tc>
          <w:tcPr>
            <w:tcW w:w="1627" w:type="dxa"/>
            <w:tcBorders>
              <w:top w:val="nil"/>
              <w:left w:val="single" w:sz="8" w:space="0" w:color="auto"/>
              <w:bottom w:val="single" w:sz="8" w:space="0" w:color="auto"/>
              <w:right w:val="nil"/>
            </w:tcBorders>
            <w:shd w:val="clear" w:color="auto" w:fill="auto"/>
            <w:noWrap/>
            <w:vAlign w:val="center"/>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single" w:sz="8" w:space="0" w:color="auto"/>
              <w:right w:val="single" w:sz="8" w:space="0" w:color="auto"/>
            </w:tcBorders>
            <w:shd w:val="clear" w:color="auto" w:fill="auto"/>
            <w:vAlign w:val="center"/>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SSHAC Level 4</w:t>
            </w:r>
          </w:p>
        </w:tc>
      </w:tr>
      <w:tr w:rsidR="007A5C96" w:rsidRPr="007A5C96" w:rsidTr="00B047C3">
        <w:trPr>
          <w:trHeight w:val="264"/>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Structure</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val="de-AT" w:eastAsia="de-AT"/>
              </w:rPr>
            </w:pPr>
            <w:r w:rsidRPr="007A5C96">
              <w:rPr>
                <w:color w:val="000000"/>
                <w:szCs w:val="18"/>
                <w:lang w:val="de-AT" w:eastAsia="de-AT"/>
              </w:rPr>
              <w:t xml:space="preserve">In addition to Level 3: </w:t>
            </w:r>
          </w:p>
        </w:tc>
      </w:tr>
      <w:tr w:rsidR="007A5C96" w:rsidRPr="007A5C96" w:rsidTr="00B047C3">
        <w:trPr>
          <w:trHeight w:val="792"/>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 </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TFI team added; Each TFI is responsible for a single technical topic (e.g., source zone characterization, ground motion  characterization, site characterization)</w:t>
            </w:r>
          </w:p>
        </w:tc>
      </w:tr>
      <w:tr w:rsidR="007A5C96" w:rsidRPr="007A5C96" w:rsidTr="00B047C3">
        <w:trPr>
          <w:trHeight w:val="528"/>
          <w:jc w:val="center"/>
        </w:trPr>
        <w:tc>
          <w:tcPr>
            <w:tcW w:w="1627" w:type="dxa"/>
            <w:tcBorders>
              <w:top w:val="nil"/>
              <w:left w:val="single" w:sz="8" w:space="0" w:color="auto"/>
              <w:bottom w:val="nil"/>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nil"/>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Multiple evaluators or evaluator teams perform work of the TI team as defined for Level 3</w:t>
            </w:r>
          </w:p>
        </w:tc>
      </w:tr>
      <w:tr w:rsidR="007A5C96" w:rsidRPr="007A5C96" w:rsidTr="00B047C3">
        <w:trPr>
          <w:trHeight w:val="792"/>
          <w:jc w:val="center"/>
        </w:trPr>
        <w:tc>
          <w:tcPr>
            <w:tcW w:w="1627" w:type="dxa"/>
            <w:tcBorders>
              <w:top w:val="nil"/>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eastAsia="de-AT"/>
              </w:rPr>
            </w:pPr>
            <w:r w:rsidRPr="007A5C96">
              <w:rPr>
                <w:b/>
                <w:bCs/>
                <w:color w:val="000000"/>
                <w:szCs w:val="18"/>
                <w:lang w:eastAsia="de-AT"/>
              </w:rPr>
              <w:t> </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Evaluators / evaluator teams are limited to a single technical topic (e.g., source zone characterization, ground motion characterization, site characterization)</w:t>
            </w:r>
          </w:p>
        </w:tc>
      </w:tr>
      <w:tr w:rsidR="007A5C96" w:rsidRPr="007A5C96" w:rsidTr="00B047C3">
        <w:trPr>
          <w:trHeight w:val="264"/>
          <w:jc w:val="center"/>
        </w:trPr>
        <w:tc>
          <w:tcPr>
            <w:tcW w:w="1627" w:type="dxa"/>
            <w:tcBorders>
              <w:top w:val="nil"/>
              <w:left w:val="single" w:sz="8" w:space="0" w:color="auto"/>
              <w:bottom w:val="single" w:sz="4"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Peer review</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Participatory, including both technical and process rievew</w:t>
            </w:r>
          </w:p>
        </w:tc>
      </w:tr>
      <w:tr w:rsidR="007A5C96" w:rsidRPr="007A5C96" w:rsidTr="00B047C3">
        <w:trPr>
          <w:trHeight w:val="792"/>
          <w:jc w:val="center"/>
        </w:trPr>
        <w:tc>
          <w:tcPr>
            <w:tcW w:w="1627" w:type="dxa"/>
            <w:tcBorders>
              <w:top w:val="nil"/>
              <w:left w:val="single" w:sz="8" w:space="0" w:color="auto"/>
              <w:bottom w:val="single" w:sz="4" w:space="0" w:color="auto"/>
              <w:right w:val="single" w:sz="4" w:space="0" w:color="auto"/>
            </w:tcBorders>
            <w:shd w:val="clear" w:color="auto" w:fill="auto"/>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Documentation</w:t>
            </w:r>
          </w:p>
        </w:tc>
        <w:tc>
          <w:tcPr>
            <w:tcW w:w="6672" w:type="dxa"/>
            <w:tcBorders>
              <w:top w:val="nil"/>
              <w:left w:val="nil"/>
              <w:bottom w:val="single" w:sz="4"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Documentation includes all information required for Level 3 plus individual summaries by each evaluator expert to express his interpretations, technical bases, and estimates of uncertainty</w:t>
            </w:r>
          </w:p>
        </w:tc>
      </w:tr>
      <w:tr w:rsidR="007A5C96" w:rsidRPr="007A5C96" w:rsidTr="00B047C3">
        <w:trPr>
          <w:trHeight w:val="540"/>
          <w:jc w:val="center"/>
        </w:trPr>
        <w:tc>
          <w:tcPr>
            <w:tcW w:w="1627" w:type="dxa"/>
            <w:tcBorders>
              <w:top w:val="nil"/>
              <w:left w:val="single" w:sz="8" w:space="0" w:color="auto"/>
              <w:bottom w:val="single" w:sz="8" w:space="0" w:color="auto"/>
              <w:right w:val="single" w:sz="4" w:space="0" w:color="auto"/>
            </w:tcBorders>
            <w:shd w:val="clear" w:color="auto" w:fill="auto"/>
            <w:noWrap/>
            <w:hideMark/>
          </w:tcPr>
          <w:p w:rsidR="007A5C96" w:rsidRPr="007A5C96" w:rsidRDefault="007A5C96" w:rsidP="007A5C96">
            <w:pPr>
              <w:spacing w:line="240" w:lineRule="auto"/>
              <w:jc w:val="left"/>
              <w:rPr>
                <w:b/>
                <w:bCs/>
                <w:color w:val="000000"/>
                <w:szCs w:val="18"/>
                <w:lang w:val="de-AT" w:eastAsia="de-AT"/>
              </w:rPr>
            </w:pPr>
            <w:r w:rsidRPr="007A5C96">
              <w:rPr>
                <w:b/>
                <w:bCs/>
                <w:color w:val="000000"/>
                <w:szCs w:val="18"/>
                <w:lang w:val="de-AT" w:eastAsia="de-AT"/>
              </w:rPr>
              <w:t>Application</w:t>
            </w:r>
          </w:p>
        </w:tc>
        <w:tc>
          <w:tcPr>
            <w:tcW w:w="6672" w:type="dxa"/>
            <w:tcBorders>
              <w:top w:val="nil"/>
              <w:left w:val="nil"/>
              <w:bottom w:val="single" w:sz="8" w:space="0" w:color="auto"/>
              <w:right w:val="single" w:sz="8" w:space="0" w:color="auto"/>
            </w:tcBorders>
            <w:shd w:val="clear" w:color="auto" w:fill="auto"/>
            <w:hideMark/>
          </w:tcPr>
          <w:p w:rsidR="007A5C96" w:rsidRPr="007A5C96" w:rsidRDefault="007A5C96" w:rsidP="007A5C96">
            <w:pPr>
              <w:spacing w:line="240" w:lineRule="auto"/>
              <w:jc w:val="left"/>
              <w:rPr>
                <w:color w:val="000000"/>
                <w:szCs w:val="18"/>
                <w:lang w:eastAsia="de-AT"/>
              </w:rPr>
            </w:pPr>
            <w:r w:rsidRPr="007A5C96">
              <w:rPr>
                <w:color w:val="000000"/>
                <w:szCs w:val="18"/>
                <w:lang w:eastAsia="de-AT"/>
              </w:rPr>
              <w:t>PSHA for nuclear installations (Switzerland: NAGRA, 2004; Yucca Mountain: CRWMS M&amp;O, 1996; 1998)</w:t>
            </w:r>
          </w:p>
        </w:tc>
      </w:tr>
    </w:tbl>
    <w:p w:rsidR="007A5C96" w:rsidRPr="007A5C96" w:rsidRDefault="007A5C96" w:rsidP="001E2D8C"/>
    <w:p w:rsidR="007A5C96" w:rsidRDefault="007A5C96" w:rsidP="004D245D">
      <w:pPr>
        <w:pStyle w:val="ASAMPSAtable"/>
        <w:numPr>
          <w:ilvl w:val="0"/>
          <w:numId w:val="0"/>
        </w:numPr>
        <w:ind w:left="720" w:hanging="360"/>
      </w:pPr>
      <w:bookmarkStart w:id="195" w:name="_Ref433371532"/>
      <w:bookmarkStart w:id="196" w:name="_Toc456012035"/>
      <w:r>
        <w:t xml:space="preserve">Table </w:t>
      </w:r>
      <w:r>
        <w:fldChar w:fldCharType="begin"/>
      </w:r>
      <w:r>
        <w:instrText xml:space="preserve"> SEQ Table \* ARABIC </w:instrText>
      </w:r>
      <w:r>
        <w:fldChar w:fldCharType="separate"/>
      </w:r>
      <w:r w:rsidR="00173034">
        <w:rPr>
          <w:noProof/>
        </w:rPr>
        <w:t>11</w:t>
      </w:r>
      <w:r>
        <w:fldChar w:fldCharType="end"/>
      </w:r>
      <w:bookmarkEnd w:id="195"/>
      <w:r>
        <w:t xml:space="preserve">.  </w:t>
      </w:r>
      <w:r w:rsidR="004D245D">
        <w:t>Summaries of the struture and content of SSHAC Level 1 to Level 4 PSHAs</w:t>
      </w:r>
      <w:bookmarkEnd w:id="196"/>
    </w:p>
    <w:p w:rsidR="00BB27FD" w:rsidRPr="00BB27FD" w:rsidRDefault="009F0DD8" w:rsidP="00BB27FD">
      <w:pPr>
        <w:pStyle w:val="Titre2"/>
        <w:rPr>
          <w:lang w:val="en-US"/>
        </w:rPr>
      </w:pPr>
      <w:r>
        <w:rPr>
          <w:lang w:val="en-US"/>
        </w:rPr>
        <w:br w:type="page"/>
      </w:r>
      <w:bookmarkStart w:id="197" w:name="_Toc456011922"/>
      <w:r w:rsidR="00E01D15" w:rsidRPr="00BB27FD">
        <w:rPr>
          <w:lang w:val="en-US"/>
        </w:rPr>
        <w:lastRenderedPageBreak/>
        <w:t>Advance of science and technology</w:t>
      </w:r>
      <w:bookmarkEnd w:id="197"/>
      <w:r w:rsidR="00E01D15" w:rsidRPr="00BB27FD">
        <w:rPr>
          <w:lang w:val="en-US"/>
        </w:rPr>
        <w:t xml:space="preserve"> </w:t>
      </w:r>
    </w:p>
    <w:p w:rsidR="00E07B52" w:rsidRDefault="00E07B52" w:rsidP="00BD0711">
      <w:pPr>
        <w:rPr>
          <w:lang w:val="en-US"/>
        </w:rPr>
      </w:pPr>
      <w:r w:rsidRPr="001A47AE">
        <w:rPr>
          <w:lang w:val="en-US"/>
        </w:rPr>
        <w:t xml:space="preserve">The assessment of seismotectonic hazards currently benefits from dramatic progresses in science which </w:t>
      </w:r>
      <w:r w:rsidR="006C2ADC">
        <w:rPr>
          <w:lang w:val="en-US"/>
        </w:rPr>
        <w:t>is</w:t>
      </w:r>
      <w:r w:rsidRPr="001A47AE">
        <w:rPr>
          <w:lang w:val="en-US"/>
        </w:rPr>
        <w:t xml:space="preserve"> mainly driven by pure research. The focused interest of a large part of the Earth sciences community in active defo</w:t>
      </w:r>
      <w:r w:rsidRPr="001A47AE">
        <w:rPr>
          <w:lang w:val="en-US"/>
        </w:rPr>
        <w:t>r</w:t>
      </w:r>
      <w:r w:rsidRPr="001A47AE">
        <w:rPr>
          <w:lang w:val="en-US"/>
        </w:rPr>
        <w:t xml:space="preserve">mation processes has led to an explosion </w:t>
      </w:r>
      <w:r w:rsidR="00C55390">
        <w:rPr>
          <w:lang w:val="en-US"/>
        </w:rPr>
        <w:t>of the number of scientif</w:t>
      </w:r>
      <w:r w:rsidRPr="001A47AE">
        <w:rPr>
          <w:lang w:val="en-US"/>
        </w:rPr>
        <w:t xml:space="preserve">ic articles dealing with </w:t>
      </w:r>
      <w:r w:rsidR="004D651D">
        <w:rPr>
          <w:lang w:val="en-US"/>
        </w:rPr>
        <w:t xml:space="preserve">seismic rupture </w:t>
      </w:r>
      <w:r w:rsidR="001A47AE">
        <w:rPr>
          <w:lang w:val="en-US"/>
        </w:rPr>
        <w:t>proces</w:t>
      </w:r>
      <w:r w:rsidR="001A47AE">
        <w:rPr>
          <w:lang w:val="en-US"/>
        </w:rPr>
        <w:t>s</w:t>
      </w:r>
      <w:r w:rsidR="001A47AE">
        <w:rPr>
          <w:lang w:val="en-US"/>
        </w:rPr>
        <w:t xml:space="preserve">es, </w:t>
      </w:r>
      <w:r w:rsidRPr="001A47AE">
        <w:rPr>
          <w:lang w:val="en-US"/>
        </w:rPr>
        <w:t xml:space="preserve">the rheology of seismogenic deformation, </w:t>
      </w:r>
      <w:r w:rsidR="004D651D" w:rsidRPr="001A47AE">
        <w:rPr>
          <w:lang w:val="en-US"/>
        </w:rPr>
        <w:t xml:space="preserve">earthquake geology, </w:t>
      </w:r>
      <w:r w:rsidRPr="001A47AE">
        <w:rPr>
          <w:lang w:val="en-US"/>
        </w:rPr>
        <w:t xml:space="preserve">and the youngest tectonic and </w:t>
      </w:r>
      <w:r w:rsidR="001A47AE" w:rsidRPr="001A47AE">
        <w:rPr>
          <w:lang w:val="en-US"/>
        </w:rPr>
        <w:t>geologic evol</w:t>
      </w:r>
      <w:r w:rsidR="001A47AE" w:rsidRPr="001A47AE">
        <w:rPr>
          <w:lang w:val="en-US"/>
        </w:rPr>
        <w:t>u</w:t>
      </w:r>
      <w:r w:rsidR="001A47AE" w:rsidRPr="001A47AE">
        <w:rPr>
          <w:lang w:val="en-US"/>
        </w:rPr>
        <w:t xml:space="preserve">tion of many European regions. </w:t>
      </w:r>
      <w:r w:rsidR="001A47AE">
        <w:rPr>
          <w:lang w:val="en-US"/>
        </w:rPr>
        <w:t>This co</w:t>
      </w:r>
      <w:r w:rsidR="00601EA7">
        <w:rPr>
          <w:lang w:val="en-US"/>
        </w:rPr>
        <w:t>ncerted research efforts led to</w:t>
      </w:r>
      <w:r w:rsidR="001A47AE">
        <w:rPr>
          <w:lang w:val="en-US"/>
        </w:rPr>
        <w:t>:</w:t>
      </w:r>
    </w:p>
    <w:p w:rsidR="00A06402" w:rsidRPr="001A47AE" w:rsidRDefault="00BC7B34" w:rsidP="00860D1D">
      <w:pPr>
        <w:numPr>
          <w:ilvl w:val="0"/>
          <w:numId w:val="43"/>
        </w:numPr>
        <w:rPr>
          <w:lang w:val="en-US"/>
        </w:rPr>
      </w:pPr>
      <w:r>
        <w:rPr>
          <w:lang w:val="en-US"/>
        </w:rPr>
        <w:t>c</w:t>
      </w:r>
      <w:r w:rsidR="001A47AE">
        <w:rPr>
          <w:lang w:val="en-US"/>
        </w:rPr>
        <w:t>ollection</w:t>
      </w:r>
      <w:r w:rsidR="00E07B52" w:rsidRPr="001A47AE">
        <w:rPr>
          <w:lang w:val="en-US"/>
        </w:rPr>
        <w:t xml:space="preserve"> of</w:t>
      </w:r>
      <w:r w:rsidR="00C55390">
        <w:rPr>
          <w:lang w:val="en-US"/>
        </w:rPr>
        <w:t xml:space="preserve"> a large amount of </w:t>
      </w:r>
      <w:r w:rsidR="00E07B52" w:rsidRPr="001A47AE">
        <w:rPr>
          <w:lang w:val="en-US"/>
        </w:rPr>
        <w:t xml:space="preserve">novel and precise </w:t>
      </w:r>
      <w:r w:rsidR="00A06402" w:rsidRPr="001A47AE">
        <w:rPr>
          <w:lang w:val="en-US"/>
        </w:rPr>
        <w:t xml:space="preserve">data </w:t>
      </w:r>
      <w:r w:rsidR="001A47AE">
        <w:rPr>
          <w:lang w:val="en-US"/>
        </w:rPr>
        <w:t xml:space="preserve">that allow to </w:t>
      </w:r>
      <w:r w:rsidR="00E07B52" w:rsidRPr="001A47AE">
        <w:rPr>
          <w:lang w:val="en-US"/>
        </w:rPr>
        <w:t>assess</w:t>
      </w:r>
      <w:r w:rsidR="001A47AE">
        <w:rPr>
          <w:lang w:val="en-US"/>
        </w:rPr>
        <w:t xml:space="preserve"> </w:t>
      </w:r>
      <w:r w:rsidR="00E07B52" w:rsidRPr="001A47AE">
        <w:rPr>
          <w:lang w:val="en-US"/>
        </w:rPr>
        <w:t xml:space="preserve">seismotectonic </w:t>
      </w:r>
      <w:r w:rsidR="00A06402" w:rsidRPr="001A47AE">
        <w:rPr>
          <w:lang w:val="en-US"/>
        </w:rPr>
        <w:t xml:space="preserve">processes </w:t>
      </w:r>
      <w:r w:rsidR="001A47AE">
        <w:rPr>
          <w:lang w:val="en-US"/>
        </w:rPr>
        <w:t xml:space="preserve">(e.g., data from </w:t>
      </w:r>
      <w:r w:rsidR="00A06402" w:rsidRPr="001A47AE">
        <w:rPr>
          <w:lang w:val="en-US"/>
        </w:rPr>
        <w:t>dense and sensitive seismological networks</w:t>
      </w:r>
      <w:r w:rsidR="001A47AE">
        <w:rPr>
          <w:lang w:val="en-US"/>
        </w:rPr>
        <w:t xml:space="preserve">; </w:t>
      </w:r>
      <w:r w:rsidR="00A06402" w:rsidRPr="001A47AE">
        <w:rPr>
          <w:lang w:val="en-US"/>
        </w:rPr>
        <w:t>GPS geodesy</w:t>
      </w:r>
      <w:r w:rsidR="001A47AE">
        <w:rPr>
          <w:lang w:val="en-US"/>
        </w:rPr>
        <w:t>;</w:t>
      </w:r>
      <w:r w:rsidR="00A06402" w:rsidRPr="001A47AE">
        <w:rPr>
          <w:lang w:val="en-US"/>
        </w:rPr>
        <w:t xml:space="preserve"> </w:t>
      </w:r>
      <w:r w:rsidR="00E07B52" w:rsidRPr="001A47AE">
        <w:rPr>
          <w:lang w:val="en-US"/>
        </w:rPr>
        <w:t>LIDAR-derived digital elevation d</w:t>
      </w:r>
      <w:r w:rsidR="00E07B52" w:rsidRPr="001A47AE">
        <w:rPr>
          <w:lang w:val="en-US"/>
        </w:rPr>
        <w:t>a</w:t>
      </w:r>
      <w:r w:rsidR="00E07B52" w:rsidRPr="001A47AE">
        <w:rPr>
          <w:lang w:val="en-US"/>
        </w:rPr>
        <w:t>ta</w:t>
      </w:r>
      <w:r w:rsidR="001A47AE">
        <w:rPr>
          <w:lang w:val="en-US"/>
        </w:rPr>
        <w:t>)</w:t>
      </w:r>
      <w:r w:rsidR="002563E1">
        <w:rPr>
          <w:lang w:val="en-US"/>
        </w:rPr>
        <w:t>;</w:t>
      </w:r>
    </w:p>
    <w:p w:rsidR="00E07B52" w:rsidRDefault="00BC7B34" w:rsidP="00860D1D">
      <w:pPr>
        <w:numPr>
          <w:ilvl w:val="0"/>
          <w:numId w:val="43"/>
        </w:numPr>
        <w:rPr>
          <w:lang w:val="en-US"/>
        </w:rPr>
      </w:pPr>
      <w:r>
        <w:rPr>
          <w:lang w:val="en-US"/>
        </w:rPr>
        <w:t>u</w:t>
      </w:r>
      <w:r w:rsidR="001A47AE">
        <w:rPr>
          <w:lang w:val="en-US"/>
        </w:rPr>
        <w:t xml:space="preserve">pdated and novel </w:t>
      </w:r>
      <w:r w:rsidR="00E07B52" w:rsidRPr="001A47AE">
        <w:rPr>
          <w:lang w:val="en-US"/>
        </w:rPr>
        <w:t>methodologies to identify active faults including tectonic geomorpholo</w:t>
      </w:r>
      <w:r w:rsidR="00C55390">
        <w:rPr>
          <w:lang w:val="en-US"/>
        </w:rPr>
        <w:t>g</w:t>
      </w:r>
      <w:r w:rsidR="00E07B52" w:rsidRPr="001A47AE">
        <w:rPr>
          <w:lang w:val="en-US"/>
        </w:rPr>
        <w:t>y and pale</w:t>
      </w:r>
      <w:r w:rsidR="00E07B52" w:rsidRPr="001A47AE">
        <w:rPr>
          <w:lang w:val="en-US"/>
        </w:rPr>
        <w:t>o</w:t>
      </w:r>
      <w:r w:rsidR="002563E1">
        <w:rPr>
          <w:lang w:val="en-US"/>
        </w:rPr>
        <w:t>seismology;</w:t>
      </w:r>
    </w:p>
    <w:p w:rsidR="00A06402" w:rsidRPr="001A47AE" w:rsidRDefault="00BC7B34" w:rsidP="00860D1D">
      <w:pPr>
        <w:numPr>
          <w:ilvl w:val="0"/>
          <w:numId w:val="43"/>
        </w:numPr>
        <w:rPr>
          <w:lang w:val="en-US"/>
        </w:rPr>
      </w:pPr>
      <w:r>
        <w:rPr>
          <w:lang w:val="en-US"/>
        </w:rPr>
        <w:t>i</w:t>
      </w:r>
      <w:r w:rsidR="00A06402" w:rsidRPr="001A47AE">
        <w:rPr>
          <w:lang w:val="en-US"/>
        </w:rPr>
        <w:t xml:space="preserve">dentification of </w:t>
      </w:r>
      <w:r w:rsidR="00E07B52" w:rsidRPr="001A47AE">
        <w:rPr>
          <w:lang w:val="en-US"/>
        </w:rPr>
        <w:t xml:space="preserve">a still increasing number of </w:t>
      </w:r>
      <w:r w:rsidR="00A06402" w:rsidRPr="001A47AE">
        <w:rPr>
          <w:lang w:val="en-US"/>
        </w:rPr>
        <w:t>active fault</w:t>
      </w:r>
      <w:r w:rsidR="001A47AE">
        <w:rPr>
          <w:lang w:val="en-US"/>
        </w:rPr>
        <w:t>s</w:t>
      </w:r>
      <w:r w:rsidR="00A06402" w:rsidRPr="001A47AE">
        <w:rPr>
          <w:lang w:val="en-US"/>
        </w:rPr>
        <w:t xml:space="preserve"> driven by basic research and scientific curiosity</w:t>
      </w:r>
      <w:r w:rsidR="002563E1">
        <w:rPr>
          <w:lang w:val="en-US"/>
        </w:rPr>
        <w:t>;</w:t>
      </w:r>
      <w:r w:rsidR="00A06402" w:rsidRPr="001A47AE">
        <w:rPr>
          <w:lang w:val="en-US"/>
        </w:rPr>
        <w:t xml:space="preserve"> </w:t>
      </w:r>
    </w:p>
    <w:p w:rsidR="001A47AE" w:rsidRDefault="00BC7B34" w:rsidP="00860D1D">
      <w:pPr>
        <w:numPr>
          <w:ilvl w:val="0"/>
          <w:numId w:val="43"/>
        </w:numPr>
        <w:rPr>
          <w:lang w:val="en-US"/>
        </w:rPr>
      </w:pPr>
      <w:r>
        <w:rPr>
          <w:lang w:val="en-US"/>
        </w:rPr>
        <w:t>a</w:t>
      </w:r>
      <w:r w:rsidR="001A47AE">
        <w:rPr>
          <w:lang w:val="en-US"/>
        </w:rPr>
        <w:t xml:space="preserve"> better u</w:t>
      </w:r>
      <w:r w:rsidR="001A47AE" w:rsidRPr="001A47AE">
        <w:rPr>
          <w:lang w:val="en-US"/>
        </w:rPr>
        <w:t>nderstanding of seismotectonic processes</w:t>
      </w:r>
      <w:r w:rsidR="004D651D">
        <w:rPr>
          <w:lang w:val="en-US"/>
        </w:rPr>
        <w:t xml:space="preserve"> of large parts of Europe.</w:t>
      </w:r>
    </w:p>
    <w:p w:rsidR="00C55390" w:rsidRDefault="00C55390" w:rsidP="004D651D">
      <w:pPr>
        <w:rPr>
          <w:lang w:val="en-US"/>
        </w:rPr>
      </w:pPr>
    </w:p>
    <w:p w:rsidR="00C55390" w:rsidRDefault="006C2ADC" w:rsidP="004D651D">
      <w:pPr>
        <w:rPr>
          <w:lang w:val="en-US"/>
        </w:rPr>
      </w:pPr>
      <w:r>
        <w:rPr>
          <w:lang w:val="en-US"/>
        </w:rPr>
        <w:t>Thes</w:t>
      </w:r>
      <w:r w:rsidR="00B550EB">
        <w:rPr>
          <w:lang w:val="en-US"/>
        </w:rPr>
        <w:t>e</w:t>
      </w:r>
      <w:r>
        <w:rPr>
          <w:lang w:val="en-US"/>
        </w:rPr>
        <w:t xml:space="preserve"> new findings can lead to better characterizations of so</w:t>
      </w:r>
      <w:r w:rsidR="00B550EB">
        <w:rPr>
          <w:lang w:val="en-US"/>
        </w:rPr>
        <w:t>u</w:t>
      </w:r>
      <w:r>
        <w:rPr>
          <w:lang w:val="en-US"/>
        </w:rPr>
        <w:t>rce zones (both fault and area sources) and more acc</w:t>
      </w:r>
      <w:r>
        <w:rPr>
          <w:lang w:val="en-US"/>
        </w:rPr>
        <w:t>u</w:t>
      </w:r>
      <w:r>
        <w:rPr>
          <w:lang w:val="en-US"/>
        </w:rPr>
        <w:t xml:space="preserve">rate assessments of long-term seismicity rates thereby increasing the reliabity of the input datas for SHA. </w:t>
      </w:r>
      <w:r w:rsidR="00C55390">
        <w:rPr>
          <w:lang w:val="en-US"/>
        </w:rPr>
        <w:t>Most of these new findings are currently not included in the routines of seismic hazard assessment, although the SHARE project made an attempt to include active faults as sources its European</w:t>
      </w:r>
      <w:r w:rsidR="0011053B">
        <w:rPr>
          <w:lang w:val="en-US"/>
        </w:rPr>
        <w:t xml:space="preserve"> seismic hazard map</w:t>
      </w:r>
      <w:r w:rsidR="0011053B">
        <w:rPr>
          <w:rStyle w:val="Appelnotedebasdep"/>
          <w:lang w:val="en-US"/>
        </w:rPr>
        <w:footnoteReference w:id="20"/>
      </w:r>
      <w:r w:rsidR="002563E1">
        <w:rPr>
          <w:lang w:val="en-US"/>
        </w:rPr>
        <w:t xml:space="preserve"> and the GEM pr</w:t>
      </w:r>
      <w:r w:rsidR="002563E1">
        <w:rPr>
          <w:lang w:val="en-US"/>
        </w:rPr>
        <w:t>o</w:t>
      </w:r>
      <w:r w:rsidR="002563E1">
        <w:rPr>
          <w:lang w:val="en-US"/>
        </w:rPr>
        <w:t>ject</w:t>
      </w:r>
      <w:r w:rsidR="0011053B">
        <w:rPr>
          <w:rStyle w:val="Appelnotedebasdep"/>
          <w:lang w:val="en-US"/>
        </w:rPr>
        <w:footnoteReference w:id="21"/>
      </w:r>
      <w:r w:rsidR="002563E1">
        <w:rPr>
          <w:lang w:val="en-US"/>
        </w:rPr>
        <w:t xml:space="preserve"> is continuing these</w:t>
      </w:r>
      <w:r w:rsidR="0011053B">
        <w:rPr>
          <w:lang w:val="en-US"/>
        </w:rPr>
        <w:t xml:space="preserve"> efforts</w:t>
      </w:r>
      <w:r w:rsidR="00601EA7">
        <w:rPr>
          <w:lang w:val="en-US"/>
        </w:rPr>
        <w:t>.</w:t>
      </w:r>
    </w:p>
    <w:p w:rsidR="00C55390" w:rsidRDefault="00C55390" w:rsidP="004D651D">
      <w:pPr>
        <w:rPr>
          <w:lang w:val="en-US"/>
        </w:rPr>
      </w:pPr>
    </w:p>
    <w:p w:rsidR="00DD49FB" w:rsidRDefault="00DD49FB" w:rsidP="00DD49FB">
      <w:pPr>
        <w:rPr>
          <w:lang w:val="en-US"/>
        </w:rPr>
      </w:pPr>
      <w:r>
        <w:rPr>
          <w:lang w:val="en-US"/>
        </w:rPr>
        <w:t>Significant progress is currently being made in the integration of fault models in PSHA. Current efforts include the implementation of codes into computer programs and software such as OpenQuake</w:t>
      </w:r>
      <w:r w:rsidR="00693F1A">
        <w:rPr>
          <w:rStyle w:val="Appelnotedebasdep"/>
          <w:lang w:val="en-US"/>
        </w:rPr>
        <w:footnoteReference w:id="22"/>
      </w:r>
      <w:r>
        <w:rPr>
          <w:lang w:val="en-US"/>
        </w:rPr>
        <w:t xml:space="preserve"> which allow to implement 3D fault data </w:t>
      </w:r>
      <w:r w:rsidRPr="00CC311C">
        <w:rPr>
          <w:lang w:val="en-US"/>
        </w:rPr>
        <w:t xml:space="preserve">both in terms of </w:t>
      </w:r>
      <w:r>
        <w:rPr>
          <w:lang w:val="en-US"/>
        </w:rPr>
        <w:t xml:space="preserve">their </w:t>
      </w:r>
      <w:r w:rsidRPr="00CC311C">
        <w:rPr>
          <w:lang w:val="en-US"/>
        </w:rPr>
        <w:t xml:space="preserve">geometry and earthquake </w:t>
      </w:r>
      <w:r>
        <w:rPr>
          <w:lang w:val="en-US"/>
        </w:rPr>
        <w:t>behavior</w:t>
      </w:r>
      <w:r w:rsidR="00693F1A">
        <w:rPr>
          <w:lang w:val="en-US"/>
        </w:rPr>
        <w:t xml:space="preserve"> (Siva et al., 2013; Weatherill et al., 2016)</w:t>
      </w:r>
      <w:r>
        <w:rPr>
          <w:lang w:val="en-US"/>
        </w:rPr>
        <w:t>. To date s</w:t>
      </w:r>
      <w:r w:rsidRPr="00CC311C">
        <w:rPr>
          <w:lang w:val="en-US"/>
        </w:rPr>
        <w:t>eismic hazard calculations can</w:t>
      </w:r>
      <w:r>
        <w:rPr>
          <w:lang w:val="en-US"/>
        </w:rPr>
        <w:t xml:space="preserve"> </w:t>
      </w:r>
      <w:r w:rsidRPr="00CC311C">
        <w:rPr>
          <w:lang w:val="en-US"/>
        </w:rPr>
        <w:t>take into account complexities such as geometrical irregularity of faults in the prediction of ground motion</w:t>
      </w:r>
      <w:r w:rsidR="00601EA7">
        <w:rPr>
          <w:lang w:val="en-US"/>
        </w:rPr>
        <w:t>.</w:t>
      </w:r>
    </w:p>
    <w:p w:rsidR="004D651D" w:rsidRPr="001A47AE" w:rsidRDefault="004D651D" w:rsidP="004D651D">
      <w:pPr>
        <w:rPr>
          <w:lang w:val="en-US"/>
        </w:rPr>
      </w:pPr>
    </w:p>
    <w:p w:rsidR="00960CC2" w:rsidRDefault="004D651D" w:rsidP="00BD0711">
      <w:pPr>
        <w:rPr>
          <w:lang w:val="en-US"/>
        </w:rPr>
      </w:pPr>
      <w:r>
        <w:rPr>
          <w:lang w:val="en-US"/>
        </w:rPr>
        <w:t xml:space="preserve">The outlined continuous progress of science and technology </w:t>
      </w:r>
      <w:r w:rsidR="00B51B42">
        <w:rPr>
          <w:lang w:val="en-US"/>
        </w:rPr>
        <w:t xml:space="preserve">and its </w:t>
      </w:r>
      <w:r w:rsidR="009120B5">
        <w:rPr>
          <w:lang w:val="en-US"/>
        </w:rPr>
        <w:t>significance</w:t>
      </w:r>
      <w:r w:rsidR="00B51B42">
        <w:rPr>
          <w:lang w:val="en-US"/>
        </w:rPr>
        <w:t xml:space="preserve"> for nuclear safety </w:t>
      </w:r>
      <w:r>
        <w:rPr>
          <w:lang w:val="en-US"/>
        </w:rPr>
        <w:t xml:space="preserve">has </w:t>
      </w:r>
      <w:r w:rsidR="00B51B42">
        <w:rPr>
          <w:lang w:val="en-US"/>
        </w:rPr>
        <w:t xml:space="preserve">been </w:t>
      </w:r>
      <w:r w:rsidR="00C55390">
        <w:rPr>
          <w:lang w:val="en-US"/>
        </w:rPr>
        <w:t>unde</w:t>
      </w:r>
      <w:r w:rsidR="00C55390">
        <w:rPr>
          <w:lang w:val="en-US"/>
        </w:rPr>
        <w:t>r</w:t>
      </w:r>
      <w:r w:rsidR="00C55390">
        <w:rPr>
          <w:lang w:val="en-US"/>
        </w:rPr>
        <w:t>lined</w:t>
      </w:r>
      <w:r w:rsidR="00960CC2">
        <w:rPr>
          <w:lang w:val="en-US"/>
        </w:rPr>
        <w:t xml:space="preserve"> by ENSREG (2012 a,b) who highlighted the importance </w:t>
      </w:r>
      <w:r w:rsidR="006C2ADC">
        <w:rPr>
          <w:lang w:val="en-US"/>
        </w:rPr>
        <w:t xml:space="preserve">to </w:t>
      </w:r>
      <w:r w:rsidR="00960CC2">
        <w:rPr>
          <w:lang w:val="en-US"/>
        </w:rPr>
        <w:t xml:space="preserve">reevaluate natural hazards at least every 10 years (see also chapter </w:t>
      </w:r>
      <w:r w:rsidR="00960CC2">
        <w:rPr>
          <w:lang w:val="en-US"/>
        </w:rPr>
        <w:fldChar w:fldCharType="begin"/>
      </w:r>
      <w:r w:rsidR="00960CC2">
        <w:rPr>
          <w:lang w:val="en-US"/>
        </w:rPr>
        <w:instrText xml:space="preserve"> REF _Ref433650492 \r \h </w:instrText>
      </w:r>
      <w:r w:rsidR="00960CC2">
        <w:rPr>
          <w:lang w:val="en-US"/>
        </w:rPr>
      </w:r>
      <w:r w:rsidR="00960CC2">
        <w:rPr>
          <w:lang w:val="en-US"/>
        </w:rPr>
        <w:fldChar w:fldCharType="separate"/>
      </w:r>
      <w:r w:rsidR="00173034">
        <w:rPr>
          <w:lang w:val="en-US"/>
        </w:rPr>
        <w:t>1.1</w:t>
      </w:r>
      <w:r w:rsidR="00960CC2">
        <w:rPr>
          <w:lang w:val="en-US"/>
        </w:rPr>
        <w:fldChar w:fldCharType="end"/>
      </w:r>
      <w:r w:rsidR="00960CC2">
        <w:rPr>
          <w:lang w:val="en-US"/>
        </w:rPr>
        <w:t xml:space="preserve">, page </w:t>
      </w:r>
      <w:r w:rsidR="00960CC2">
        <w:rPr>
          <w:lang w:val="en-US"/>
        </w:rPr>
        <w:fldChar w:fldCharType="begin"/>
      </w:r>
      <w:r w:rsidR="00960CC2">
        <w:rPr>
          <w:lang w:val="en-US"/>
        </w:rPr>
        <w:instrText xml:space="preserve"> PAGEREF _Ref433650495 \h </w:instrText>
      </w:r>
      <w:r w:rsidR="00960CC2">
        <w:rPr>
          <w:lang w:val="en-US"/>
        </w:rPr>
      </w:r>
      <w:r w:rsidR="00960CC2">
        <w:rPr>
          <w:lang w:val="en-US"/>
        </w:rPr>
        <w:fldChar w:fldCharType="separate"/>
      </w:r>
      <w:r w:rsidR="00173034">
        <w:rPr>
          <w:noProof/>
          <w:lang w:val="en-US"/>
        </w:rPr>
        <w:t>17</w:t>
      </w:r>
      <w:r w:rsidR="00960CC2">
        <w:rPr>
          <w:lang w:val="en-US"/>
        </w:rPr>
        <w:fldChar w:fldCharType="end"/>
      </w:r>
      <w:r w:rsidR="00960CC2">
        <w:rPr>
          <w:lang w:val="en-US"/>
        </w:rPr>
        <w:t>). Periodic hazard reviews are consequently also addressed by the WENRA Safety Reference Levlels (WENRA, 2014, Issue P, Periodic Safety Reviews) and by WENRA (2013).</w:t>
      </w:r>
    </w:p>
    <w:p w:rsidR="00960CC2" w:rsidRDefault="00960CC2" w:rsidP="00BD0711">
      <w:pPr>
        <w:rPr>
          <w:lang w:val="en-US"/>
        </w:rPr>
      </w:pPr>
    </w:p>
    <w:p w:rsidR="00C55390" w:rsidRDefault="00C55390" w:rsidP="00C55390">
      <w:pPr>
        <w:rPr>
          <w:rFonts w:ascii="Calibri" w:hAnsi="Calibri"/>
          <w:sz w:val="22"/>
          <w:szCs w:val="22"/>
          <w:lang w:eastAsia="en-US"/>
        </w:rPr>
      </w:pPr>
      <w:r>
        <w:rPr>
          <w:lang w:val="en-US"/>
        </w:rPr>
        <w:lastRenderedPageBreak/>
        <w:t xml:space="preserve">For seismic hazards WENRA (2016) further suggests the following: </w:t>
      </w:r>
      <w:r w:rsidRPr="00C55390">
        <w:rPr>
          <w:i/>
          <w:lang w:val="en-US"/>
        </w:rPr>
        <w:t>“</w:t>
      </w:r>
      <w:r w:rsidRPr="00C55390">
        <w:rPr>
          <w:i/>
        </w:rPr>
        <w:t>The seismic hazard assessment should be r</w:t>
      </w:r>
      <w:r w:rsidRPr="00C55390">
        <w:rPr>
          <w:i/>
        </w:rPr>
        <w:t>e</w:t>
      </w:r>
      <w:r w:rsidRPr="00C55390">
        <w:rPr>
          <w:i/>
        </w:rPr>
        <w:t>viewed thoroughly and periodically</w:t>
      </w:r>
      <w:r w:rsidRPr="00C55390">
        <w:rPr>
          <w:i/>
          <w:color w:val="0000FF"/>
        </w:rPr>
        <w:t>.</w:t>
      </w:r>
      <w:r w:rsidRPr="00C55390">
        <w:rPr>
          <w:i/>
        </w:rPr>
        <w:t xml:space="preserve"> The reviewers should consider conducting independent hazard assessments involving different groups of experts and considering all relevant interpretations. … New evidence or concerns may arise, e.g. related to seismic sources, newly discovered active or capable faults, new data on ground motion attenuation, or local site effects.”</w:t>
      </w:r>
    </w:p>
    <w:p w:rsidR="00C55390" w:rsidRPr="00C55390" w:rsidRDefault="00C55390" w:rsidP="00BD0711"/>
    <w:p w:rsidR="00D70AA6" w:rsidRDefault="005701D1" w:rsidP="00BB27FD">
      <w:pPr>
        <w:pStyle w:val="Titre1"/>
        <w:keepNext w:val="0"/>
        <w:keepLines/>
        <w:widowControl w:val="0"/>
        <w:tabs>
          <w:tab w:val="num" w:pos="567"/>
        </w:tabs>
        <w:spacing w:before="0" w:after="240"/>
        <w:ind w:left="567" w:hanging="567"/>
        <w:jc w:val="both"/>
      </w:pPr>
      <w:r>
        <w:br w:type="page"/>
      </w:r>
      <w:bookmarkStart w:id="198" w:name="_Toc456011923"/>
      <w:r w:rsidR="00D70AA6" w:rsidRPr="00BB27FD">
        <w:lastRenderedPageBreak/>
        <w:t>Hazard combinations</w:t>
      </w:r>
      <w:bookmarkEnd w:id="198"/>
    </w:p>
    <w:p w:rsidR="00A20052" w:rsidRDefault="00A20052" w:rsidP="00A20052"/>
    <w:p w:rsidR="00A20052" w:rsidRDefault="00A20052" w:rsidP="00A20052">
      <w:r>
        <w:t xml:space="preserve">According to </w:t>
      </w:r>
      <w:r w:rsidR="00CC0921">
        <w:t>A</w:t>
      </w:r>
      <w:r w:rsidR="00A26AE2">
        <w:t>S</w:t>
      </w:r>
      <w:r w:rsidR="00CC0921">
        <w:t xml:space="preserve">AMPSA_E Report </w:t>
      </w:r>
      <w:r>
        <w:t xml:space="preserve">D21.1 the following hazard </w:t>
      </w:r>
      <w:r w:rsidR="00103223">
        <w:t xml:space="preserve">combinations </w:t>
      </w:r>
      <w:r>
        <w:t>are disti</w:t>
      </w:r>
      <w:r>
        <w:t>n</w:t>
      </w:r>
      <w:r w:rsidR="00601EA7">
        <w:t>guished:</w:t>
      </w:r>
    </w:p>
    <w:p w:rsidR="00601EA7" w:rsidRDefault="00601EA7" w:rsidP="00A20052"/>
    <w:p w:rsidR="00A20052" w:rsidRPr="006628F7" w:rsidRDefault="00A20052" w:rsidP="00860D1D">
      <w:pPr>
        <w:numPr>
          <w:ilvl w:val="0"/>
          <w:numId w:val="35"/>
        </w:numPr>
        <w:rPr>
          <w:rStyle w:val="NormalCar"/>
          <w:lang w:val="en-US"/>
        </w:rPr>
      </w:pPr>
      <w:r w:rsidRPr="006628F7">
        <w:rPr>
          <w:rStyle w:val="NormalCar"/>
          <w:b/>
          <w:i/>
          <w:lang w:val="en-US"/>
        </w:rPr>
        <w:t>Correlated hazards</w:t>
      </w:r>
      <w:r w:rsidR="00081717" w:rsidRPr="006628F7">
        <w:rPr>
          <w:rStyle w:val="NormalCar"/>
          <w:b/>
          <w:i/>
          <w:lang w:val="en-US"/>
        </w:rPr>
        <w:t>.</w:t>
      </w:r>
      <w:r w:rsidR="00081717" w:rsidRPr="006628F7">
        <w:rPr>
          <w:rStyle w:val="NormalCar"/>
          <w:lang w:val="en-US"/>
        </w:rPr>
        <w:t xml:space="preserve"> These</w:t>
      </w:r>
      <w:r w:rsidRPr="006628F7">
        <w:rPr>
          <w:rStyle w:val="NormalCar"/>
          <w:lang w:val="en-US"/>
        </w:rPr>
        <w:t xml:space="preserve"> are linked by a cause-effect relation, where </w:t>
      </w:r>
      <w:r w:rsidR="00103223" w:rsidRPr="006628F7">
        <w:rPr>
          <w:rStyle w:val="NormalCar"/>
          <w:lang w:val="en-US"/>
        </w:rPr>
        <w:t xml:space="preserve">an incident of </w:t>
      </w:r>
      <w:r w:rsidRPr="006628F7">
        <w:rPr>
          <w:rStyle w:val="NormalCar"/>
          <w:lang w:val="en-US"/>
        </w:rPr>
        <w:t xml:space="preserve">hazard A triggers or may trigger hazard B (NIER, 2013; “common cause event”, Kuramoto et al., 2014). </w:t>
      </w:r>
      <w:r w:rsidRPr="002C0DCB">
        <w:rPr>
          <w:rStyle w:val="NormalCar"/>
          <w:lang w:val="en-US"/>
        </w:rPr>
        <w:t>Hazar</w:t>
      </w:r>
      <w:r w:rsidR="005A28AF" w:rsidRPr="002C0DCB">
        <w:rPr>
          <w:rStyle w:val="NormalCar"/>
          <w:lang w:val="en-US"/>
        </w:rPr>
        <w:t>ds may be causaly connected in two</w:t>
      </w:r>
      <w:r w:rsidRPr="002C0DCB">
        <w:rPr>
          <w:rStyle w:val="NormalCar"/>
          <w:lang w:val="en-US"/>
        </w:rPr>
        <w:t xml:space="preserve"> way</w:t>
      </w:r>
      <w:r w:rsidR="00601EA7">
        <w:rPr>
          <w:rStyle w:val="NormalCar"/>
          <w:lang w:val="en-US"/>
        </w:rPr>
        <w:t>s</w:t>
      </w:r>
      <w:r w:rsidR="005A28AF" w:rsidRPr="002C0DCB">
        <w:rPr>
          <w:rStyle w:val="NormalCar"/>
          <w:lang w:val="en-US"/>
        </w:rPr>
        <w:t xml:space="preserve">: </w:t>
      </w:r>
      <w:r w:rsidRPr="002C0DCB">
        <w:rPr>
          <w:rStyle w:val="NormalCar"/>
          <w:lang w:val="en-US"/>
        </w:rPr>
        <w:t>(</w:t>
      </w:r>
      <w:r w:rsidR="00081717" w:rsidRPr="002C0DCB">
        <w:rPr>
          <w:rStyle w:val="NormalCar"/>
          <w:lang w:val="en-US"/>
        </w:rPr>
        <w:t>a</w:t>
      </w:r>
      <w:r w:rsidRPr="002C0DCB">
        <w:rPr>
          <w:rStyle w:val="NormalCar"/>
          <w:lang w:val="en-US"/>
        </w:rPr>
        <w:t>) h</w:t>
      </w:r>
      <w:r w:rsidR="00FE7EF6">
        <w:rPr>
          <w:rStyle w:val="NormalCar"/>
          <w:lang w:val="en-US"/>
        </w:rPr>
        <w:t>azard A may cause hazard B (ind</w:t>
      </w:r>
      <w:r w:rsidRPr="002C0DCB">
        <w:rPr>
          <w:rStyle w:val="NormalCar"/>
          <w:lang w:val="en-US"/>
        </w:rPr>
        <w:t>i</w:t>
      </w:r>
      <w:r w:rsidR="00FE7EF6">
        <w:rPr>
          <w:rStyle w:val="NormalCar"/>
          <w:lang w:val="en-US"/>
        </w:rPr>
        <w:t>cat</w:t>
      </w:r>
      <w:r w:rsidRPr="002C0DCB">
        <w:rPr>
          <w:rStyle w:val="NormalCar"/>
          <w:lang w:val="en-US"/>
        </w:rPr>
        <w:t>ing that A is not a prerequisite to B</w:t>
      </w:r>
      <w:r w:rsidR="00081717" w:rsidRPr="002C0DCB">
        <w:rPr>
          <w:rStyle w:val="NormalCar"/>
          <w:lang w:val="en-US"/>
        </w:rPr>
        <w:t>)</w:t>
      </w:r>
      <w:r w:rsidRPr="002C0DCB">
        <w:rPr>
          <w:rStyle w:val="NormalCar"/>
          <w:lang w:val="en-US"/>
        </w:rPr>
        <w:t xml:space="preserve"> or (</w:t>
      </w:r>
      <w:r w:rsidR="00081717" w:rsidRPr="002C0DCB">
        <w:rPr>
          <w:rStyle w:val="NormalCar"/>
          <w:lang w:val="en-US"/>
        </w:rPr>
        <w:t>b</w:t>
      </w:r>
      <w:r w:rsidRPr="002C0DCB">
        <w:rPr>
          <w:rStyle w:val="NormalCar"/>
          <w:lang w:val="en-US"/>
        </w:rPr>
        <w:t>) hazard A is a prerequisite for hazard B</w:t>
      </w:r>
      <w:r w:rsidR="005A28AF" w:rsidRPr="002C0DCB">
        <w:rPr>
          <w:rStyle w:val="NormalCar"/>
          <w:lang w:val="en-US"/>
        </w:rPr>
        <w:t xml:space="preserve"> (</w:t>
      </w:r>
      <w:r w:rsidR="00766742">
        <w:rPr>
          <w:rStyle w:val="NormalCar"/>
        </w:rPr>
        <w:fldChar w:fldCharType="begin"/>
      </w:r>
      <w:r w:rsidR="00766742" w:rsidRPr="002C0DCB">
        <w:rPr>
          <w:rStyle w:val="NormalCar"/>
          <w:lang w:val="en-US"/>
        </w:rPr>
        <w:instrText xml:space="preserve"> REF _Ref451166230 \h </w:instrText>
      </w:r>
      <w:r w:rsidR="00766742">
        <w:rPr>
          <w:rStyle w:val="NormalCar"/>
        </w:rPr>
      </w:r>
      <w:r w:rsidR="00766742">
        <w:rPr>
          <w:rStyle w:val="NormalCar"/>
        </w:rPr>
        <w:fldChar w:fldCharType="separate"/>
      </w:r>
      <w:r w:rsidR="00173034">
        <w:t xml:space="preserve">Figure </w:t>
      </w:r>
      <w:r w:rsidR="00173034">
        <w:rPr>
          <w:noProof/>
        </w:rPr>
        <w:t>24</w:t>
      </w:r>
      <w:r w:rsidR="00766742">
        <w:rPr>
          <w:rStyle w:val="NormalCar"/>
        </w:rPr>
        <w:fldChar w:fldCharType="end"/>
      </w:r>
      <w:r w:rsidR="005A28AF" w:rsidRPr="006628F7">
        <w:rPr>
          <w:rStyle w:val="NormalCar"/>
          <w:lang w:val="en-US"/>
        </w:rPr>
        <w:t>)</w:t>
      </w:r>
      <w:r w:rsidRPr="006628F7">
        <w:rPr>
          <w:rStyle w:val="NormalCar"/>
          <w:lang w:val="en-US"/>
        </w:rPr>
        <w:t xml:space="preserve">. </w:t>
      </w:r>
      <w:r w:rsidR="005A28AF" w:rsidRPr="006628F7">
        <w:rPr>
          <w:rStyle w:val="NormalCar"/>
          <w:lang w:val="en-US"/>
        </w:rPr>
        <w:t>Correlations of seismic and ot</w:t>
      </w:r>
      <w:r w:rsidR="00B550EB">
        <w:rPr>
          <w:rStyle w:val="NormalCar"/>
          <w:lang w:val="en-US"/>
        </w:rPr>
        <w:t>h</w:t>
      </w:r>
      <w:r w:rsidR="005A28AF" w:rsidRPr="006628F7">
        <w:rPr>
          <w:rStyle w:val="NormalCar"/>
          <w:lang w:val="en-US"/>
        </w:rPr>
        <w:t>er hazards i</w:t>
      </w:r>
      <w:r w:rsidR="005A28AF" w:rsidRPr="006628F7">
        <w:rPr>
          <w:rStyle w:val="NormalCar"/>
          <w:lang w:val="en-US"/>
        </w:rPr>
        <w:t>n</w:t>
      </w:r>
      <w:r w:rsidR="005A28AF" w:rsidRPr="006628F7">
        <w:rPr>
          <w:rStyle w:val="NormalCar"/>
          <w:lang w:val="en-US"/>
        </w:rPr>
        <w:t>clude both types. An example for (a) is</w:t>
      </w:r>
      <w:r w:rsidR="00081717" w:rsidRPr="006628F7">
        <w:rPr>
          <w:rStyle w:val="NormalCar"/>
          <w:lang w:val="en-US"/>
        </w:rPr>
        <w:t xml:space="preserve"> </w:t>
      </w:r>
      <w:r w:rsidR="005A28AF" w:rsidRPr="006628F7">
        <w:rPr>
          <w:rStyle w:val="NormalCar"/>
          <w:lang w:val="en-US"/>
        </w:rPr>
        <w:t>vibratory ground motion / liquefaction (</w:t>
      </w:r>
      <w:r w:rsidR="00081717" w:rsidRPr="006628F7">
        <w:rPr>
          <w:rStyle w:val="NormalCar"/>
          <w:lang w:val="en-US"/>
        </w:rPr>
        <w:t>seismic shaking is a pr</w:t>
      </w:r>
      <w:r w:rsidR="00081717" w:rsidRPr="006628F7">
        <w:rPr>
          <w:rStyle w:val="NormalCar"/>
          <w:lang w:val="en-US"/>
        </w:rPr>
        <w:t>e</w:t>
      </w:r>
      <w:r w:rsidR="00081717" w:rsidRPr="006628F7">
        <w:rPr>
          <w:rStyle w:val="NormalCar"/>
          <w:lang w:val="en-US"/>
        </w:rPr>
        <w:t>riquisit of liquefaction</w:t>
      </w:r>
      <w:r w:rsidR="005A28AF" w:rsidRPr="006628F7">
        <w:rPr>
          <w:rStyle w:val="NormalCar"/>
          <w:lang w:val="en-US"/>
        </w:rPr>
        <w:t>); an example for (b) is seismically triggered mass movements (landsliding may be triggered by vibratory ground shaking, but may also occur as an i</w:t>
      </w:r>
      <w:r w:rsidR="005A28AF" w:rsidRPr="006628F7">
        <w:rPr>
          <w:rStyle w:val="NormalCar"/>
          <w:lang w:val="en-US"/>
        </w:rPr>
        <w:t>n</w:t>
      </w:r>
      <w:r w:rsidR="005A28AF" w:rsidRPr="006628F7">
        <w:rPr>
          <w:rStyle w:val="NormalCar"/>
          <w:lang w:val="en-US"/>
        </w:rPr>
        <w:t>dependent event)</w:t>
      </w:r>
      <w:r w:rsidR="00601EA7">
        <w:rPr>
          <w:rStyle w:val="NormalCar"/>
          <w:lang w:val="en-US"/>
        </w:rPr>
        <w:t>.</w:t>
      </w:r>
    </w:p>
    <w:p w:rsidR="005A28AF" w:rsidRPr="005A28AF" w:rsidRDefault="00A20052" w:rsidP="00860D1D">
      <w:pPr>
        <w:numPr>
          <w:ilvl w:val="0"/>
          <w:numId w:val="35"/>
        </w:numPr>
        <w:rPr>
          <w:rStyle w:val="NormalCar"/>
          <w:rFonts w:eastAsia="Times New Roman"/>
          <w:lang w:val="en-US"/>
        </w:rPr>
      </w:pPr>
      <w:r w:rsidRPr="006628F7">
        <w:rPr>
          <w:rStyle w:val="NormalCar"/>
          <w:b/>
          <w:i/>
          <w:lang w:val="en-US"/>
        </w:rPr>
        <w:t>Associated hazards</w:t>
      </w:r>
      <w:r w:rsidR="00DB030B" w:rsidRPr="006628F7">
        <w:rPr>
          <w:rStyle w:val="NormalCar"/>
          <w:b/>
          <w:i/>
          <w:lang w:val="en-US"/>
        </w:rPr>
        <w:t>.</w:t>
      </w:r>
      <w:r w:rsidR="00DB030B" w:rsidRPr="006628F7">
        <w:rPr>
          <w:rStyle w:val="NormalCar"/>
          <w:lang w:val="en-US"/>
        </w:rPr>
        <w:t xml:space="preserve"> These</w:t>
      </w:r>
      <w:r w:rsidRPr="006628F7">
        <w:rPr>
          <w:rStyle w:val="NormalCar"/>
          <w:lang w:val="en-US"/>
        </w:rPr>
        <w:t xml:space="preserve"> refer to events which are probable to occur at the same time due to a co</w:t>
      </w:r>
      <w:r w:rsidRPr="006628F7">
        <w:rPr>
          <w:rStyle w:val="NormalCar"/>
          <w:lang w:val="en-US"/>
        </w:rPr>
        <w:t>m</w:t>
      </w:r>
      <w:r w:rsidRPr="006628F7">
        <w:rPr>
          <w:rStyle w:val="NormalCar"/>
          <w:lang w:val="en-US"/>
        </w:rPr>
        <w:t xml:space="preserve">mon root cause (“contemporary relation”, NIER, 2013). The common root cause (e.g., a meteorological situation) may not necessarily be </w:t>
      </w:r>
      <w:r w:rsidR="00601EA7">
        <w:rPr>
          <w:rStyle w:val="NormalCar"/>
          <w:lang w:val="en-US"/>
        </w:rPr>
        <w:t>regarded as a hazard by itself.</w:t>
      </w:r>
    </w:p>
    <w:p w:rsidR="00A20052" w:rsidRPr="005A28AF" w:rsidRDefault="00FE7EF6" w:rsidP="005A28AF">
      <w:pPr>
        <w:ind w:left="720"/>
        <w:rPr>
          <w:lang w:val="en-US"/>
        </w:rPr>
      </w:pPr>
      <w:r>
        <w:rPr>
          <w:lang w:val="en-US"/>
        </w:rPr>
        <w:t>ASAMPSA_E’s Re</w:t>
      </w:r>
      <w:r w:rsidR="0077374F">
        <w:rPr>
          <w:lang w:val="en-US"/>
        </w:rPr>
        <w:t xml:space="preserve">port </w:t>
      </w:r>
      <w:r w:rsidR="00A20052" w:rsidRPr="005A28AF">
        <w:rPr>
          <w:lang w:val="en-US"/>
        </w:rPr>
        <w:t xml:space="preserve">D21.2 </w:t>
      </w:r>
      <w:r w:rsidR="0077374F">
        <w:rPr>
          <w:lang w:val="en-US"/>
        </w:rPr>
        <w:t xml:space="preserve">(Decker &amp; Brinkman, 2014) </w:t>
      </w:r>
      <w:r w:rsidR="00A20052" w:rsidRPr="005A28AF">
        <w:rPr>
          <w:lang w:val="en-US"/>
        </w:rPr>
        <w:t>did not identify hazards which are associated to seismotectonic hazards via a common root cause.</w:t>
      </w:r>
    </w:p>
    <w:p w:rsidR="00A20052" w:rsidRPr="00A20052" w:rsidRDefault="0050471E" w:rsidP="00860D1D">
      <w:pPr>
        <w:numPr>
          <w:ilvl w:val="0"/>
          <w:numId w:val="35"/>
        </w:numPr>
        <w:rPr>
          <w:lang w:val="en-US"/>
        </w:rPr>
      </w:pPr>
      <w:r>
        <w:rPr>
          <w:b/>
          <w:i/>
          <w:lang w:val="en-US"/>
        </w:rPr>
        <w:t>Temporal coinciden</w:t>
      </w:r>
      <w:r w:rsidR="00103223" w:rsidRPr="00DB030B">
        <w:rPr>
          <w:b/>
          <w:i/>
          <w:lang w:val="en-US"/>
        </w:rPr>
        <w:t>ce</w:t>
      </w:r>
      <w:r w:rsidR="00DB030B" w:rsidRPr="00DB030B">
        <w:rPr>
          <w:b/>
          <w:i/>
          <w:lang w:val="en-US"/>
        </w:rPr>
        <w:t>.</w:t>
      </w:r>
      <w:r w:rsidR="00DB030B">
        <w:rPr>
          <w:lang w:val="en-US"/>
        </w:rPr>
        <w:t xml:space="preserve"> Such hazard combinations refer to</w:t>
      </w:r>
      <w:r w:rsidR="0073162D">
        <w:rPr>
          <w:lang w:val="en-US"/>
        </w:rPr>
        <w:t xml:space="preserve"> not</w:t>
      </w:r>
      <w:r w:rsidR="00DB030B">
        <w:rPr>
          <w:lang w:val="en-US"/>
        </w:rPr>
        <w:t xml:space="preserve"> </w:t>
      </w:r>
      <w:r w:rsidR="00103223">
        <w:rPr>
          <w:lang w:val="en-US"/>
        </w:rPr>
        <w:t>causally</w:t>
      </w:r>
      <w:r w:rsidR="0073162D">
        <w:rPr>
          <w:lang w:val="en-US"/>
        </w:rPr>
        <w:t>(?)</w:t>
      </w:r>
      <w:r w:rsidR="00103223">
        <w:rPr>
          <w:lang w:val="en-US"/>
        </w:rPr>
        <w:t xml:space="preserve"> connected independent inc</w:t>
      </w:r>
      <w:r w:rsidR="00103223">
        <w:rPr>
          <w:lang w:val="en-US"/>
        </w:rPr>
        <w:t>i</w:t>
      </w:r>
      <w:r w:rsidR="00103223">
        <w:rPr>
          <w:lang w:val="en-US"/>
        </w:rPr>
        <w:t>dents associated with different hazards</w:t>
      </w:r>
      <w:r>
        <w:rPr>
          <w:lang w:val="en-US"/>
        </w:rPr>
        <w:t xml:space="preserve"> (see chapter </w:t>
      </w:r>
      <w:r>
        <w:rPr>
          <w:lang w:val="en-US"/>
        </w:rPr>
        <w:fldChar w:fldCharType="begin"/>
      </w:r>
      <w:r>
        <w:rPr>
          <w:lang w:val="en-US"/>
        </w:rPr>
        <w:instrText xml:space="preserve"> REF _Ref433277341 \w \h </w:instrText>
      </w:r>
      <w:r>
        <w:rPr>
          <w:lang w:val="en-US"/>
        </w:rPr>
      </w:r>
      <w:r>
        <w:rPr>
          <w:lang w:val="en-US"/>
        </w:rPr>
        <w:fldChar w:fldCharType="separate"/>
      </w:r>
      <w:r w:rsidR="00173034">
        <w:rPr>
          <w:lang w:val="en-US"/>
        </w:rPr>
        <w:t>5.6</w:t>
      </w:r>
      <w:r>
        <w:rPr>
          <w:lang w:val="en-US"/>
        </w:rPr>
        <w:fldChar w:fldCharType="end"/>
      </w:r>
      <w:r>
        <w:rPr>
          <w:lang w:val="en-US"/>
        </w:rPr>
        <w:t xml:space="preserve">, page </w:t>
      </w:r>
      <w:r>
        <w:rPr>
          <w:lang w:val="en-US"/>
        </w:rPr>
        <w:fldChar w:fldCharType="begin"/>
      </w:r>
      <w:r>
        <w:rPr>
          <w:lang w:val="en-US"/>
        </w:rPr>
        <w:instrText xml:space="preserve"> PAGEREF _Ref433277352 \h </w:instrText>
      </w:r>
      <w:r>
        <w:rPr>
          <w:lang w:val="en-US"/>
        </w:rPr>
      </w:r>
      <w:r>
        <w:rPr>
          <w:lang w:val="en-US"/>
        </w:rPr>
        <w:fldChar w:fldCharType="separate"/>
      </w:r>
      <w:r w:rsidR="00173034">
        <w:rPr>
          <w:noProof/>
          <w:lang w:val="en-US"/>
        </w:rPr>
        <w:t>117</w:t>
      </w:r>
      <w:r>
        <w:rPr>
          <w:lang w:val="en-US"/>
        </w:rPr>
        <w:fldChar w:fldCharType="end"/>
      </w:r>
      <w:r>
        <w:rPr>
          <w:lang w:val="en-US"/>
        </w:rPr>
        <w:t>)</w:t>
      </w:r>
      <w:r w:rsidR="00103223">
        <w:rPr>
          <w:lang w:val="en-US"/>
        </w:rPr>
        <w:t>.</w:t>
      </w:r>
    </w:p>
    <w:p w:rsidR="00A20052" w:rsidRDefault="00A20052" w:rsidP="00A20052"/>
    <w:p w:rsidR="00A26AE2" w:rsidRDefault="00A26AE2" w:rsidP="00A20052"/>
    <w:p w:rsidR="00103223" w:rsidRDefault="00103223" w:rsidP="00A20052"/>
    <w:p w:rsidR="00200043" w:rsidRDefault="00200043" w:rsidP="00200043"/>
    <w:p w:rsidR="00200043" w:rsidRDefault="00200043" w:rsidP="00200043"/>
    <w:p w:rsidR="00103223" w:rsidRPr="00A20052" w:rsidRDefault="00103223" w:rsidP="00103223"/>
    <w:p w:rsidR="00103223" w:rsidRPr="00BB27FD" w:rsidRDefault="00103223" w:rsidP="00103223">
      <w:pPr>
        <w:pStyle w:val="Titre2"/>
        <w:rPr>
          <w:lang w:val="en-US"/>
        </w:rPr>
      </w:pPr>
      <w:r>
        <w:rPr>
          <w:lang w:val="en-US"/>
        </w:rPr>
        <w:br w:type="page"/>
      </w:r>
      <w:bookmarkStart w:id="199" w:name="_Toc456011924"/>
      <w:r w:rsidRPr="00BB27FD">
        <w:rPr>
          <w:lang w:val="en-US"/>
        </w:rPr>
        <w:lastRenderedPageBreak/>
        <w:t>Correlated hazards</w:t>
      </w:r>
      <w:bookmarkEnd w:id="199"/>
    </w:p>
    <w:p w:rsidR="00103223" w:rsidRDefault="00103223" w:rsidP="00103223">
      <w:pPr>
        <w:rPr>
          <w:lang w:val="en-US"/>
        </w:rPr>
      </w:pPr>
    </w:p>
    <w:p w:rsidR="0056009A" w:rsidRDefault="00103223" w:rsidP="00103223">
      <w:r>
        <w:t>Seismic hazards are correlated with a large number of natural and man-made hazards (</w:t>
      </w:r>
      <w:r w:rsidR="00A26AE2">
        <w:fldChar w:fldCharType="begin"/>
      </w:r>
      <w:r w:rsidR="00A26AE2">
        <w:instrText xml:space="preserve"> REF _Ref451166212 \h </w:instrText>
      </w:r>
      <w:r w:rsidR="00A26AE2">
        <w:fldChar w:fldCharType="separate"/>
      </w:r>
      <w:r w:rsidR="00173034">
        <w:t xml:space="preserve">Figure </w:t>
      </w:r>
      <w:r w:rsidR="00173034">
        <w:rPr>
          <w:noProof/>
        </w:rPr>
        <w:t>23</w:t>
      </w:r>
      <w:r w:rsidR="00A26AE2">
        <w:fldChar w:fldCharType="end"/>
      </w:r>
      <w:r>
        <w:t xml:space="preserve">). This is due to the </w:t>
      </w:r>
      <w:r w:rsidR="005A28AF">
        <w:t xml:space="preserve">fact that vibratory ground </w:t>
      </w:r>
      <w:r w:rsidR="0056009A">
        <w:t>motion</w:t>
      </w:r>
      <w:r w:rsidR="005A28AF">
        <w:t xml:space="preserve"> during an earthquake is not restricted to the site but affects a </w:t>
      </w:r>
      <w:r>
        <w:t>wide</w:t>
      </w:r>
      <w:r w:rsidR="005A28AF">
        <w:t xml:space="preserve"> area around the epicentre of the earthquake. S</w:t>
      </w:r>
      <w:r>
        <w:t xml:space="preserve">eismic ground shaking </w:t>
      </w:r>
      <w:r w:rsidR="005A28AF">
        <w:t xml:space="preserve">consequently </w:t>
      </w:r>
      <w:r>
        <w:t>impact</w:t>
      </w:r>
      <w:r w:rsidR="005A28AF">
        <w:t>s</w:t>
      </w:r>
      <w:r>
        <w:t xml:space="preserve"> on all man-made structures and the entire natural environ</w:t>
      </w:r>
      <w:r w:rsidR="00601EA7">
        <w:t>ment in the vicinity of an NPP.</w:t>
      </w:r>
    </w:p>
    <w:p w:rsidR="00103223" w:rsidRDefault="00103223" w:rsidP="00103223">
      <w:r>
        <w:t xml:space="preserve">Fault capability, liquefaction, dynamic compaction, and ground displacement </w:t>
      </w:r>
      <w:r w:rsidR="00AA124F">
        <w:t xml:space="preserve">potentially </w:t>
      </w:r>
      <w:r>
        <w:t xml:space="preserve">have a similar wide-spread impact, but correlate with a smaller number of hazards than vibratory ground motion. A comprehensive list of hazards which are correlated with seismic hazards is provided in </w:t>
      </w:r>
      <w:r w:rsidR="00C95E28">
        <w:t xml:space="preserve">the ASAMPSA_E Report </w:t>
      </w:r>
      <w:r>
        <w:t>D21.2 and shown in</w:t>
      </w:r>
      <w:r w:rsidR="00A26AE2">
        <w:t xml:space="preserve"> </w:t>
      </w:r>
      <w:r w:rsidR="00A26AE2">
        <w:fldChar w:fldCharType="begin"/>
      </w:r>
      <w:r w:rsidR="00A26AE2">
        <w:instrText xml:space="preserve"> REF _Ref451166230 \h </w:instrText>
      </w:r>
      <w:r w:rsidR="00A26AE2">
        <w:fldChar w:fldCharType="separate"/>
      </w:r>
      <w:r w:rsidR="00173034">
        <w:t xml:space="preserve">Figure </w:t>
      </w:r>
      <w:r w:rsidR="00173034">
        <w:rPr>
          <w:noProof/>
        </w:rPr>
        <w:t>24</w:t>
      </w:r>
      <w:r w:rsidR="00A26AE2">
        <w:fldChar w:fldCharType="end"/>
      </w:r>
      <w:r w:rsidR="00601EA7">
        <w:t>.</w:t>
      </w:r>
    </w:p>
    <w:p w:rsidR="00200043" w:rsidRDefault="00200043" w:rsidP="00200043"/>
    <w:p w:rsidR="00A26AE2" w:rsidRDefault="00FA7DEE" w:rsidP="00A26AE2">
      <w:pPr>
        <w:jc w:val="center"/>
      </w:pPr>
      <w:r>
        <w:pict>
          <v:shape id="_x0000_i1055" type="#_x0000_t75" style="width:399.5pt;height:137.65pt">
            <v:imagedata r:id="rId85" o:title="Seismotectonic_hazard_correlation_statistics"/>
          </v:shape>
        </w:pict>
      </w:r>
    </w:p>
    <w:p w:rsidR="00A26AE2" w:rsidRDefault="00A26AE2" w:rsidP="00A26AE2"/>
    <w:p w:rsidR="00FF7075" w:rsidRDefault="00A26AE2" w:rsidP="00A26AE2">
      <w:pPr>
        <w:pStyle w:val="Lgende"/>
        <w:jc w:val="center"/>
      </w:pPr>
      <w:bookmarkStart w:id="200" w:name="_Ref451166212"/>
      <w:bookmarkStart w:id="201" w:name="_Toc456012059"/>
      <w:r>
        <w:t xml:space="preserve">Figure </w:t>
      </w:r>
      <w:r>
        <w:fldChar w:fldCharType="begin"/>
      </w:r>
      <w:r>
        <w:instrText xml:space="preserve"> SEQ Figure \* ARABIC </w:instrText>
      </w:r>
      <w:r>
        <w:fldChar w:fldCharType="separate"/>
      </w:r>
      <w:r w:rsidR="00173034">
        <w:rPr>
          <w:noProof/>
        </w:rPr>
        <w:t>23</w:t>
      </w:r>
      <w:r>
        <w:fldChar w:fldCharType="end"/>
      </w:r>
      <w:bookmarkEnd w:id="200"/>
      <w:r>
        <w:t>. Number of hazards correlate</w:t>
      </w:r>
      <w:r w:rsidR="00601EA7">
        <w:t>d with seismotectonic hazards</w:t>
      </w:r>
      <w:bookmarkEnd w:id="201"/>
    </w:p>
    <w:p w:rsidR="00A26AE2" w:rsidRPr="00FF7075" w:rsidRDefault="00A26AE2" w:rsidP="00A26AE2">
      <w:pPr>
        <w:pStyle w:val="Lgende"/>
        <w:jc w:val="center"/>
        <w:rPr>
          <w:i/>
        </w:rPr>
      </w:pPr>
      <w:r w:rsidRPr="00FF7075">
        <w:rPr>
          <w:i/>
        </w:rPr>
        <w:t>[Seismotecto</w:t>
      </w:r>
      <w:r w:rsidRPr="00FF7075">
        <w:rPr>
          <w:i/>
        </w:rPr>
        <w:t>n</w:t>
      </w:r>
      <w:r w:rsidRPr="00FF7075">
        <w:rPr>
          <w:i/>
        </w:rPr>
        <w:t>ic_hazard_correlation_statistics.JPG]</w:t>
      </w:r>
    </w:p>
    <w:p w:rsidR="00A26AE2" w:rsidRPr="0056009A" w:rsidRDefault="00A26AE2" w:rsidP="00200043"/>
    <w:p w:rsidR="00200043" w:rsidRDefault="00200043" w:rsidP="00200043"/>
    <w:p w:rsidR="00A26AE2" w:rsidRDefault="00FA7DEE" w:rsidP="00A26AE2">
      <w:pPr>
        <w:jc w:val="center"/>
        <w:rPr>
          <w:lang w:val="en-US"/>
        </w:rPr>
      </w:pPr>
      <w:r>
        <w:rPr>
          <w:lang w:val="en-US"/>
        </w:rPr>
        <w:lastRenderedPageBreak/>
        <w:pict>
          <v:shape id="_x0000_i1056" type="#_x0000_t75" style="width:436.45pt;height:535.85pt">
            <v:imagedata r:id="rId86" o:title="Seismic_hazard_correlation_list_2015_07_08"/>
          </v:shape>
        </w:pict>
      </w:r>
    </w:p>
    <w:p w:rsidR="00A26AE2" w:rsidRDefault="00A26AE2" w:rsidP="00A26AE2">
      <w:pPr>
        <w:pStyle w:val="Lgende"/>
        <w:rPr>
          <w:lang w:val="en-US"/>
        </w:rPr>
      </w:pPr>
    </w:p>
    <w:p w:rsidR="00A26AE2" w:rsidRPr="000E2B00" w:rsidRDefault="00A26AE2" w:rsidP="00A26AE2">
      <w:pPr>
        <w:pStyle w:val="Lgende"/>
        <w:jc w:val="center"/>
        <w:rPr>
          <w:i/>
        </w:rPr>
      </w:pPr>
      <w:bookmarkStart w:id="202" w:name="_Ref451166230"/>
      <w:bookmarkStart w:id="203" w:name="_Toc456012060"/>
      <w:r>
        <w:t xml:space="preserve">Figure </w:t>
      </w:r>
      <w:r>
        <w:fldChar w:fldCharType="begin"/>
      </w:r>
      <w:r>
        <w:instrText xml:space="preserve"> SEQ Figure \* ARABIC </w:instrText>
      </w:r>
      <w:r>
        <w:fldChar w:fldCharType="separate"/>
      </w:r>
      <w:r w:rsidR="00173034">
        <w:rPr>
          <w:noProof/>
        </w:rPr>
        <w:t>24</w:t>
      </w:r>
      <w:r>
        <w:fldChar w:fldCharType="end"/>
      </w:r>
      <w:bookmarkEnd w:id="202"/>
      <w:r>
        <w:t xml:space="preserve">. List of hazards correlated with seismotectonic hazards. </w:t>
      </w:r>
      <w:r w:rsidRPr="00C4720E">
        <w:t>Only direct consequences of individual hazards</w:t>
      </w:r>
      <w:r>
        <w:t xml:space="preserve"> </w:t>
      </w:r>
      <w:r w:rsidRPr="00C4720E">
        <w:t>are listed. Causal chains are not considered.</w:t>
      </w:r>
      <w:r>
        <w:t xml:space="preserve"> </w:t>
      </w:r>
      <w:r w:rsidRPr="00C4720E">
        <w:t>Combinations of independent ph</w:t>
      </w:r>
      <w:r w:rsidRPr="00C4720E">
        <w:t>e</w:t>
      </w:r>
      <w:r w:rsidRPr="00C4720E">
        <w:t>no</w:t>
      </w:r>
      <w:r w:rsidRPr="00C4720E">
        <w:t>m</w:t>
      </w:r>
      <w:r w:rsidRPr="00C4720E">
        <w:t>ena with</w:t>
      </w:r>
      <w:r>
        <w:t xml:space="preserve"> </w:t>
      </w:r>
      <w:r w:rsidRPr="00C4720E">
        <w:t>low severity which cause potential hazards by</w:t>
      </w:r>
      <w:r>
        <w:t xml:space="preserve"> </w:t>
      </w:r>
      <w:r w:rsidRPr="00C4720E">
        <w:t>their contemporaneous occurrence are not identified.</w:t>
      </w:r>
      <w:r>
        <w:t xml:space="preserve">   </w:t>
      </w:r>
      <w:r w:rsidRPr="000E2B00">
        <w:rPr>
          <w:i/>
        </w:rPr>
        <w:t>[Seismic_hazard_correlation_list_2015_07_08.JPG]</w:t>
      </w:r>
      <w:bookmarkEnd w:id="203"/>
    </w:p>
    <w:p w:rsidR="00200043" w:rsidRPr="00200043" w:rsidRDefault="00200043" w:rsidP="000C3A42"/>
    <w:p w:rsidR="00BB27FD" w:rsidRPr="00BB27FD" w:rsidRDefault="00D70AA6" w:rsidP="00BB27FD">
      <w:pPr>
        <w:pStyle w:val="Titre2"/>
        <w:rPr>
          <w:lang w:val="en-US"/>
        </w:rPr>
      </w:pPr>
      <w:bookmarkStart w:id="204" w:name="_Toc456011925"/>
      <w:r w:rsidRPr="00BB27FD">
        <w:rPr>
          <w:lang w:val="en-US"/>
        </w:rPr>
        <w:lastRenderedPageBreak/>
        <w:t>Associated hazards</w:t>
      </w:r>
      <w:bookmarkEnd w:id="204"/>
    </w:p>
    <w:p w:rsidR="0056009A" w:rsidRPr="006628F7" w:rsidRDefault="00E84190" w:rsidP="00E84190">
      <w:pPr>
        <w:rPr>
          <w:rStyle w:val="NormalCar"/>
          <w:lang w:val="en-US"/>
        </w:rPr>
      </w:pPr>
      <w:r w:rsidRPr="006628F7">
        <w:rPr>
          <w:rStyle w:val="NormalCar"/>
          <w:lang w:val="en-US"/>
        </w:rPr>
        <w:t>Associated hazards refer to events which are probable to occur at the same time due to a common root cause (“conte</w:t>
      </w:r>
      <w:r w:rsidR="00601EA7">
        <w:rPr>
          <w:rStyle w:val="NormalCar"/>
          <w:lang w:val="en-US"/>
        </w:rPr>
        <w:t>mporary relation”, NIER, 2013).</w:t>
      </w:r>
    </w:p>
    <w:p w:rsidR="0056009A" w:rsidRPr="006628F7" w:rsidRDefault="0056009A" w:rsidP="00E84190">
      <w:pPr>
        <w:rPr>
          <w:rStyle w:val="NormalCar"/>
          <w:lang w:val="en-US"/>
        </w:rPr>
      </w:pPr>
    </w:p>
    <w:p w:rsidR="00E84190" w:rsidRDefault="009029F3" w:rsidP="00E84190">
      <w:pPr>
        <w:rPr>
          <w:lang w:val="en-US"/>
        </w:rPr>
      </w:pPr>
      <w:r>
        <w:rPr>
          <w:lang w:val="en-US"/>
        </w:rPr>
        <w:t xml:space="preserve">Seismic hazards have no common root causes with other </w:t>
      </w:r>
      <w:r w:rsidR="00DB030B">
        <w:rPr>
          <w:lang w:val="en-US"/>
        </w:rPr>
        <w:t>external</w:t>
      </w:r>
      <w:r>
        <w:rPr>
          <w:lang w:val="en-US"/>
        </w:rPr>
        <w:t xml:space="preserve"> hazards such as external flooding</w:t>
      </w:r>
      <w:r w:rsidR="0073162D">
        <w:rPr>
          <w:lang w:val="en-US"/>
        </w:rPr>
        <w:t xml:space="preserve"> </w:t>
      </w:r>
      <w:r>
        <w:rPr>
          <w:lang w:val="en-US"/>
        </w:rPr>
        <w:t>extreme weather conditions</w:t>
      </w:r>
      <w:r w:rsidR="00DB030B">
        <w:rPr>
          <w:lang w:val="en-US"/>
        </w:rPr>
        <w:t>, or man-made hazards</w:t>
      </w:r>
      <w:r>
        <w:rPr>
          <w:lang w:val="en-US"/>
        </w:rPr>
        <w:t xml:space="preserve">. </w:t>
      </w:r>
      <w:r w:rsidR="00E84190">
        <w:rPr>
          <w:lang w:val="en-US"/>
        </w:rPr>
        <w:t xml:space="preserve">D21.2 </w:t>
      </w:r>
      <w:r>
        <w:rPr>
          <w:lang w:val="en-US"/>
        </w:rPr>
        <w:t xml:space="preserve">therefore </w:t>
      </w:r>
      <w:r w:rsidR="00E84190">
        <w:rPr>
          <w:lang w:val="en-US"/>
        </w:rPr>
        <w:t>did not identify hazards</w:t>
      </w:r>
      <w:r w:rsidR="00E84190" w:rsidRPr="00222810">
        <w:rPr>
          <w:lang w:val="en-US"/>
        </w:rPr>
        <w:t xml:space="preserve"> </w:t>
      </w:r>
      <w:r w:rsidR="00E84190">
        <w:rPr>
          <w:lang w:val="en-US"/>
        </w:rPr>
        <w:t>which are associated to sei</w:t>
      </w:r>
      <w:r w:rsidR="00E84190">
        <w:rPr>
          <w:lang w:val="en-US"/>
        </w:rPr>
        <w:t>s</w:t>
      </w:r>
      <w:r w:rsidR="00E84190">
        <w:rPr>
          <w:lang w:val="en-US"/>
        </w:rPr>
        <w:t>motectonic hazards via a common root cause.</w:t>
      </w:r>
    </w:p>
    <w:p w:rsidR="00D70AA6" w:rsidRDefault="00D70AA6" w:rsidP="00BB27FD">
      <w:pPr>
        <w:pStyle w:val="Titre2"/>
        <w:rPr>
          <w:lang w:val="en-US"/>
        </w:rPr>
      </w:pPr>
      <w:bookmarkStart w:id="205" w:name="_Ref451090882"/>
      <w:bookmarkStart w:id="206" w:name="_Toc456011926"/>
      <w:r w:rsidRPr="00BB27FD">
        <w:rPr>
          <w:lang w:val="en-US"/>
        </w:rPr>
        <w:t>Screening of correlated hazards</w:t>
      </w:r>
      <w:bookmarkEnd w:id="205"/>
      <w:bookmarkEnd w:id="206"/>
    </w:p>
    <w:p w:rsidR="0056009A" w:rsidRPr="0056009A" w:rsidRDefault="0056009A" w:rsidP="00697692">
      <w:pPr>
        <w:rPr>
          <w:i/>
          <w:lang w:val="en-US"/>
        </w:rPr>
      </w:pPr>
      <w:r>
        <w:rPr>
          <w:lang w:val="en-US"/>
        </w:rPr>
        <w:t>The s</w:t>
      </w:r>
      <w:r w:rsidR="00582E4E">
        <w:rPr>
          <w:lang w:val="en-US"/>
        </w:rPr>
        <w:t>creen</w:t>
      </w:r>
      <w:r>
        <w:rPr>
          <w:lang w:val="en-US"/>
        </w:rPr>
        <w:t xml:space="preserve">ing process </w:t>
      </w:r>
      <w:r w:rsidR="00DB030B">
        <w:rPr>
          <w:lang w:val="en-US"/>
        </w:rPr>
        <w:t>of</w:t>
      </w:r>
      <w:r>
        <w:rPr>
          <w:lang w:val="en-US"/>
        </w:rPr>
        <w:t xml:space="preserve"> correlarted hazards should start from the list of hazards and possible hazard correlations shown in</w:t>
      </w:r>
      <w:r w:rsidR="00766742">
        <w:rPr>
          <w:lang w:val="en-US"/>
        </w:rPr>
        <w:t xml:space="preserve"> </w:t>
      </w:r>
      <w:r w:rsidR="00766742">
        <w:rPr>
          <w:lang w:val="en-US"/>
        </w:rPr>
        <w:fldChar w:fldCharType="begin"/>
      </w:r>
      <w:r w:rsidR="00766742">
        <w:rPr>
          <w:lang w:val="en-US"/>
        </w:rPr>
        <w:instrText xml:space="preserve"> REF _Ref451166230 \h </w:instrText>
      </w:r>
      <w:r w:rsidR="00766742">
        <w:rPr>
          <w:lang w:val="en-US"/>
        </w:rPr>
      </w:r>
      <w:r w:rsidR="00766742">
        <w:rPr>
          <w:lang w:val="en-US"/>
        </w:rPr>
        <w:fldChar w:fldCharType="separate"/>
      </w:r>
      <w:r w:rsidR="00173034">
        <w:t xml:space="preserve">Figure </w:t>
      </w:r>
      <w:r w:rsidR="00173034">
        <w:rPr>
          <w:noProof/>
        </w:rPr>
        <w:t>24</w:t>
      </w:r>
      <w:r w:rsidR="00766742">
        <w:rPr>
          <w:lang w:val="en-US"/>
        </w:rPr>
        <w:fldChar w:fldCharType="end"/>
      </w:r>
      <w:r>
        <w:rPr>
          <w:lang w:val="en-US"/>
        </w:rPr>
        <w:t xml:space="preserve">. In accordance with WENRA (2014) hazards </w:t>
      </w:r>
      <w:r w:rsidRPr="0056009A">
        <w:rPr>
          <w:i/>
          <w:lang w:val="en-US"/>
        </w:rPr>
        <w:t>“can be screened out on the basis of being incap</w:t>
      </w:r>
      <w:r w:rsidRPr="0056009A">
        <w:rPr>
          <w:i/>
          <w:lang w:val="en-US"/>
        </w:rPr>
        <w:t>a</w:t>
      </w:r>
      <w:r w:rsidRPr="0056009A">
        <w:rPr>
          <w:i/>
          <w:lang w:val="en-US"/>
        </w:rPr>
        <w:t>ble of posing a physical threat or being extremely unlikely with a high degree of confidence. Care shall be taken not to exclude hazards which in combination with other hazards have the potential to pose a threat to the facil</w:t>
      </w:r>
      <w:r w:rsidRPr="0056009A">
        <w:rPr>
          <w:i/>
          <w:lang w:val="en-US"/>
        </w:rPr>
        <w:t>i</w:t>
      </w:r>
      <w:r w:rsidRPr="0056009A">
        <w:rPr>
          <w:i/>
          <w:lang w:val="en-US"/>
        </w:rPr>
        <w:t>ty.</w:t>
      </w:r>
      <w:r w:rsidR="00DB030B">
        <w:rPr>
          <w:i/>
          <w:lang w:val="en-US"/>
        </w:rPr>
        <w:t xml:space="preserve"> </w:t>
      </w:r>
      <w:r w:rsidR="00DB030B" w:rsidRPr="00DB030B">
        <w:rPr>
          <w:lang w:val="en-US"/>
        </w:rPr>
        <w:t>(W</w:t>
      </w:r>
      <w:r w:rsidR="00DB030B">
        <w:rPr>
          <w:lang w:val="en-US"/>
        </w:rPr>
        <w:t>ENRA, 2014, Safety Reference Level T3.1)</w:t>
      </w:r>
      <w:r w:rsidRPr="0056009A">
        <w:rPr>
          <w:i/>
          <w:lang w:val="en-US"/>
        </w:rPr>
        <w:t>”</w:t>
      </w:r>
    </w:p>
    <w:p w:rsidR="0056009A" w:rsidRDefault="0056009A" w:rsidP="0056009A">
      <w:pPr>
        <w:rPr>
          <w:lang w:val="en-US"/>
        </w:rPr>
      </w:pPr>
    </w:p>
    <w:p w:rsidR="0056009A" w:rsidRDefault="0056009A" w:rsidP="0056009A">
      <w:pPr>
        <w:rPr>
          <w:lang w:val="en-US"/>
        </w:rPr>
      </w:pPr>
      <w:r w:rsidRPr="0027108B">
        <w:rPr>
          <w:b/>
          <w:i/>
          <w:lang w:val="en-US"/>
        </w:rPr>
        <w:t>Scre</w:t>
      </w:r>
      <w:r w:rsidR="003C6A66" w:rsidRPr="0027108B">
        <w:rPr>
          <w:b/>
          <w:i/>
          <w:lang w:val="en-US"/>
        </w:rPr>
        <w:t>ening out</w:t>
      </w:r>
      <w:r w:rsidR="003C6A66">
        <w:rPr>
          <w:lang w:val="en-US"/>
        </w:rPr>
        <w:t xml:space="preserve"> of correlated hazards can therefore</w:t>
      </w:r>
      <w:r w:rsidR="00601EA7">
        <w:rPr>
          <w:lang w:val="en-US"/>
        </w:rPr>
        <w:t xml:space="preserve"> be based on demonstrating that</w:t>
      </w:r>
      <w:r w:rsidR="003C6A66">
        <w:rPr>
          <w:lang w:val="en-US"/>
        </w:rPr>
        <w:t>:</w:t>
      </w:r>
    </w:p>
    <w:p w:rsidR="0056009A" w:rsidRPr="0077374F" w:rsidRDefault="0026162E" w:rsidP="00860D1D">
      <w:pPr>
        <w:numPr>
          <w:ilvl w:val="0"/>
          <w:numId w:val="36"/>
        </w:numPr>
        <w:rPr>
          <w:lang w:val="en-US"/>
        </w:rPr>
      </w:pPr>
      <w:r>
        <w:rPr>
          <w:lang w:val="en-US"/>
        </w:rPr>
        <w:t>i</w:t>
      </w:r>
      <w:r w:rsidR="0056009A" w:rsidRPr="0077374F">
        <w:rPr>
          <w:lang w:val="en-US"/>
        </w:rPr>
        <w:t>ncidents of the type of hazard are physically impossible at the site (e.g.</w:t>
      </w:r>
      <w:r w:rsidR="00CC0921">
        <w:rPr>
          <w:lang w:val="en-US"/>
        </w:rPr>
        <w:t>,</w:t>
      </w:r>
      <w:r w:rsidR="0056009A" w:rsidRPr="0077374F">
        <w:rPr>
          <w:lang w:val="en-US"/>
        </w:rPr>
        <w:t xml:space="preserve"> occurrence of liquefaction on a rock site</w:t>
      </w:r>
      <w:r w:rsidR="003D1E76" w:rsidRPr="0077374F">
        <w:rPr>
          <w:lang w:val="en-US"/>
        </w:rPr>
        <w:t>; the occurrence of a tsunami in the continental interior</w:t>
      </w:r>
      <w:r w:rsidR="00601EA7">
        <w:rPr>
          <w:lang w:val="en-US"/>
        </w:rPr>
        <w:t>)</w:t>
      </w:r>
      <w:r>
        <w:rPr>
          <w:lang w:val="en-US"/>
        </w:rPr>
        <w:t>,</w:t>
      </w:r>
    </w:p>
    <w:p w:rsidR="0056009A" w:rsidRPr="0077374F" w:rsidRDefault="0026162E" w:rsidP="00860D1D">
      <w:pPr>
        <w:numPr>
          <w:ilvl w:val="0"/>
          <w:numId w:val="36"/>
        </w:numPr>
        <w:rPr>
          <w:lang w:val="en-US"/>
        </w:rPr>
      </w:pPr>
      <w:r>
        <w:rPr>
          <w:lang w:val="en-US"/>
        </w:rPr>
        <w:t>t</w:t>
      </w:r>
      <w:r w:rsidR="0056009A" w:rsidRPr="0077374F">
        <w:rPr>
          <w:lang w:val="en-US"/>
        </w:rPr>
        <w:t>he impacts of all possible events caused by the incident are incapable of posing a physical threat to the safety of the plant</w:t>
      </w:r>
      <w:r w:rsidR="003C6A66" w:rsidRPr="0077374F">
        <w:rPr>
          <w:lang w:val="en-US"/>
        </w:rPr>
        <w:t>. I</w:t>
      </w:r>
      <w:r w:rsidR="0056009A" w:rsidRPr="0077374F">
        <w:rPr>
          <w:lang w:val="en-US"/>
        </w:rPr>
        <w:t xml:space="preserve">n this case the screening process requires </w:t>
      </w:r>
      <w:r w:rsidR="00CC0921" w:rsidRPr="0077374F">
        <w:rPr>
          <w:lang w:val="en-US"/>
        </w:rPr>
        <w:t xml:space="preserve">that </w:t>
      </w:r>
      <w:r w:rsidR="00CC0921">
        <w:rPr>
          <w:lang w:val="en-US"/>
        </w:rPr>
        <w:t xml:space="preserve">(1) </w:t>
      </w:r>
      <w:r w:rsidR="0056009A" w:rsidRPr="0077374F">
        <w:rPr>
          <w:lang w:val="en-US"/>
        </w:rPr>
        <w:t xml:space="preserve">a </w:t>
      </w:r>
      <w:r w:rsidR="0056009A" w:rsidRPr="0027108B">
        <w:rPr>
          <w:i/>
          <w:lang w:val="en-US"/>
        </w:rPr>
        <w:t xml:space="preserve">“maximum possible </w:t>
      </w:r>
      <w:r w:rsidR="003C6A66" w:rsidRPr="0027108B">
        <w:rPr>
          <w:i/>
          <w:lang w:val="en-US"/>
        </w:rPr>
        <w:t>severity</w:t>
      </w:r>
      <w:r w:rsidR="0056009A" w:rsidRPr="0027108B">
        <w:rPr>
          <w:i/>
          <w:lang w:val="en-US"/>
        </w:rPr>
        <w:t>”</w:t>
      </w:r>
      <w:r w:rsidR="0056009A" w:rsidRPr="0077374F">
        <w:rPr>
          <w:lang w:val="en-US"/>
        </w:rPr>
        <w:t xml:space="preserve"> </w:t>
      </w:r>
      <w:r w:rsidR="003C6A66" w:rsidRPr="0077374F">
        <w:rPr>
          <w:lang w:val="en-US"/>
        </w:rPr>
        <w:t xml:space="preserve">of the incident </w:t>
      </w:r>
      <w:r w:rsidR="0056009A" w:rsidRPr="0077374F">
        <w:rPr>
          <w:lang w:val="en-US"/>
        </w:rPr>
        <w:t>can be defined</w:t>
      </w:r>
      <w:r w:rsidR="003D1E76" w:rsidRPr="0077374F">
        <w:rPr>
          <w:lang w:val="en-US"/>
        </w:rPr>
        <w:t xml:space="preserve"> and </w:t>
      </w:r>
      <w:r w:rsidR="00CC0921">
        <w:rPr>
          <w:lang w:val="en-US"/>
        </w:rPr>
        <w:t xml:space="preserve">(2) </w:t>
      </w:r>
      <w:r w:rsidR="003D1E76" w:rsidRPr="0077374F">
        <w:rPr>
          <w:lang w:val="en-US"/>
        </w:rPr>
        <w:t>a demonstration that an event of that severity does not pose a phys</w:t>
      </w:r>
      <w:r w:rsidR="003D1E76" w:rsidRPr="0077374F">
        <w:rPr>
          <w:lang w:val="en-US"/>
        </w:rPr>
        <w:t>i</w:t>
      </w:r>
      <w:r w:rsidR="003D1E76" w:rsidRPr="0077374F">
        <w:rPr>
          <w:lang w:val="en-US"/>
        </w:rPr>
        <w:t>cal threat to the plant</w:t>
      </w:r>
      <w:r>
        <w:rPr>
          <w:lang w:val="en-US"/>
        </w:rPr>
        <w:t>,</w:t>
      </w:r>
    </w:p>
    <w:p w:rsidR="0077374F" w:rsidRPr="0077374F" w:rsidRDefault="0026162E" w:rsidP="00860D1D">
      <w:pPr>
        <w:numPr>
          <w:ilvl w:val="0"/>
          <w:numId w:val="36"/>
        </w:numPr>
        <w:rPr>
          <w:lang w:val="en-US"/>
        </w:rPr>
      </w:pPr>
      <w:r>
        <w:rPr>
          <w:lang w:val="en-US"/>
        </w:rPr>
        <w:t>i</w:t>
      </w:r>
      <w:r w:rsidRPr="0077374F">
        <w:rPr>
          <w:lang w:val="en-US"/>
        </w:rPr>
        <w:t xml:space="preserve">ncidents </w:t>
      </w:r>
      <w:r w:rsidR="003C6A66" w:rsidRPr="0077374F">
        <w:rPr>
          <w:lang w:val="en-US"/>
        </w:rPr>
        <w:t xml:space="preserve">of the type of hazard with severities that pose a physical threat to the safety of the plant are </w:t>
      </w:r>
      <w:r w:rsidR="003C6A66" w:rsidRPr="0077374F">
        <w:rPr>
          <w:i/>
          <w:lang w:val="en-US"/>
        </w:rPr>
        <w:t>“</w:t>
      </w:r>
      <w:r w:rsidR="0056009A" w:rsidRPr="0077374F">
        <w:rPr>
          <w:i/>
          <w:lang w:val="en-US"/>
        </w:rPr>
        <w:t>extremely unlikely w</w:t>
      </w:r>
      <w:r w:rsidR="003C6A66" w:rsidRPr="0077374F">
        <w:rPr>
          <w:i/>
          <w:lang w:val="en-US"/>
        </w:rPr>
        <w:t>ith a high degree of confidence”</w:t>
      </w:r>
      <w:r w:rsidR="003C6A66" w:rsidRPr="0077374F">
        <w:rPr>
          <w:lang w:val="en-US"/>
        </w:rPr>
        <w:t xml:space="preserve"> (WENRA, 2014)</w:t>
      </w:r>
      <w:r>
        <w:rPr>
          <w:lang w:val="en-US"/>
        </w:rPr>
        <w:t>;</w:t>
      </w:r>
      <w:r w:rsidR="003C6A66" w:rsidRPr="0077374F">
        <w:rPr>
          <w:lang w:val="en-US"/>
        </w:rPr>
        <w:t xml:space="preserve"> </w:t>
      </w:r>
      <w:r>
        <w:rPr>
          <w:lang w:val="en-US"/>
        </w:rPr>
        <w:t>u</w:t>
      </w:r>
      <w:r w:rsidR="003C6A66" w:rsidRPr="0077374F">
        <w:rPr>
          <w:lang w:val="en-US"/>
        </w:rPr>
        <w:t>nfortunately a common unde</w:t>
      </w:r>
      <w:r w:rsidR="003C6A66" w:rsidRPr="0077374F">
        <w:rPr>
          <w:lang w:val="en-US"/>
        </w:rPr>
        <w:t>r</w:t>
      </w:r>
      <w:r w:rsidR="003C6A66" w:rsidRPr="0077374F">
        <w:rPr>
          <w:lang w:val="en-US"/>
        </w:rPr>
        <w:t>standing does currently n</w:t>
      </w:r>
      <w:r w:rsidR="008D06D5" w:rsidRPr="0077374F">
        <w:rPr>
          <w:lang w:val="en-US"/>
        </w:rPr>
        <w:t>e</w:t>
      </w:r>
      <w:r w:rsidR="003C6A66" w:rsidRPr="0077374F">
        <w:rPr>
          <w:lang w:val="en-US"/>
        </w:rPr>
        <w:t>ither exist for a probabilistic value for extreme unlikeliness, nor for the degree of statistical confidence required</w:t>
      </w:r>
      <w:r w:rsidR="0056009A" w:rsidRPr="0077374F">
        <w:rPr>
          <w:lang w:val="en-US"/>
        </w:rPr>
        <w:t xml:space="preserve"> (e.g. u</w:t>
      </w:r>
      <w:r w:rsidR="003C6A66" w:rsidRPr="0077374F">
        <w:rPr>
          <w:lang w:val="en-US"/>
        </w:rPr>
        <w:t xml:space="preserve">se of higher percentiles of the hazard curve </w:t>
      </w:r>
      <w:r w:rsidR="0056009A" w:rsidRPr="0077374F">
        <w:rPr>
          <w:lang w:val="en-US"/>
        </w:rPr>
        <w:t>rather than median or mean).</w:t>
      </w:r>
    </w:p>
    <w:p w:rsidR="0056009A" w:rsidRDefault="0056009A" w:rsidP="00697692">
      <w:pPr>
        <w:rPr>
          <w:lang w:val="en-US"/>
        </w:rPr>
      </w:pPr>
    </w:p>
    <w:p w:rsidR="003D1E76" w:rsidRDefault="008D06D5" w:rsidP="00DB0E9D">
      <w:pPr>
        <w:rPr>
          <w:lang w:val="en-US"/>
        </w:rPr>
      </w:pPr>
      <w:r>
        <w:rPr>
          <w:lang w:val="en-US"/>
        </w:rPr>
        <w:t xml:space="preserve">Due to the impact of earthquakes and correlated hazards on both, the site and the region around the site the screening processes has to include assessments of the actual NPP site and all sites from which correlated hazards may arise. Examples of the latter include </w:t>
      </w:r>
      <w:r w:rsidR="00842A2D">
        <w:rPr>
          <w:lang w:val="en-US"/>
        </w:rPr>
        <w:t xml:space="preserve">water </w:t>
      </w:r>
      <w:r>
        <w:rPr>
          <w:lang w:val="en-US"/>
        </w:rPr>
        <w:t>dams (when dam failure [N15] may pose a threat to the NPP), industrial sites in the site vicinity (industry explosion [M1], ch</w:t>
      </w:r>
      <w:r w:rsidR="0026162E">
        <w:rPr>
          <w:lang w:val="en-US"/>
        </w:rPr>
        <w:t>e</w:t>
      </w:r>
      <w:r>
        <w:rPr>
          <w:lang w:val="en-US"/>
        </w:rPr>
        <w:t xml:space="preserve">mical release [M2]), transportation routes etc. It should be noted that correlated hazards, which are not applicable to the actual NPP site, nevertheless may pose threats to nearby facilities (e.g., </w:t>
      </w:r>
      <w:r w:rsidR="00582E4E">
        <w:rPr>
          <w:lang w:val="en-US"/>
        </w:rPr>
        <w:t xml:space="preserve">liquefaction of soil </w:t>
      </w:r>
      <w:r w:rsidR="00DB0E9D">
        <w:rPr>
          <w:lang w:val="en-US"/>
        </w:rPr>
        <w:t>may damage an</w:t>
      </w:r>
      <w:r w:rsidR="00582E4E">
        <w:rPr>
          <w:lang w:val="en-US"/>
        </w:rPr>
        <w:t xml:space="preserve"> industrial plant </w:t>
      </w:r>
      <w:r w:rsidR="00DB0E9D">
        <w:rPr>
          <w:lang w:val="en-US"/>
        </w:rPr>
        <w:t>while the NPP is funded on non-liquifiable ground; seismically triggered slope instability [N60] may be a threat to water containment stru</w:t>
      </w:r>
      <w:r w:rsidR="00DB0E9D">
        <w:rPr>
          <w:lang w:val="en-US"/>
        </w:rPr>
        <w:t>c</w:t>
      </w:r>
      <w:r w:rsidR="00DB0E9D">
        <w:rPr>
          <w:lang w:val="en-US"/>
        </w:rPr>
        <w:t>tures although the NPP site is located in a topographically flat area).</w:t>
      </w:r>
    </w:p>
    <w:p w:rsidR="003D1E76" w:rsidRDefault="003D1E76" w:rsidP="00DB0E9D">
      <w:pPr>
        <w:rPr>
          <w:lang w:val="en-US"/>
        </w:rPr>
      </w:pPr>
    </w:p>
    <w:p w:rsidR="003D1E76" w:rsidRDefault="003D1E76" w:rsidP="00DB0E9D">
      <w:pPr>
        <w:rPr>
          <w:lang w:val="en-US"/>
        </w:rPr>
      </w:pPr>
      <w:r>
        <w:rPr>
          <w:lang w:val="en-US"/>
        </w:rPr>
        <w:lastRenderedPageBreak/>
        <w:t>Screening must take into account that the robustness of structures and utilities that pose a potential threat to the NPP (e.g., dams, industrial facilities) may be significantly lower than the robustness of the NPP itself. Threats by incidents caused by the failure of such structures and utilities may consequently arise from seismotectonic events with severities, which would not pose a threat to the NPP itself.</w:t>
      </w:r>
    </w:p>
    <w:p w:rsidR="003D1E76" w:rsidRDefault="003D1E76" w:rsidP="00DB0E9D">
      <w:pPr>
        <w:rPr>
          <w:lang w:val="en-US"/>
        </w:rPr>
      </w:pPr>
    </w:p>
    <w:p w:rsidR="00582E4E" w:rsidRDefault="00122DCF" w:rsidP="00DB0E9D">
      <w:pPr>
        <w:rPr>
          <w:lang w:val="en-US"/>
        </w:rPr>
      </w:pPr>
      <w:r>
        <w:rPr>
          <w:lang w:val="en-US"/>
        </w:rPr>
        <w:t>A screening process for correlated hazards may be structured in the following way:</w:t>
      </w:r>
    </w:p>
    <w:p w:rsidR="00582E4E" w:rsidRDefault="00582E4E" w:rsidP="00860D1D">
      <w:pPr>
        <w:numPr>
          <w:ilvl w:val="0"/>
          <w:numId w:val="37"/>
        </w:numPr>
        <w:rPr>
          <w:lang w:val="en-US"/>
        </w:rPr>
      </w:pPr>
      <w:r>
        <w:rPr>
          <w:lang w:val="en-US"/>
        </w:rPr>
        <w:t>S</w:t>
      </w:r>
      <w:r w:rsidR="00FE7E83">
        <w:rPr>
          <w:lang w:val="en-US"/>
        </w:rPr>
        <w:t>c</w:t>
      </w:r>
      <w:r>
        <w:rPr>
          <w:lang w:val="en-US"/>
        </w:rPr>
        <w:t xml:space="preserve">reening </w:t>
      </w:r>
      <w:r w:rsidR="00DB0E9D">
        <w:rPr>
          <w:lang w:val="en-US"/>
        </w:rPr>
        <w:t xml:space="preserve">of correlated hazards based on </w:t>
      </w:r>
      <w:r>
        <w:rPr>
          <w:lang w:val="en-US"/>
        </w:rPr>
        <w:t xml:space="preserve">physical </w:t>
      </w:r>
      <w:r w:rsidR="00DB0E9D">
        <w:rPr>
          <w:lang w:val="en-US"/>
        </w:rPr>
        <w:t>im</w:t>
      </w:r>
      <w:r>
        <w:rPr>
          <w:lang w:val="en-US"/>
        </w:rPr>
        <w:t xml:space="preserve">possibility </w:t>
      </w:r>
      <w:r w:rsidR="00DB0E9D">
        <w:rPr>
          <w:lang w:val="en-US"/>
        </w:rPr>
        <w:t>start</w:t>
      </w:r>
      <w:r w:rsidR="003D1E76">
        <w:rPr>
          <w:lang w:val="en-US"/>
        </w:rPr>
        <w:t>ing</w:t>
      </w:r>
      <w:r w:rsidR="00DB0E9D">
        <w:rPr>
          <w:lang w:val="en-US"/>
        </w:rPr>
        <w:t xml:space="preserve"> from </w:t>
      </w:r>
      <w:r w:rsidR="003D1E76">
        <w:rPr>
          <w:lang w:val="en-US"/>
        </w:rPr>
        <w:t xml:space="preserve">analyzing </w:t>
      </w:r>
      <w:r w:rsidR="00DB0E9D">
        <w:rPr>
          <w:lang w:val="en-US"/>
        </w:rPr>
        <w:t xml:space="preserve">the location of the NPP </w:t>
      </w:r>
      <w:r>
        <w:rPr>
          <w:lang w:val="en-US"/>
        </w:rPr>
        <w:t>site:</w:t>
      </w:r>
    </w:p>
    <w:p w:rsidR="00582E4E" w:rsidRDefault="00DB0E9D" w:rsidP="00860D1D">
      <w:pPr>
        <w:numPr>
          <w:ilvl w:val="0"/>
          <w:numId w:val="38"/>
        </w:numPr>
        <w:rPr>
          <w:lang w:val="en-US"/>
        </w:rPr>
      </w:pPr>
      <w:r>
        <w:rPr>
          <w:lang w:val="en-US"/>
        </w:rPr>
        <w:t>Site location at s</w:t>
      </w:r>
      <w:r w:rsidR="00582E4E">
        <w:rPr>
          <w:lang w:val="en-US"/>
        </w:rPr>
        <w:t>easide, lake, or river</w:t>
      </w:r>
      <w:r>
        <w:rPr>
          <w:lang w:val="en-US"/>
        </w:rPr>
        <w:t xml:space="preserve">. One or several of the following hazards may </w:t>
      </w:r>
      <w:r w:rsidR="00527CC3">
        <w:rPr>
          <w:lang w:val="en-US"/>
        </w:rPr>
        <w:t xml:space="preserve">as an example </w:t>
      </w:r>
      <w:r>
        <w:rPr>
          <w:lang w:val="en-US"/>
        </w:rPr>
        <w:t xml:space="preserve">be screened out : </w:t>
      </w:r>
      <w:r w:rsidR="00582E4E">
        <w:rPr>
          <w:lang w:val="en-US"/>
        </w:rPr>
        <w:t>Tsunami</w:t>
      </w:r>
      <w:r>
        <w:rPr>
          <w:lang w:val="en-US"/>
        </w:rPr>
        <w:t xml:space="preserve"> [N7]</w:t>
      </w:r>
      <w:r w:rsidR="00582E4E">
        <w:rPr>
          <w:lang w:val="en-US"/>
        </w:rPr>
        <w:t>, Obsruction of river channel</w:t>
      </w:r>
      <w:r w:rsidRPr="00DB0E9D">
        <w:rPr>
          <w:lang w:val="en-US"/>
        </w:rPr>
        <w:t xml:space="preserve"> </w:t>
      </w:r>
      <w:r>
        <w:rPr>
          <w:lang w:val="en-US"/>
        </w:rPr>
        <w:t>[N12]</w:t>
      </w:r>
      <w:r w:rsidR="00582E4E">
        <w:rPr>
          <w:lang w:val="en-US"/>
        </w:rPr>
        <w:t>, Changing river channel</w:t>
      </w:r>
      <w:r w:rsidRPr="00DB0E9D">
        <w:rPr>
          <w:lang w:val="en-US"/>
        </w:rPr>
        <w:t xml:space="preserve"> </w:t>
      </w:r>
      <w:r>
        <w:rPr>
          <w:lang w:val="en-US"/>
        </w:rPr>
        <w:t>[N13]</w:t>
      </w:r>
      <w:r w:rsidR="00582E4E">
        <w:rPr>
          <w:lang w:val="en-US"/>
        </w:rPr>
        <w:t>, Seiche</w:t>
      </w:r>
      <w:r w:rsidRPr="00DB0E9D">
        <w:rPr>
          <w:lang w:val="en-US"/>
        </w:rPr>
        <w:t xml:space="preserve"> </w:t>
      </w:r>
      <w:r>
        <w:rPr>
          <w:lang w:val="en-US"/>
        </w:rPr>
        <w:t>[N16]</w:t>
      </w:r>
      <w:r w:rsidR="00582E4E">
        <w:rPr>
          <w:lang w:val="en-US"/>
        </w:rPr>
        <w:t>, Underwater landslide</w:t>
      </w:r>
      <w:r w:rsidRPr="00DB0E9D">
        <w:rPr>
          <w:lang w:val="en-US"/>
        </w:rPr>
        <w:t xml:space="preserve"> </w:t>
      </w:r>
      <w:r>
        <w:rPr>
          <w:lang w:val="en-US"/>
        </w:rPr>
        <w:t>[N61]</w:t>
      </w:r>
    </w:p>
    <w:p w:rsidR="00582E4E" w:rsidRDefault="00582E4E" w:rsidP="00860D1D">
      <w:pPr>
        <w:numPr>
          <w:ilvl w:val="0"/>
          <w:numId w:val="38"/>
        </w:numPr>
        <w:rPr>
          <w:lang w:val="en-US"/>
        </w:rPr>
      </w:pPr>
      <w:r>
        <w:rPr>
          <w:lang w:val="en-US"/>
        </w:rPr>
        <w:t xml:space="preserve">Topography </w:t>
      </w:r>
      <w:r w:rsidR="00DB0E9D">
        <w:rPr>
          <w:lang w:val="en-US"/>
        </w:rPr>
        <w:t xml:space="preserve">: </w:t>
      </w:r>
      <w:r>
        <w:rPr>
          <w:lang w:val="en-US"/>
        </w:rPr>
        <w:t>Snow avalanche</w:t>
      </w:r>
      <w:r w:rsidR="00DB0E9D" w:rsidRPr="00DB0E9D">
        <w:rPr>
          <w:lang w:val="en-US"/>
        </w:rPr>
        <w:t xml:space="preserve"> </w:t>
      </w:r>
      <w:r w:rsidR="00DB0E9D">
        <w:rPr>
          <w:lang w:val="en-US"/>
        </w:rPr>
        <w:t>[N47]</w:t>
      </w:r>
      <w:r>
        <w:rPr>
          <w:lang w:val="en-US"/>
        </w:rPr>
        <w:t>, Slope instability</w:t>
      </w:r>
      <w:r w:rsidR="00DB0E9D" w:rsidRPr="00DB0E9D">
        <w:rPr>
          <w:lang w:val="en-US"/>
        </w:rPr>
        <w:t xml:space="preserve"> </w:t>
      </w:r>
      <w:r w:rsidR="00DB0E9D">
        <w:rPr>
          <w:lang w:val="en-US"/>
        </w:rPr>
        <w:t>[N60]</w:t>
      </w:r>
      <w:r w:rsidR="00B6652C">
        <w:rPr>
          <w:lang w:val="en-US"/>
        </w:rPr>
        <w:t>, Debris flow, mudflow</w:t>
      </w:r>
      <w:r w:rsidR="00DB0E9D" w:rsidRPr="00DB0E9D">
        <w:rPr>
          <w:lang w:val="en-US"/>
        </w:rPr>
        <w:t xml:space="preserve"> </w:t>
      </w:r>
      <w:r w:rsidR="00DB0E9D">
        <w:rPr>
          <w:lang w:val="en-US"/>
        </w:rPr>
        <w:t>[N62]</w:t>
      </w:r>
    </w:p>
    <w:p w:rsidR="00582E4E" w:rsidRDefault="00582E4E" w:rsidP="00860D1D">
      <w:pPr>
        <w:numPr>
          <w:ilvl w:val="0"/>
          <w:numId w:val="38"/>
        </w:numPr>
        <w:rPr>
          <w:lang w:val="en-US"/>
        </w:rPr>
      </w:pPr>
      <w:r>
        <w:rPr>
          <w:lang w:val="en-US"/>
        </w:rPr>
        <w:t xml:space="preserve">Distance to volcanic </w:t>
      </w:r>
      <w:r w:rsidR="00B6652C">
        <w:rPr>
          <w:lang w:val="en-US"/>
        </w:rPr>
        <w:t xml:space="preserve">structures </w:t>
      </w:r>
      <w:r w:rsidR="00DB0E9D">
        <w:rPr>
          <w:lang w:val="en-US"/>
        </w:rPr>
        <w:t xml:space="preserve">: </w:t>
      </w:r>
      <w:r w:rsidR="00B6652C">
        <w:rPr>
          <w:lang w:val="en-US"/>
        </w:rPr>
        <w:t>Nearby and remote volcanic hazards</w:t>
      </w:r>
      <w:r w:rsidR="00DB0E9D">
        <w:rPr>
          <w:lang w:val="en-US"/>
        </w:rPr>
        <w:t xml:space="preserve"> [N68, N69]</w:t>
      </w:r>
    </w:p>
    <w:p w:rsidR="00122DCF" w:rsidRDefault="00122DCF" w:rsidP="00860D1D">
      <w:pPr>
        <w:numPr>
          <w:ilvl w:val="0"/>
          <w:numId w:val="37"/>
        </w:numPr>
        <w:rPr>
          <w:lang w:val="en-US"/>
        </w:rPr>
      </w:pPr>
      <w:r>
        <w:rPr>
          <w:lang w:val="en-US"/>
        </w:rPr>
        <w:t>The screening process should further identify the a</w:t>
      </w:r>
      <w:r w:rsidR="00697692">
        <w:rPr>
          <w:lang w:val="en-US"/>
        </w:rPr>
        <w:t xml:space="preserve">bsence / presence of </w:t>
      </w:r>
      <w:r>
        <w:rPr>
          <w:lang w:val="en-US"/>
        </w:rPr>
        <w:t>facilities which</w:t>
      </w:r>
      <w:r w:rsidR="00527CC3">
        <w:rPr>
          <w:lang w:val="en-US"/>
        </w:rPr>
        <w:t>, upon their fai</w:t>
      </w:r>
      <w:r w:rsidR="00527CC3">
        <w:rPr>
          <w:lang w:val="en-US"/>
        </w:rPr>
        <w:t>l</w:t>
      </w:r>
      <w:r w:rsidR="00527CC3">
        <w:rPr>
          <w:lang w:val="en-US"/>
        </w:rPr>
        <w:t>ure due to a seismotectonic event,</w:t>
      </w:r>
      <w:r>
        <w:rPr>
          <w:lang w:val="en-US"/>
        </w:rPr>
        <w:t xml:space="preserve"> pose</w:t>
      </w:r>
      <w:r w:rsidR="00601EA7">
        <w:rPr>
          <w:lang w:val="en-US"/>
        </w:rPr>
        <w:t xml:space="preserve"> potential threats to the NPP :</w:t>
      </w:r>
    </w:p>
    <w:p w:rsidR="00582E4E" w:rsidRDefault="00122DCF" w:rsidP="00860D1D">
      <w:pPr>
        <w:numPr>
          <w:ilvl w:val="0"/>
          <w:numId w:val="39"/>
        </w:numPr>
        <w:rPr>
          <w:lang w:val="en-US"/>
        </w:rPr>
      </w:pPr>
      <w:r>
        <w:rPr>
          <w:lang w:val="en-US"/>
        </w:rPr>
        <w:t>W</w:t>
      </w:r>
      <w:r w:rsidR="00B6652C">
        <w:rPr>
          <w:lang w:val="en-US"/>
        </w:rPr>
        <w:t xml:space="preserve">ater containments </w:t>
      </w:r>
      <w:r>
        <w:rPr>
          <w:lang w:val="en-US"/>
        </w:rPr>
        <w:t>[N15]</w:t>
      </w:r>
    </w:p>
    <w:p w:rsidR="00B6652C" w:rsidRDefault="00B6652C" w:rsidP="00860D1D">
      <w:pPr>
        <w:numPr>
          <w:ilvl w:val="0"/>
          <w:numId w:val="39"/>
        </w:numPr>
        <w:rPr>
          <w:lang w:val="en-US"/>
        </w:rPr>
      </w:pPr>
      <w:r>
        <w:rPr>
          <w:lang w:val="en-US"/>
        </w:rPr>
        <w:t>In</w:t>
      </w:r>
      <w:r w:rsidR="00FE7E83">
        <w:rPr>
          <w:lang w:val="en-US"/>
        </w:rPr>
        <w:t>d</w:t>
      </w:r>
      <w:r>
        <w:rPr>
          <w:lang w:val="en-US"/>
        </w:rPr>
        <w:t>ustri</w:t>
      </w:r>
      <w:r w:rsidR="00122DCF">
        <w:rPr>
          <w:lang w:val="en-US"/>
        </w:rPr>
        <w:t>al facilities [M1, M2]</w:t>
      </w:r>
    </w:p>
    <w:p w:rsidR="00B6652C" w:rsidRDefault="00122DCF" w:rsidP="00860D1D">
      <w:pPr>
        <w:numPr>
          <w:ilvl w:val="0"/>
          <w:numId w:val="39"/>
        </w:numPr>
        <w:rPr>
          <w:lang w:val="en-US"/>
        </w:rPr>
      </w:pPr>
      <w:r>
        <w:rPr>
          <w:lang w:val="en-US"/>
        </w:rPr>
        <w:t>Military facilities [M3, M4]</w:t>
      </w:r>
    </w:p>
    <w:p w:rsidR="00697692" w:rsidRDefault="00B6652C" w:rsidP="00860D1D">
      <w:pPr>
        <w:numPr>
          <w:ilvl w:val="0"/>
          <w:numId w:val="39"/>
        </w:numPr>
        <w:rPr>
          <w:lang w:val="en-US"/>
        </w:rPr>
      </w:pPr>
      <w:r>
        <w:rPr>
          <w:lang w:val="en-US"/>
        </w:rPr>
        <w:t xml:space="preserve">Transportation routes and </w:t>
      </w:r>
      <w:r w:rsidR="00122DCF">
        <w:rPr>
          <w:lang w:val="en-US"/>
        </w:rPr>
        <w:t xml:space="preserve">transportation </w:t>
      </w:r>
      <w:r>
        <w:rPr>
          <w:lang w:val="en-US"/>
        </w:rPr>
        <w:t xml:space="preserve">facilities </w:t>
      </w:r>
      <w:r w:rsidR="00122DCF">
        <w:rPr>
          <w:lang w:val="en-US"/>
        </w:rPr>
        <w:t>[M10 to M12]</w:t>
      </w:r>
    </w:p>
    <w:p w:rsidR="001F6BAD" w:rsidRDefault="001F6BAD" w:rsidP="00860D1D">
      <w:pPr>
        <w:numPr>
          <w:ilvl w:val="0"/>
          <w:numId w:val="39"/>
        </w:numPr>
        <w:rPr>
          <w:lang w:val="en-US"/>
        </w:rPr>
      </w:pPr>
      <w:r>
        <w:rPr>
          <w:lang w:val="en-US"/>
        </w:rPr>
        <w:t xml:space="preserve">Pipelines </w:t>
      </w:r>
      <w:r w:rsidR="00122DCF">
        <w:rPr>
          <w:lang w:val="en-US"/>
        </w:rPr>
        <w:t>[M13, M14]</w:t>
      </w:r>
    </w:p>
    <w:p w:rsidR="00D6035D" w:rsidRPr="00D6035D" w:rsidRDefault="00D6035D" w:rsidP="00860D1D">
      <w:pPr>
        <w:numPr>
          <w:ilvl w:val="0"/>
          <w:numId w:val="37"/>
        </w:numPr>
        <w:rPr>
          <w:lang w:val="en-US"/>
        </w:rPr>
      </w:pPr>
      <w:r w:rsidRPr="00D6035D">
        <w:rPr>
          <w:lang w:val="en-US"/>
        </w:rPr>
        <w:t>For facilities not screened out in (2) vulnerability assessments are required to estimate the hazard sever</w:t>
      </w:r>
      <w:r w:rsidRPr="00D6035D">
        <w:rPr>
          <w:lang w:val="en-US"/>
        </w:rPr>
        <w:t>i</w:t>
      </w:r>
      <w:r w:rsidRPr="00D6035D">
        <w:rPr>
          <w:lang w:val="en-US"/>
        </w:rPr>
        <w:t>ty which leads to incidents or failures which pose threats to the NPP site. Assessments must take note of the fact that events with ground motion values well below the design basis of the NPP may cause severe damage to other structures due to the fact that these are not designed for equally high safety standards and have highe</w:t>
      </w:r>
      <w:r w:rsidR="00601EA7">
        <w:rPr>
          <w:lang w:val="en-US"/>
        </w:rPr>
        <w:t>r vulnerabilities than the NPP.</w:t>
      </w:r>
    </w:p>
    <w:p w:rsidR="00122DCF" w:rsidRDefault="00122DCF" w:rsidP="00860D1D">
      <w:pPr>
        <w:numPr>
          <w:ilvl w:val="0"/>
          <w:numId w:val="37"/>
        </w:numPr>
        <w:rPr>
          <w:lang w:val="en-US"/>
        </w:rPr>
      </w:pPr>
      <w:r>
        <w:rPr>
          <w:lang w:val="en-US"/>
        </w:rPr>
        <w:t>For the sites of facilities posing potential threats to the NPP step (1) should be repeated to identify corr</w:t>
      </w:r>
      <w:r>
        <w:rPr>
          <w:lang w:val="en-US"/>
        </w:rPr>
        <w:t>e</w:t>
      </w:r>
      <w:r>
        <w:rPr>
          <w:lang w:val="en-US"/>
        </w:rPr>
        <w:t>lated haz</w:t>
      </w:r>
      <w:r w:rsidR="00601EA7">
        <w:rPr>
          <w:lang w:val="en-US"/>
        </w:rPr>
        <w:t>ards relevant for theses sites.</w:t>
      </w:r>
    </w:p>
    <w:p w:rsidR="001F6BAD" w:rsidRPr="00CE3DF2" w:rsidRDefault="00CE3DF2" w:rsidP="00860D1D">
      <w:pPr>
        <w:numPr>
          <w:ilvl w:val="0"/>
          <w:numId w:val="37"/>
        </w:numPr>
        <w:ind w:left="709"/>
        <w:rPr>
          <w:lang w:val="en-US"/>
        </w:rPr>
      </w:pPr>
      <w:r w:rsidRPr="00CE3DF2">
        <w:rPr>
          <w:lang w:val="en-US"/>
        </w:rPr>
        <w:t>Correlation with m</w:t>
      </w:r>
      <w:r w:rsidR="001F6BAD" w:rsidRPr="00CE3DF2">
        <w:rPr>
          <w:lang w:val="en-US"/>
        </w:rPr>
        <w:t xml:space="preserve">eteorite fall </w:t>
      </w:r>
      <w:r w:rsidRPr="00CE3DF2">
        <w:rPr>
          <w:lang w:val="en-US"/>
        </w:rPr>
        <w:t xml:space="preserve">(vibratory ground motion caused by meteorite impact) </w:t>
      </w:r>
      <w:r w:rsidR="001F6BAD" w:rsidRPr="00CE3DF2">
        <w:rPr>
          <w:lang w:val="en-US"/>
        </w:rPr>
        <w:t xml:space="preserve">can </w:t>
      </w:r>
      <w:r w:rsidR="00D6035D">
        <w:rPr>
          <w:lang w:val="en-US"/>
        </w:rPr>
        <w:t xml:space="preserve">possibly </w:t>
      </w:r>
      <w:r w:rsidR="001F6BAD" w:rsidRPr="00CE3DF2">
        <w:rPr>
          <w:lang w:val="en-US"/>
        </w:rPr>
        <w:t>be scree</w:t>
      </w:r>
      <w:r w:rsidRPr="00CE3DF2">
        <w:rPr>
          <w:lang w:val="en-US"/>
        </w:rPr>
        <w:t xml:space="preserve">ned out by extreme unlikeliness using statistics quantifying the flux of meteorites to the Earth and providing empirical relations between meteorite size and fall frequency. The latter is defined by a power law quantifying the number of meteorites </w:t>
      </w:r>
      <w:r>
        <w:rPr>
          <w:lang w:val="en-US"/>
        </w:rPr>
        <w:t xml:space="preserve">with a certain </w:t>
      </w:r>
      <w:r w:rsidRPr="00CE3DF2">
        <w:rPr>
          <w:lang w:val="en-US"/>
        </w:rPr>
        <w:t xml:space="preserve">diameter colliding with </w:t>
      </w:r>
      <w:r>
        <w:rPr>
          <w:lang w:val="en-US"/>
        </w:rPr>
        <w:t xml:space="preserve">the </w:t>
      </w:r>
      <w:r w:rsidRPr="00CE3DF2">
        <w:rPr>
          <w:lang w:val="en-US"/>
        </w:rPr>
        <w:t>Earth per year (Brown et al., 2002).</w:t>
      </w:r>
    </w:p>
    <w:p w:rsidR="001F6BAD" w:rsidRDefault="001F6BAD" w:rsidP="00860D1D">
      <w:pPr>
        <w:numPr>
          <w:ilvl w:val="0"/>
          <w:numId w:val="37"/>
        </w:numPr>
        <w:rPr>
          <w:lang w:val="en-US"/>
        </w:rPr>
      </w:pPr>
      <w:r>
        <w:rPr>
          <w:lang w:val="en-US"/>
        </w:rPr>
        <w:t xml:space="preserve">Stability of </w:t>
      </w:r>
      <w:r w:rsidR="00D56CD1">
        <w:rPr>
          <w:lang w:val="en-US"/>
        </w:rPr>
        <w:t xml:space="preserve">external </w:t>
      </w:r>
      <w:r>
        <w:rPr>
          <w:lang w:val="en-US"/>
        </w:rPr>
        <w:t>power grid cannot be screened out</w:t>
      </w:r>
      <w:r w:rsidR="00CE3DF2">
        <w:rPr>
          <w:lang w:val="en-US"/>
        </w:rPr>
        <w:t xml:space="preserve"> even for low levels of seismic ground shaking. </w:t>
      </w:r>
      <w:r w:rsidR="001A0EB2">
        <w:rPr>
          <w:lang w:val="en-US"/>
        </w:rPr>
        <w:t>The ENSREG Stress Tests identified that the external power grids may be highly vulnerable and may not su</w:t>
      </w:r>
      <w:r w:rsidR="001A0EB2">
        <w:rPr>
          <w:lang w:val="en-US"/>
        </w:rPr>
        <w:t>s</w:t>
      </w:r>
      <w:r w:rsidR="001A0EB2">
        <w:rPr>
          <w:lang w:val="en-US"/>
        </w:rPr>
        <w:t>tain even small earthquakes with intensities I &gt; 6 and PGA</w:t>
      </w:r>
      <w:r w:rsidR="001A0EB2" w:rsidRPr="001A0EB2">
        <w:rPr>
          <w:vertAlign w:val="subscript"/>
          <w:lang w:val="en-US"/>
        </w:rPr>
        <w:t>hor</w:t>
      </w:r>
      <w:r w:rsidR="001A0EB2">
        <w:rPr>
          <w:lang w:val="en-US"/>
        </w:rPr>
        <w:t xml:space="preserve"> &gt; 0.05 g (</w:t>
      </w:r>
      <w:r w:rsidR="009635B9">
        <w:rPr>
          <w:lang w:val="en-US"/>
        </w:rPr>
        <w:t>SÚ</w:t>
      </w:r>
      <w:r w:rsidR="001A0EB2">
        <w:rPr>
          <w:lang w:val="en-US"/>
        </w:rPr>
        <w:t>JB, 2011, p.76).</w:t>
      </w:r>
    </w:p>
    <w:p w:rsidR="0091731E" w:rsidRDefault="0091731E" w:rsidP="0091731E">
      <w:pPr>
        <w:rPr>
          <w:lang w:val="en-US"/>
        </w:rPr>
      </w:pPr>
    </w:p>
    <w:p w:rsidR="00697692" w:rsidRDefault="0091731E" w:rsidP="00697692">
      <w:pPr>
        <w:rPr>
          <w:lang w:val="en-US"/>
        </w:rPr>
      </w:pPr>
      <w:r>
        <w:rPr>
          <w:lang w:val="en-US"/>
        </w:rPr>
        <w:t xml:space="preserve">For further detailed guidance for screening initating events and hazards for consideration in extended PSA we </w:t>
      </w:r>
      <w:r w:rsidRPr="00BD6598">
        <w:rPr>
          <w:lang w:val="en-US"/>
        </w:rPr>
        <w:t xml:space="preserve">refer to the </w:t>
      </w:r>
      <w:r w:rsidR="003F44F7" w:rsidRPr="00B21047">
        <w:rPr>
          <w:lang w:val="en-US"/>
        </w:rPr>
        <w:t>Wielenberg and al.</w:t>
      </w:r>
      <w:r w:rsidRPr="00BD6598">
        <w:rPr>
          <w:lang w:val="en-US"/>
        </w:rPr>
        <w:t xml:space="preserve"> (2016; ASAMPSA_E Report</w:t>
      </w:r>
      <w:r w:rsidR="003F44F7" w:rsidRPr="00BD6598">
        <w:rPr>
          <w:lang w:val="en-US"/>
        </w:rPr>
        <w:t xml:space="preserve"> D30.3</w:t>
      </w:r>
      <w:r w:rsidRPr="004F0B70">
        <w:rPr>
          <w:lang w:val="en-US"/>
        </w:rPr>
        <w:t>).</w:t>
      </w:r>
    </w:p>
    <w:p w:rsidR="00697692" w:rsidRPr="00697692" w:rsidRDefault="00697692" w:rsidP="00697692">
      <w:pPr>
        <w:rPr>
          <w:lang w:val="en-US"/>
        </w:rPr>
      </w:pPr>
    </w:p>
    <w:p w:rsidR="00BB27FD" w:rsidRPr="00676E8A" w:rsidRDefault="00BB27FD" w:rsidP="00BB27FD">
      <w:pPr>
        <w:pStyle w:val="Titre2"/>
        <w:rPr>
          <w:lang w:val="en-US"/>
        </w:rPr>
      </w:pPr>
      <w:bookmarkStart w:id="207" w:name="_Toc456011927"/>
      <w:r w:rsidRPr="00676E8A">
        <w:rPr>
          <w:lang w:val="en-US"/>
        </w:rPr>
        <w:lastRenderedPageBreak/>
        <w:t>Methods for the assessment of hazard combinations</w:t>
      </w:r>
      <w:bookmarkEnd w:id="207"/>
    </w:p>
    <w:p w:rsidR="00BB27FD" w:rsidRPr="00432890" w:rsidRDefault="00BB3B4C" w:rsidP="001F6BAD">
      <w:pPr>
        <w:rPr>
          <w:iCs/>
          <w:lang w:val="en-US"/>
        </w:rPr>
      </w:pPr>
      <w:r w:rsidRPr="00432890">
        <w:rPr>
          <w:lang w:val="en-US"/>
        </w:rPr>
        <w:t xml:space="preserve">The following chapter includes guidance to the assessment of selected hazards which are </w:t>
      </w:r>
      <w:r w:rsidR="00BB27FD" w:rsidRPr="00432890">
        <w:rPr>
          <w:lang w:val="en-US"/>
        </w:rPr>
        <w:t xml:space="preserve">causally dependent </w:t>
      </w:r>
      <w:r w:rsidRPr="00432890">
        <w:rPr>
          <w:lang w:val="en-US"/>
        </w:rPr>
        <w:t xml:space="preserve">on vibratory ground motion. It should be </w:t>
      </w:r>
      <w:r w:rsidR="00BB27FD" w:rsidRPr="00432890">
        <w:rPr>
          <w:lang w:val="en-US"/>
        </w:rPr>
        <w:t>note</w:t>
      </w:r>
      <w:r w:rsidRPr="00432890">
        <w:rPr>
          <w:lang w:val="en-US"/>
        </w:rPr>
        <w:t>d</w:t>
      </w:r>
      <w:r w:rsidR="00BB27FD" w:rsidRPr="00432890">
        <w:rPr>
          <w:lang w:val="en-US"/>
        </w:rPr>
        <w:t xml:space="preserve"> that </w:t>
      </w:r>
      <w:r w:rsidR="00BB27FD" w:rsidRPr="00432890">
        <w:rPr>
          <w:iCs/>
          <w:lang w:val="en-US"/>
        </w:rPr>
        <w:t xml:space="preserve">each </w:t>
      </w:r>
      <w:r w:rsidRPr="00432890">
        <w:rPr>
          <w:iCs/>
          <w:lang w:val="en-US"/>
        </w:rPr>
        <w:t xml:space="preserve">of the </w:t>
      </w:r>
      <w:r w:rsidR="00BB27FD" w:rsidRPr="00432890">
        <w:rPr>
          <w:iCs/>
          <w:lang w:val="en-US"/>
        </w:rPr>
        <w:t>correlation</w:t>
      </w:r>
      <w:r w:rsidRPr="00432890">
        <w:rPr>
          <w:iCs/>
          <w:lang w:val="en-US"/>
        </w:rPr>
        <w:t>s</w:t>
      </w:r>
      <w:r w:rsidR="00BB27FD" w:rsidRPr="00432890">
        <w:rPr>
          <w:iCs/>
          <w:lang w:val="en-US"/>
        </w:rPr>
        <w:t xml:space="preserve"> shown in the hazard correlation chart </w:t>
      </w:r>
      <w:r w:rsidRPr="00432890">
        <w:rPr>
          <w:iCs/>
          <w:lang w:val="en-US"/>
        </w:rPr>
        <w:t>(</w:t>
      </w:r>
      <w:r w:rsidR="005B6ECC">
        <w:rPr>
          <w:iCs/>
          <w:lang w:val="en-US"/>
        </w:rPr>
        <w:fldChar w:fldCharType="begin"/>
      </w:r>
      <w:r w:rsidR="005B6ECC">
        <w:rPr>
          <w:iCs/>
          <w:lang w:val="en-US"/>
        </w:rPr>
        <w:instrText xml:space="preserve"> REF _Ref451166230 \h </w:instrText>
      </w:r>
      <w:r w:rsidR="005B6ECC">
        <w:rPr>
          <w:iCs/>
          <w:lang w:val="en-US"/>
        </w:rPr>
      </w:r>
      <w:r w:rsidR="005B6ECC">
        <w:rPr>
          <w:iCs/>
          <w:lang w:val="en-US"/>
        </w:rPr>
        <w:fldChar w:fldCharType="separate"/>
      </w:r>
      <w:r w:rsidR="00173034">
        <w:t xml:space="preserve">Figure </w:t>
      </w:r>
      <w:r w:rsidR="00173034">
        <w:rPr>
          <w:noProof/>
        </w:rPr>
        <w:t>24</w:t>
      </w:r>
      <w:r w:rsidR="005B6ECC">
        <w:rPr>
          <w:iCs/>
          <w:lang w:val="en-US"/>
        </w:rPr>
        <w:fldChar w:fldCharType="end"/>
      </w:r>
      <w:r w:rsidRPr="00432890">
        <w:rPr>
          <w:iCs/>
          <w:lang w:val="en-US"/>
        </w:rPr>
        <w:t xml:space="preserve">) may require a specific </w:t>
      </w:r>
      <w:r w:rsidR="00BB27FD" w:rsidRPr="00432890">
        <w:rPr>
          <w:iCs/>
          <w:lang w:val="en-US"/>
        </w:rPr>
        <w:t>assessment meth</w:t>
      </w:r>
      <w:r w:rsidRPr="00432890">
        <w:rPr>
          <w:iCs/>
          <w:lang w:val="en-US"/>
        </w:rPr>
        <w:t>od. A comprehensive discussion of meth</w:t>
      </w:r>
      <w:r w:rsidR="00432890" w:rsidRPr="00432890">
        <w:rPr>
          <w:iCs/>
          <w:lang w:val="en-US"/>
        </w:rPr>
        <w:t>ods</w:t>
      </w:r>
      <w:r w:rsidRPr="00432890">
        <w:rPr>
          <w:iCs/>
          <w:lang w:val="en-US"/>
        </w:rPr>
        <w:t xml:space="preserve"> for all hazard corr</w:t>
      </w:r>
      <w:r w:rsidRPr="00432890">
        <w:rPr>
          <w:iCs/>
          <w:lang w:val="en-US"/>
        </w:rPr>
        <w:t>e</w:t>
      </w:r>
      <w:r w:rsidRPr="00432890">
        <w:rPr>
          <w:iCs/>
          <w:lang w:val="en-US"/>
        </w:rPr>
        <w:t>lations, however, is b</w:t>
      </w:r>
      <w:r w:rsidRPr="00432890">
        <w:rPr>
          <w:iCs/>
          <w:lang w:val="en-US"/>
        </w:rPr>
        <w:t>e</w:t>
      </w:r>
      <w:r w:rsidRPr="00432890">
        <w:rPr>
          <w:iCs/>
          <w:lang w:val="en-US"/>
        </w:rPr>
        <w:t xml:space="preserve">yond </w:t>
      </w:r>
      <w:r w:rsidR="00432890" w:rsidRPr="00432890">
        <w:rPr>
          <w:iCs/>
          <w:lang w:val="en-US"/>
        </w:rPr>
        <w:t>the scope of the current document.</w:t>
      </w:r>
    </w:p>
    <w:p w:rsidR="00BB27FD" w:rsidRDefault="00BB27FD" w:rsidP="00BB27FD">
      <w:pPr>
        <w:rPr>
          <w:lang w:val="en-US"/>
        </w:rPr>
      </w:pPr>
    </w:p>
    <w:p w:rsidR="00432890" w:rsidRPr="00801153" w:rsidRDefault="00432890" w:rsidP="00432890">
      <w:pPr>
        <w:rPr>
          <w:b/>
          <w:i/>
          <w:lang w:val="en-US"/>
        </w:rPr>
      </w:pPr>
      <w:r w:rsidRPr="00801153">
        <w:rPr>
          <w:b/>
          <w:i/>
          <w:lang w:val="en-US"/>
        </w:rPr>
        <w:t>Vibra</w:t>
      </w:r>
      <w:r>
        <w:rPr>
          <w:b/>
          <w:i/>
          <w:lang w:val="en-US"/>
        </w:rPr>
        <w:t>t</w:t>
      </w:r>
      <w:r w:rsidRPr="00801153">
        <w:rPr>
          <w:b/>
          <w:i/>
          <w:lang w:val="en-US"/>
        </w:rPr>
        <w:t xml:space="preserve">ory ground motion [N1] – </w:t>
      </w:r>
      <w:r>
        <w:rPr>
          <w:b/>
          <w:i/>
          <w:lang w:val="en-US"/>
        </w:rPr>
        <w:t>Fault capability</w:t>
      </w:r>
      <w:r w:rsidRPr="00801153">
        <w:rPr>
          <w:b/>
          <w:i/>
          <w:lang w:val="en-US"/>
        </w:rPr>
        <w:t xml:space="preserve"> [N</w:t>
      </w:r>
      <w:r>
        <w:rPr>
          <w:b/>
          <w:i/>
          <w:lang w:val="en-US"/>
        </w:rPr>
        <w:t>3</w:t>
      </w:r>
      <w:r w:rsidR="00601EA7">
        <w:rPr>
          <w:b/>
          <w:i/>
          <w:lang w:val="en-US"/>
        </w:rPr>
        <w:t>]</w:t>
      </w:r>
      <w:r w:rsidRPr="00801153">
        <w:rPr>
          <w:b/>
          <w:i/>
          <w:lang w:val="en-US"/>
        </w:rPr>
        <w:t>:</w:t>
      </w:r>
    </w:p>
    <w:p w:rsidR="00432890" w:rsidRDefault="00432890" w:rsidP="00432890">
      <w:pPr>
        <w:rPr>
          <w:lang w:val="en-US"/>
        </w:rPr>
      </w:pPr>
      <w:r>
        <w:rPr>
          <w:lang w:val="en-US"/>
        </w:rPr>
        <w:t>Ground displacement hazard should be analysed by PFDHA (Probabilistic Fault Displacement Hazard Analysis) as d</w:t>
      </w:r>
      <w:r>
        <w:rPr>
          <w:lang w:val="en-US"/>
        </w:rPr>
        <w:t>e</w:t>
      </w:r>
      <w:r>
        <w:rPr>
          <w:lang w:val="en-US"/>
        </w:rPr>
        <w:t xml:space="preserve">scribed in the chapters </w:t>
      </w:r>
      <w:r>
        <w:rPr>
          <w:lang w:val="en-US"/>
        </w:rPr>
        <w:fldChar w:fldCharType="begin"/>
      </w:r>
      <w:r>
        <w:rPr>
          <w:lang w:val="en-US"/>
        </w:rPr>
        <w:instrText xml:space="preserve"> REF _Ref451072252 \r \h </w:instrText>
      </w:r>
      <w:r>
        <w:rPr>
          <w:lang w:val="en-US"/>
        </w:rPr>
      </w:r>
      <w:r>
        <w:rPr>
          <w:lang w:val="en-US"/>
        </w:rPr>
        <w:fldChar w:fldCharType="separate"/>
      </w:r>
      <w:r w:rsidR="00173034">
        <w:rPr>
          <w:lang w:val="en-US"/>
        </w:rPr>
        <w:t>4.3.3</w:t>
      </w:r>
      <w:r>
        <w:rPr>
          <w:lang w:val="en-US"/>
        </w:rPr>
        <w:fldChar w:fldCharType="end"/>
      </w:r>
      <w:r>
        <w:rPr>
          <w:lang w:val="en-US"/>
        </w:rPr>
        <w:t xml:space="preserve"> and </w:t>
      </w:r>
      <w:r>
        <w:rPr>
          <w:lang w:val="en-US"/>
        </w:rPr>
        <w:fldChar w:fldCharType="begin"/>
      </w:r>
      <w:r>
        <w:rPr>
          <w:lang w:val="en-US"/>
        </w:rPr>
        <w:instrText xml:space="preserve"> REF _Ref451072261 \r \h </w:instrText>
      </w:r>
      <w:r>
        <w:rPr>
          <w:lang w:val="en-US"/>
        </w:rPr>
      </w:r>
      <w:r>
        <w:rPr>
          <w:lang w:val="en-US"/>
        </w:rPr>
        <w:fldChar w:fldCharType="separate"/>
      </w:r>
      <w:r w:rsidR="00173034">
        <w:rPr>
          <w:lang w:val="en-US"/>
        </w:rPr>
        <w:t>4.4.3</w:t>
      </w:r>
      <w:r>
        <w:rPr>
          <w:lang w:val="en-US"/>
        </w:rPr>
        <w:fldChar w:fldCharType="end"/>
      </w:r>
      <w:r w:rsidR="00601EA7">
        <w:rPr>
          <w:lang w:val="en-US"/>
        </w:rPr>
        <w:t>.</w:t>
      </w:r>
    </w:p>
    <w:p w:rsidR="00432890" w:rsidRDefault="00432890" w:rsidP="00BB27FD">
      <w:pPr>
        <w:rPr>
          <w:lang w:val="en-US"/>
        </w:rPr>
      </w:pPr>
    </w:p>
    <w:p w:rsidR="00432890" w:rsidRDefault="00801153" w:rsidP="009E26BF">
      <w:pPr>
        <w:rPr>
          <w:b/>
          <w:i/>
          <w:lang w:val="en-US"/>
        </w:rPr>
      </w:pPr>
      <w:r w:rsidRPr="00467180">
        <w:rPr>
          <w:b/>
          <w:i/>
          <w:lang w:val="en-US"/>
        </w:rPr>
        <w:t>Vibra</w:t>
      </w:r>
      <w:r w:rsidR="00432890">
        <w:rPr>
          <w:b/>
          <w:i/>
          <w:lang w:val="en-US"/>
        </w:rPr>
        <w:t>t</w:t>
      </w:r>
      <w:r w:rsidRPr="00467180">
        <w:rPr>
          <w:b/>
          <w:i/>
          <w:lang w:val="en-US"/>
        </w:rPr>
        <w:t>ory g</w:t>
      </w:r>
      <w:r w:rsidR="009E26BF" w:rsidRPr="00467180">
        <w:rPr>
          <w:b/>
          <w:i/>
          <w:lang w:val="en-US"/>
        </w:rPr>
        <w:t xml:space="preserve">round motion </w:t>
      </w:r>
      <w:r w:rsidRPr="00467180">
        <w:rPr>
          <w:b/>
          <w:i/>
          <w:lang w:val="en-US"/>
        </w:rPr>
        <w:t xml:space="preserve">[N1] </w:t>
      </w:r>
      <w:r w:rsidR="009E26BF" w:rsidRPr="00467180">
        <w:rPr>
          <w:b/>
          <w:i/>
          <w:lang w:val="en-US"/>
        </w:rPr>
        <w:t>– Liquefaction</w:t>
      </w:r>
      <w:r w:rsidRPr="00467180">
        <w:rPr>
          <w:b/>
          <w:i/>
          <w:lang w:val="en-US"/>
        </w:rPr>
        <w:t xml:space="preserve"> [N4]</w:t>
      </w:r>
      <w:r w:rsidR="00432890">
        <w:rPr>
          <w:b/>
          <w:i/>
          <w:lang w:val="en-US"/>
        </w:rPr>
        <w:t>:</w:t>
      </w:r>
    </w:p>
    <w:p w:rsidR="009E26BF" w:rsidRDefault="00801153" w:rsidP="009E26BF">
      <w:pPr>
        <w:rPr>
          <w:b/>
          <w:i/>
          <w:lang w:val="en-US"/>
        </w:rPr>
      </w:pPr>
      <w:r w:rsidRPr="00467180">
        <w:rPr>
          <w:b/>
          <w:i/>
          <w:lang w:val="en-US"/>
        </w:rPr>
        <w:t>Vibra</w:t>
      </w:r>
      <w:r w:rsidR="00467180">
        <w:rPr>
          <w:b/>
          <w:i/>
          <w:lang w:val="en-US"/>
        </w:rPr>
        <w:t>t</w:t>
      </w:r>
      <w:r w:rsidRPr="00467180">
        <w:rPr>
          <w:b/>
          <w:i/>
          <w:lang w:val="en-US"/>
        </w:rPr>
        <w:t xml:space="preserve">ory </w:t>
      </w:r>
      <w:r w:rsidR="009E26BF" w:rsidRPr="00467180">
        <w:rPr>
          <w:b/>
          <w:i/>
          <w:lang w:val="en-US"/>
        </w:rPr>
        <w:t xml:space="preserve">ground motion </w:t>
      </w:r>
      <w:r w:rsidRPr="00467180">
        <w:rPr>
          <w:b/>
          <w:i/>
          <w:lang w:val="en-US"/>
        </w:rPr>
        <w:t xml:space="preserve">[N1] </w:t>
      </w:r>
      <w:r w:rsidR="009E26BF" w:rsidRPr="00467180">
        <w:rPr>
          <w:b/>
          <w:i/>
          <w:lang w:val="en-US"/>
        </w:rPr>
        <w:t xml:space="preserve">– dynamic compaction </w:t>
      </w:r>
      <w:r w:rsidR="00601EA7">
        <w:rPr>
          <w:b/>
          <w:i/>
          <w:lang w:val="en-US"/>
        </w:rPr>
        <w:t>[5]</w:t>
      </w:r>
      <w:r w:rsidR="00432890">
        <w:rPr>
          <w:b/>
          <w:i/>
          <w:lang w:val="en-US"/>
        </w:rPr>
        <w:t>:</w:t>
      </w:r>
    </w:p>
    <w:p w:rsidR="00467180" w:rsidRDefault="00467180" w:rsidP="00467180">
      <w:pPr>
        <w:rPr>
          <w:rStyle w:val="NormalCar"/>
          <w:lang w:val="en-US"/>
        </w:rPr>
      </w:pPr>
      <w:r w:rsidRPr="00467180">
        <w:rPr>
          <w:rStyle w:val="NormalCar"/>
          <w:lang w:val="en-US"/>
        </w:rPr>
        <w:t xml:space="preserve">Liquefaction of soil and unconsolidated fine-grained sediments </w:t>
      </w:r>
      <w:r>
        <w:rPr>
          <w:rStyle w:val="NormalCar"/>
          <w:lang w:val="en-US"/>
        </w:rPr>
        <w:t xml:space="preserve">occurs </w:t>
      </w:r>
      <w:r w:rsidRPr="00467180">
        <w:rPr>
          <w:rStyle w:val="NormalCar"/>
          <w:lang w:val="en-US"/>
        </w:rPr>
        <w:t>by the expulsion of pore water</w:t>
      </w:r>
      <w:r>
        <w:rPr>
          <w:rStyle w:val="NormalCar"/>
          <w:lang w:val="en-US"/>
        </w:rPr>
        <w:t xml:space="preserve"> due to sei</w:t>
      </w:r>
      <w:r>
        <w:rPr>
          <w:rStyle w:val="NormalCar"/>
          <w:lang w:val="en-US"/>
        </w:rPr>
        <w:t>s</w:t>
      </w:r>
      <w:r>
        <w:rPr>
          <w:rStyle w:val="NormalCar"/>
          <w:lang w:val="en-US"/>
        </w:rPr>
        <w:t xml:space="preserve">mic shaking. </w:t>
      </w:r>
      <w:r w:rsidR="00CC1E7D">
        <w:rPr>
          <w:rStyle w:val="NormalCar"/>
          <w:lang w:val="en-US"/>
        </w:rPr>
        <w:t>Liquefaction phenomena typically occur at local intensities of I</w:t>
      </w:r>
      <w:r w:rsidR="00CC1E7D" w:rsidRPr="00DA5555">
        <w:rPr>
          <w:rStyle w:val="NormalCar"/>
          <w:vertAlign w:val="subscript"/>
          <w:lang w:val="en-US"/>
        </w:rPr>
        <w:t>ESI-2007</w:t>
      </w:r>
      <w:r w:rsidR="00CC1E7D">
        <w:rPr>
          <w:rStyle w:val="NormalCar"/>
          <w:lang w:val="en-US"/>
        </w:rPr>
        <w:t xml:space="preserve"> = VIII or higher (M</w:t>
      </w:r>
      <w:r w:rsidR="00CC1E7D">
        <w:rPr>
          <w:rStyle w:val="NormalCar"/>
          <w:lang w:val="en-US"/>
        </w:rPr>
        <w:t>i</w:t>
      </w:r>
      <w:r w:rsidR="00CC1E7D">
        <w:rPr>
          <w:rStyle w:val="NormalCar"/>
          <w:lang w:val="en-US"/>
        </w:rPr>
        <w:t xml:space="preserve">chetti et al., 2007). </w:t>
      </w:r>
      <w:r>
        <w:rPr>
          <w:rStyle w:val="NormalCar"/>
          <w:lang w:val="en-US"/>
        </w:rPr>
        <w:t>Assessments of the probability of liquefaction are commonly based on the following criteria:</w:t>
      </w:r>
    </w:p>
    <w:p w:rsidR="007B616C" w:rsidRPr="00BB27FD" w:rsidRDefault="00601EA7" w:rsidP="00860D1D">
      <w:pPr>
        <w:numPr>
          <w:ilvl w:val="0"/>
          <w:numId w:val="47"/>
        </w:numPr>
        <w:rPr>
          <w:lang w:val="en-US"/>
        </w:rPr>
      </w:pPr>
      <w:r>
        <w:rPr>
          <w:rStyle w:val="NormalCar"/>
          <w:b/>
          <w:i/>
          <w:lang w:val="en-US"/>
        </w:rPr>
        <w:t>Seismic criteria</w:t>
      </w:r>
      <w:r w:rsidR="00467180" w:rsidRPr="007B616C">
        <w:rPr>
          <w:rStyle w:val="NormalCar"/>
          <w:b/>
          <w:i/>
          <w:lang w:val="en-US"/>
        </w:rPr>
        <w:t>:</w:t>
      </w:r>
      <w:r w:rsidR="00467180" w:rsidRPr="00467180">
        <w:rPr>
          <w:rStyle w:val="NormalCar"/>
          <w:lang w:val="en-US"/>
        </w:rPr>
        <w:t xml:space="preserve"> </w:t>
      </w:r>
      <w:r w:rsidR="00467180">
        <w:rPr>
          <w:rStyle w:val="NormalCar"/>
          <w:lang w:val="en-US"/>
        </w:rPr>
        <w:t>liquefaction only occurs upon the exceedance of a threshold m</w:t>
      </w:r>
      <w:r w:rsidR="00467180" w:rsidRPr="00467180">
        <w:rPr>
          <w:rStyle w:val="NormalCar"/>
          <w:lang w:val="en-US"/>
        </w:rPr>
        <w:t>agnitude</w:t>
      </w:r>
      <w:r w:rsidR="00E83394">
        <w:rPr>
          <w:rStyle w:val="NormalCar"/>
          <w:lang w:val="en-US"/>
        </w:rPr>
        <w:t xml:space="preserve"> within a given </w:t>
      </w:r>
      <w:r w:rsidR="00E83394" w:rsidRPr="00467180">
        <w:rPr>
          <w:rStyle w:val="NormalCar"/>
          <w:lang w:val="en-US"/>
        </w:rPr>
        <w:t>epicentral distance</w:t>
      </w:r>
      <w:r w:rsidR="00E83394">
        <w:rPr>
          <w:rStyle w:val="NormalCar"/>
          <w:lang w:val="en-US"/>
        </w:rPr>
        <w:t xml:space="preserve"> </w:t>
      </w:r>
      <w:r w:rsidR="00E83394" w:rsidRPr="00467180">
        <w:rPr>
          <w:rStyle w:val="NormalCar"/>
          <w:lang w:val="en-US"/>
        </w:rPr>
        <w:t>(</w:t>
      </w:r>
      <w:r w:rsidR="00541783">
        <w:rPr>
          <w:rStyle w:val="NormalCar"/>
          <w:highlight w:val="yellow"/>
          <w:lang w:val="en-US"/>
        </w:rPr>
        <w:fldChar w:fldCharType="begin"/>
      </w:r>
      <w:r w:rsidR="00541783">
        <w:rPr>
          <w:rStyle w:val="NormalCar"/>
          <w:lang w:val="en-US"/>
        </w:rPr>
        <w:instrText xml:space="preserve"> REF _Ref451166395 \h </w:instrText>
      </w:r>
      <w:r w:rsidR="00541783">
        <w:rPr>
          <w:rStyle w:val="NormalCar"/>
          <w:highlight w:val="yellow"/>
          <w:lang w:val="en-US"/>
        </w:rPr>
      </w:r>
      <w:r w:rsidR="00541783">
        <w:rPr>
          <w:rStyle w:val="NormalCar"/>
          <w:highlight w:val="yellow"/>
          <w:lang w:val="en-US"/>
        </w:rPr>
        <w:fldChar w:fldCharType="separate"/>
      </w:r>
      <w:r w:rsidR="00173034">
        <w:t xml:space="preserve">Figure </w:t>
      </w:r>
      <w:r w:rsidR="00173034">
        <w:rPr>
          <w:noProof/>
        </w:rPr>
        <w:t>25</w:t>
      </w:r>
      <w:r w:rsidR="00541783">
        <w:rPr>
          <w:rStyle w:val="NormalCar"/>
          <w:highlight w:val="yellow"/>
          <w:lang w:val="en-US"/>
        </w:rPr>
        <w:fldChar w:fldCharType="end"/>
      </w:r>
      <w:r w:rsidR="00E83394" w:rsidRPr="00467180">
        <w:rPr>
          <w:rStyle w:val="NormalCar"/>
          <w:lang w:val="en-US"/>
        </w:rPr>
        <w:t>)</w:t>
      </w:r>
      <w:r w:rsidR="00E83394">
        <w:rPr>
          <w:rStyle w:val="NormalCar"/>
          <w:lang w:val="en-US"/>
        </w:rPr>
        <w:t xml:space="preserve">. The exceedance of a local level of ground shaking and minimum number of </w:t>
      </w:r>
      <w:r w:rsidR="00E83394" w:rsidRPr="00467180">
        <w:rPr>
          <w:rStyle w:val="NormalCar"/>
          <w:lang w:val="en-US"/>
        </w:rPr>
        <w:t>loading cycles</w:t>
      </w:r>
      <w:r w:rsidR="00E83394">
        <w:rPr>
          <w:rStyle w:val="NormalCar"/>
          <w:lang w:val="en-US"/>
        </w:rPr>
        <w:t xml:space="preserve"> (earthquake duration) is a prerequisite for the phenomenon.</w:t>
      </w:r>
      <w:r w:rsidR="00E83394" w:rsidRPr="00467180">
        <w:rPr>
          <w:rStyle w:val="NormalCar"/>
          <w:lang w:val="en-US"/>
        </w:rPr>
        <w:t xml:space="preserve"> </w:t>
      </w:r>
      <w:r w:rsidR="007B616C" w:rsidRPr="006628F7">
        <w:rPr>
          <w:rStyle w:val="NormalCar"/>
          <w:lang w:val="en-US"/>
        </w:rPr>
        <w:t xml:space="preserve">The probability of ground motion exceeding the threshold (ground acceleration, </w:t>
      </w:r>
      <w:r w:rsidR="00E83394" w:rsidRPr="006628F7">
        <w:rPr>
          <w:rStyle w:val="NormalCar"/>
          <w:lang w:val="en-US"/>
        </w:rPr>
        <w:t xml:space="preserve">earthquake </w:t>
      </w:r>
      <w:r w:rsidR="007B616C" w:rsidRPr="006628F7">
        <w:rPr>
          <w:rStyle w:val="NormalCar"/>
          <w:lang w:val="en-US"/>
        </w:rPr>
        <w:t>duration) derive</w:t>
      </w:r>
      <w:r w:rsidR="00E83394" w:rsidRPr="006628F7">
        <w:rPr>
          <w:rStyle w:val="NormalCar"/>
          <w:lang w:val="en-US"/>
        </w:rPr>
        <w:t>s</w:t>
      </w:r>
      <w:r w:rsidR="007B616C" w:rsidRPr="006628F7">
        <w:rPr>
          <w:rStyle w:val="NormalCar"/>
          <w:lang w:val="en-US"/>
        </w:rPr>
        <w:t xml:space="preserve"> from seismic hazard assessment.</w:t>
      </w:r>
    </w:p>
    <w:p w:rsidR="00164C19" w:rsidRDefault="00601EA7" w:rsidP="00860D1D">
      <w:pPr>
        <w:numPr>
          <w:ilvl w:val="0"/>
          <w:numId w:val="47"/>
        </w:numPr>
        <w:rPr>
          <w:rStyle w:val="NormalCar"/>
          <w:lang w:val="en-US"/>
        </w:rPr>
      </w:pPr>
      <w:r>
        <w:rPr>
          <w:rStyle w:val="NormalCar"/>
          <w:b/>
          <w:i/>
          <w:lang w:val="en-US"/>
        </w:rPr>
        <w:t>Geological criteria</w:t>
      </w:r>
      <w:r w:rsidR="00467180" w:rsidRPr="00164C19">
        <w:rPr>
          <w:rStyle w:val="NormalCar"/>
          <w:b/>
          <w:i/>
          <w:lang w:val="en-US"/>
        </w:rPr>
        <w:t>:</w:t>
      </w:r>
      <w:r w:rsidR="00467180" w:rsidRPr="00164C19">
        <w:rPr>
          <w:rStyle w:val="NormalCar"/>
          <w:lang w:val="en-US"/>
        </w:rPr>
        <w:t xml:space="preserve"> the susceptibility to liquefaction decreases significantly with the age of sediments (susceptibility </w:t>
      </w:r>
      <w:r w:rsidR="007B616C" w:rsidRPr="00164C19">
        <w:rPr>
          <w:rStyle w:val="NormalCar"/>
          <w:lang w:val="en-US"/>
        </w:rPr>
        <w:t>of</w:t>
      </w:r>
      <w:r w:rsidR="00467180" w:rsidRPr="00164C19">
        <w:rPr>
          <w:rStyle w:val="NormalCar"/>
          <w:lang w:val="en-US"/>
        </w:rPr>
        <w:t xml:space="preserve"> </w:t>
      </w:r>
      <w:r w:rsidR="007B616C" w:rsidRPr="00164C19">
        <w:rPr>
          <w:rStyle w:val="NormalCar"/>
          <w:lang w:val="en-US"/>
        </w:rPr>
        <w:t xml:space="preserve">Holocene </w:t>
      </w:r>
      <w:r w:rsidR="00467180" w:rsidRPr="00164C19">
        <w:rPr>
          <w:rStyle w:val="NormalCar"/>
          <w:lang w:val="en-US"/>
        </w:rPr>
        <w:t>sediments &gt; Pleistocene &gt; Prae-Pleistocene)</w:t>
      </w:r>
      <w:r w:rsidR="007B616C" w:rsidRPr="00164C19">
        <w:rPr>
          <w:rStyle w:val="NormalCar"/>
          <w:lang w:val="en-US"/>
        </w:rPr>
        <w:t xml:space="preserve"> and depends on the sediment f</w:t>
      </w:r>
      <w:r w:rsidR="007B616C" w:rsidRPr="00164C19">
        <w:rPr>
          <w:rStyle w:val="NormalCar"/>
          <w:lang w:val="en-US"/>
        </w:rPr>
        <w:t>a</w:t>
      </w:r>
      <w:r w:rsidR="007B616C" w:rsidRPr="00164C19">
        <w:rPr>
          <w:rStyle w:val="NormalCar"/>
          <w:lang w:val="en-US"/>
        </w:rPr>
        <w:t xml:space="preserve">cies </w:t>
      </w:r>
      <w:r w:rsidR="00467180" w:rsidRPr="00164C19">
        <w:rPr>
          <w:rStyle w:val="NormalCar"/>
          <w:lang w:val="en-US"/>
        </w:rPr>
        <w:t>(fluvial, alluvial, lacustrine and aeolian sedim</w:t>
      </w:r>
      <w:r w:rsidR="007B616C" w:rsidRPr="00164C19">
        <w:rPr>
          <w:rStyle w:val="NormalCar"/>
          <w:lang w:val="en-US"/>
        </w:rPr>
        <w:t>ents may be highly susceptible</w:t>
      </w:r>
      <w:r w:rsidR="00E83394">
        <w:rPr>
          <w:rStyle w:val="NormalCar"/>
          <w:lang w:val="en-US"/>
        </w:rPr>
        <w:t xml:space="preserve">; </w:t>
      </w:r>
      <w:r w:rsidR="00164C19">
        <w:rPr>
          <w:rStyle w:val="NormalCar"/>
          <w:lang w:val="en-US"/>
        </w:rPr>
        <w:t>Youd &amp; Perkins, 1978)</w:t>
      </w:r>
      <w:r w:rsidR="007B616C" w:rsidRPr="00164C19">
        <w:rPr>
          <w:rStyle w:val="NormalCar"/>
          <w:lang w:val="en-US"/>
        </w:rPr>
        <w:t xml:space="preserve">. </w:t>
      </w:r>
      <w:r w:rsidR="00164C19" w:rsidRPr="00164C19">
        <w:rPr>
          <w:rStyle w:val="NormalCar"/>
          <w:lang w:val="en-US"/>
        </w:rPr>
        <w:t>Other important parameters include g</w:t>
      </w:r>
      <w:r w:rsidR="007B616C" w:rsidRPr="00164C19">
        <w:rPr>
          <w:rStyle w:val="NormalCar"/>
          <w:lang w:val="en-US"/>
        </w:rPr>
        <w:t>rain size (sand is most susceptible, silt under certain conditions</w:t>
      </w:r>
      <w:r w:rsidR="00164C19" w:rsidRPr="00164C19">
        <w:rPr>
          <w:rStyle w:val="NormalCar"/>
          <w:lang w:val="en-US"/>
        </w:rPr>
        <w:t>, gravely sand rarely susceptible to liquefaction</w:t>
      </w:r>
      <w:r w:rsidR="007B616C" w:rsidRPr="00164C19">
        <w:rPr>
          <w:rStyle w:val="NormalCar"/>
          <w:lang w:val="en-US"/>
        </w:rPr>
        <w:t>), sorting and angulari</w:t>
      </w:r>
      <w:r w:rsidR="00164C19">
        <w:rPr>
          <w:rStyle w:val="NormalCar"/>
          <w:lang w:val="en-US"/>
        </w:rPr>
        <w:t>ty of grains.</w:t>
      </w:r>
    </w:p>
    <w:p w:rsidR="00467180" w:rsidRDefault="00467180" w:rsidP="00860D1D">
      <w:pPr>
        <w:numPr>
          <w:ilvl w:val="0"/>
          <w:numId w:val="47"/>
        </w:numPr>
        <w:rPr>
          <w:rStyle w:val="NormalCar"/>
          <w:lang w:val="en-US"/>
        </w:rPr>
      </w:pPr>
      <w:r w:rsidRPr="00164C19">
        <w:rPr>
          <w:rStyle w:val="NormalCar"/>
          <w:b/>
          <w:i/>
          <w:lang w:val="en-US"/>
        </w:rPr>
        <w:t>State criteria</w:t>
      </w:r>
      <w:r w:rsidR="007B616C" w:rsidRPr="00164C19">
        <w:rPr>
          <w:rStyle w:val="NormalCar"/>
          <w:b/>
          <w:i/>
          <w:lang w:val="en-US"/>
        </w:rPr>
        <w:t>:</w:t>
      </w:r>
      <w:r w:rsidR="007B616C" w:rsidRPr="00164C19">
        <w:rPr>
          <w:rStyle w:val="NormalCar"/>
          <w:lang w:val="en-US"/>
        </w:rPr>
        <w:t xml:space="preserve"> </w:t>
      </w:r>
      <w:r w:rsidRPr="00164C19">
        <w:rPr>
          <w:rStyle w:val="NormalCar"/>
          <w:lang w:val="en-US"/>
        </w:rPr>
        <w:t>The initial "state" of sediment is defined by its density and effective stress at the time it is subjected to loading. At a given effective stress level, looser sediments are more susceptible to liquefa</w:t>
      </w:r>
      <w:r w:rsidRPr="00164C19">
        <w:rPr>
          <w:rStyle w:val="NormalCar"/>
          <w:lang w:val="en-US"/>
        </w:rPr>
        <w:t>c</w:t>
      </w:r>
      <w:r w:rsidRPr="00164C19">
        <w:rPr>
          <w:rStyle w:val="NormalCar"/>
          <w:lang w:val="en-US"/>
        </w:rPr>
        <w:t>tion than denser ones. For a given density, soils at high effective stresses are generally more susceptible to liquefaction than soils at low effe</w:t>
      </w:r>
      <w:r w:rsidRPr="00164C19">
        <w:rPr>
          <w:rStyle w:val="NormalCar"/>
          <w:lang w:val="en-US"/>
        </w:rPr>
        <w:t>c</w:t>
      </w:r>
      <w:r w:rsidRPr="00164C19">
        <w:rPr>
          <w:rStyle w:val="NormalCar"/>
          <w:lang w:val="en-US"/>
        </w:rPr>
        <w:t>tive stresses.</w:t>
      </w:r>
    </w:p>
    <w:p w:rsidR="000E2B00" w:rsidRDefault="000E2B00" w:rsidP="000E2B00">
      <w:pPr>
        <w:rPr>
          <w:rStyle w:val="NormalCar"/>
          <w:b/>
          <w:i/>
          <w:lang w:val="en-US"/>
        </w:rPr>
      </w:pPr>
    </w:p>
    <w:p w:rsidR="000E2B00" w:rsidRPr="00E0398E" w:rsidRDefault="00BF410D" w:rsidP="00E0398E">
      <w:pPr>
        <w:pStyle w:val="Lgende"/>
        <w:rPr>
          <w:rStyle w:val="NormalCar"/>
          <w:lang w:val="en-US"/>
        </w:rPr>
      </w:pPr>
      <w:r>
        <w:rPr>
          <w:rStyle w:val="NormalCar"/>
          <w:b w:val="0"/>
          <w:lang w:val="en-US"/>
        </w:rPr>
        <w:t>Input d</w:t>
      </w:r>
      <w:r w:rsidR="00E83394">
        <w:rPr>
          <w:rStyle w:val="NormalCar"/>
          <w:b w:val="0"/>
          <w:lang w:val="en-US"/>
        </w:rPr>
        <w:t xml:space="preserve">ata required for the assessment of liquefaction hazards are </w:t>
      </w:r>
      <w:r>
        <w:rPr>
          <w:rStyle w:val="NormalCar"/>
          <w:b w:val="0"/>
          <w:lang w:val="en-US"/>
        </w:rPr>
        <w:t xml:space="preserve">listed in chaper </w:t>
      </w:r>
      <w:r>
        <w:rPr>
          <w:rStyle w:val="NormalCar"/>
          <w:b w:val="0"/>
          <w:lang w:val="en-US"/>
        </w:rPr>
        <w:fldChar w:fldCharType="begin"/>
      </w:r>
      <w:r>
        <w:rPr>
          <w:rStyle w:val="NormalCar"/>
          <w:b w:val="0"/>
          <w:lang w:val="en-US"/>
        </w:rPr>
        <w:instrText xml:space="preserve"> REF _Ref451102043 \r \h </w:instrText>
      </w:r>
      <w:r>
        <w:rPr>
          <w:rStyle w:val="NormalCar"/>
          <w:b w:val="0"/>
          <w:lang w:val="en-US"/>
        </w:rPr>
      </w:r>
      <w:r>
        <w:rPr>
          <w:rStyle w:val="NormalCar"/>
          <w:b w:val="0"/>
          <w:lang w:val="en-US"/>
        </w:rPr>
        <w:fldChar w:fldCharType="separate"/>
      </w:r>
      <w:r w:rsidR="00173034">
        <w:rPr>
          <w:rStyle w:val="NormalCar"/>
          <w:b w:val="0"/>
          <w:lang w:val="en-US"/>
        </w:rPr>
        <w:t>3.1.3</w:t>
      </w:r>
      <w:r>
        <w:rPr>
          <w:rStyle w:val="NormalCar"/>
          <w:b w:val="0"/>
          <w:lang w:val="en-US"/>
        </w:rPr>
        <w:fldChar w:fldCharType="end"/>
      </w:r>
      <w:r>
        <w:rPr>
          <w:rStyle w:val="NormalCar"/>
          <w:b w:val="0"/>
          <w:lang w:val="en-US"/>
        </w:rPr>
        <w:t xml:space="preserve"> of this report. R</w:t>
      </w:r>
      <w:r w:rsidR="000E2B00" w:rsidRPr="00E0398E">
        <w:rPr>
          <w:rStyle w:val="NormalCar"/>
          <w:b w:val="0"/>
          <w:lang w:val="en-US"/>
        </w:rPr>
        <w:t xml:space="preserve">ecent examples of </w:t>
      </w:r>
      <w:r w:rsidR="00E0398E" w:rsidRPr="00E0398E">
        <w:rPr>
          <w:rStyle w:val="NormalCar"/>
          <w:b w:val="0"/>
          <w:lang w:val="en-US"/>
        </w:rPr>
        <w:t>soil liquefaction analyses for nuclear power plants include the stu</w:t>
      </w:r>
      <w:r w:rsidR="00E0398E" w:rsidRPr="00E0398E">
        <w:rPr>
          <w:rStyle w:val="NormalCar"/>
          <w:b w:val="0"/>
          <w:lang w:val="en-US"/>
        </w:rPr>
        <w:t>d</w:t>
      </w:r>
      <w:r w:rsidR="00E0398E" w:rsidRPr="00E0398E">
        <w:rPr>
          <w:rStyle w:val="NormalCar"/>
          <w:b w:val="0"/>
          <w:lang w:val="en-US"/>
        </w:rPr>
        <w:t>ies for Paks NPP (</w:t>
      </w:r>
      <w:r w:rsidR="0043343A">
        <w:rPr>
          <w:rStyle w:val="NormalCar"/>
          <w:b w:val="0"/>
          <w:lang w:val="en-US"/>
        </w:rPr>
        <w:t>Bán et al., 2015; Tóth et al., 2015</w:t>
      </w:r>
      <w:r w:rsidR="001E610F">
        <w:rPr>
          <w:rStyle w:val="NormalCar"/>
          <w:b w:val="0"/>
          <w:lang w:val="en-US"/>
        </w:rPr>
        <w:t>).</w:t>
      </w:r>
    </w:p>
    <w:p w:rsidR="007B616C" w:rsidRDefault="007B616C" w:rsidP="00467180">
      <w:pPr>
        <w:rPr>
          <w:rStyle w:val="NormalCar"/>
          <w:lang w:val="en-US"/>
        </w:rPr>
      </w:pPr>
    </w:p>
    <w:p w:rsidR="009E26BF" w:rsidRDefault="009E26BF" w:rsidP="00BB27FD">
      <w:pPr>
        <w:rPr>
          <w:lang w:val="en-US"/>
        </w:rPr>
      </w:pPr>
    </w:p>
    <w:p w:rsidR="000E2B00" w:rsidRDefault="00FA7DEE" w:rsidP="000E2B00">
      <w:pPr>
        <w:pStyle w:val="Lgende"/>
        <w:jc w:val="center"/>
      </w:pPr>
      <w:r>
        <w:lastRenderedPageBreak/>
        <w:pict>
          <v:shape id="_x0000_i1057" type="#_x0000_t75" style="width:401.4pt;height:254.85pt">
            <v:imagedata r:id="rId87" o:title="Liquefaction_seismic_criteria"/>
          </v:shape>
        </w:pict>
      </w:r>
    </w:p>
    <w:p w:rsidR="00541783" w:rsidRDefault="00541783" w:rsidP="000E2B00">
      <w:pPr>
        <w:pStyle w:val="Lgende"/>
        <w:jc w:val="center"/>
      </w:pPr>
    </w:p>
    <w:p w:rsidR="000E2B00" w:rsidRPr="000E2B00" w:rsidRDefault="00541783" w:rsidP="000E2B00">
      <w:pPr>
        <w:pStyle w:val="Lgende"/>
        <w:jc w:val="center"/>
        <w:rPr>
          <w:i/>
        </w:rPr>
      </w:pPr>
      <w:bookmarkStart w:id="208" w:name="_Ref451166395"/>
      <w:bookmarkStart w:id="209" w:name="_Toc456012061"/>
      <w:r>
        <w:t xml:space="preserve">Figure </w:t>
      </w:r>
      <w:r>
        <w:fldChar w:fldCharType="begin"/>
      </w:r>
      <w:r>
        <w:instrText xml:space="preserve"> SEQ Figure \* ARABIC </w:instrText>
      </w:r>
      <w:r>
        <w:fldChar w:fldCharType="separate"/>
      </w:r>
      <w:r w:rsidR="00173034">
        <w:rPr>
          <w:noProof/>
        </w:rPr>
        <w:t>25</w:t>
      </w:r>
      <w:r>
        <w:fldChar w:fldCharType="end"/>
      </w:r>
      <w:bookmarkEnd w:id="208"/>
      <w:r>
        <w:t xml:space="preserve">. </w:t>
      </w:r>
      <w:r w:rsidR="000E2B00">
        <w:t>Graph showing surface wave magnitude (Ms) – distance relations for liquefaction ph</w:t>
      </w:r>
      <w:r w:rsidR="000E2B00">
        <w:t>e</w:t>
      </w:r>
      <w:r w:rsidR="000E2B00">
        <w:t xml:space="preserve">nomena based on empirical data.   </w:t>
      </w:r>
      <w:r w:rsidR="000E2B00" w:rsidRPr="000E2B00">
        <w:rPr>
          <w:i/>
        </w:rPr>
        <w:t>[Liquefaction_seismic_criteria.JPG]</w:t>
      </w:r>
      <w:bookmarkEnd w:id="209"/>
    </w:p>
    <w:p w:rsidR="000E2B00" w:rsidRDefault="000E2B00" w:rsidP="00801153">
      <w:pPr>
        <w:rPr>
          <w:b/>
          <w:i/>
          <w:lang w:val="en-US"/>
        </w:rPr>
      </w:pPr>
    </w:p>
    <w:p w:rsidR="00FF7075" w:rsidRDefault="00FF7075" w:rsidP="00801153">
      <w:pPr>
        <w:rPr>
          <w:b/>
          <w:i/>
          <w:lang w:val="en-US"/>
        </w:rPr>
      </w:pPr>
    </w:p>
    <w:p w:rsidR="00801153" w:rsidRPr="00801153" w:rsidRDefault="00801153" w:rsidP="00801153">
      <w:pPr>
        <w:rPr>
          <w:b/>
          <w:i/>
          <w:lang w:val="en-US"/>
        </w:rPr>
      </w:pPr>
      <w:r w:rsidRPr="00801153">
        <w:rPr>
          <w:b/>
          <w:i/>
          <w:lang w:val="en-US"/>
        </w:rPr>
        <w:t>Vibra</w:t>
      </w:r>
      <w:r w:rsidR="000E2B00">
        <w:rPr>
          <w:b/>
          <w:i/>
          <w:lang w:val="en-US"/>
        </w:rPr>
        <w:t>t</w:t>
      </w:r>
      <w:r w:rsidRPr="00801153">
        <w:rPr>
          <w:b/>
          <w:i/>
          <w:lang w:val="en-US"/>
        </w:rPr>
        <w:t xml:space="preserve">ory ground motion </w:t>
      </w:r>
      <w:r w:rsidR="00601EA7">
        <w:rPr>
          <w:b/>
          <w:i/>
          <w:lang w:val="en-US"/>
        </w:rPr>
        <w:t>[N1] – Ground displacement [N6]</w:t>
      </w:r>
      <w:r w:rsidRPr="00801153">
        <w:rPr>
          <w:b/>
          <w:i/>
          <w:lang w:val="en-US"/>
        </w:rPr>
        <w:t>:</w:t>
      </w:r>
    </w:p>
    <w:p w:rsidR="00CC1E7D" w:rsidRDefault="00432890" w:rsidP="00432890">
      <w:pPr>
        <w:rPr>
          <w:rStyle w:val="NormalCar"/>
          <w:lang w:val="en-US"/>
        </w:rPr>
      </w:pPr>
      <w:r w:rsidRPr="00BE1BC4">
        <w:rPr>
          <w:lang w:val="en-US"/>
        </w:rPr>
        <w:t>The hazard is only relevant for sites which are located in the vinicity of faults which may accumulate signif</w:t>
      </w:r>
      <w:r w:rsidRPr="00BE1BC4">
        <w:rPr>
          <w:lang w:val="en-US"/>
        </w:rPr>
        <w:t>i</w:t>
      </w:r>
      <w:r w:rsidRPr="00BE1BC4">
        <w:rPr>
          <w:lang w:val="en-US"/>
        </w:rPr>
        <w:t>cant vertical displacement during a seismic event, e.g., in the hangingwall of thrust faults or in the hangingwall / foo</w:t>
      </w:r>
      <w:r w:rsidRPr="00BE1BC4">
        <w:rPr>
          <w:lang w:val="en-US"/>
        </w:rPr>
        <w:t>t</w:t>
      </w:r>
      <w:r w:rsidRPr="00BE1BC4">
        <w:rPr>
          <w:lang w:val="en-US"/>
        </w:rPr>
        <w:t>wall of large normal faults</w:t>
      </w:r>
      <w:r w:rsidR="00B1776B">
        <w:rPr>
          <w:lang w:val="en-US"/>
        </w:rPr>
        <w:t>, or releasing/restraining bends of strike-slip faults</w:t>
      </w:r>
      <w:r w:rsidRPr="00BE1BC4">
        <w:rPr>
          <w:lang w:val="en-US"/>
        </w:rPr>
        <w:t xml:space="preserve">. </w:t>
      </w:r>
      <w:r w:rsidR="00CC1E7D">
        <w:rPr>
          <w:lang w:val="en-US"/>
        </w:rPr>
        <w:t xml:space="preserve">According to the ESI Intensity Scale </w:t>
      </w:r>
      <w:r w:rsidR="00CC1E7D">
        <w:rPr>
          <w:rStyle w:val="NormalCar"/>
          <w:lang w:val="en-US"/>
        </w:rPr>
        <w:t>(M</w:t>
      </w:r>
      <w:r w:rsidR="00CC1E7D">
        <w:rPr>
          <w:rStyle w:val="NormalCar"/>
          <w:lang w:val="en-US"/>
        </w:rPr>
        <w:t>i</w:t>
      </w:r>
      <w:r w:rsidR="00CC1E7D">
        <w:rPr>
          <w:rStyle w:val="NormalCar"/>
          <w:lang w:val="en-US"/>
        </w:rPr>
        <w:t xml:space="preserve">chetti et al., 2007) permanent </w:t>
      </w:r>
      <w:r w:rsidR="00B1776B">
        <w:rPr>
          <w:rStyle w:val="NormalCar"/>
          <w:lang w:val="en-US"/>
        </w:rPr>
        <w:t xml:space="preserve">vertical </w:t>
      </w:r>
      <w:r w:rsidR="00CC1E7D">
        <w:rPr>
          <w:rStyle w:val="NormalCar"/>
          <w:lang w:val="en-US"/>
        </w:rPr>
        <w:t xml:space="preserve">ground displacements of &lt; 0.1 m </w:t>
      </w:r>
      <w:r w:rsidR="00B1776B">
        <w:rPr>
          <w:rStyle w:val="NormalCar"/>
          <w:lang w:val="en-US"/>
        </w:rPr>
        <w:t>may be induced by</w:t>
      </w:r>
      <w:r w:rsidR="00CC1E7D">
        <w:rPr>
          <w:rStyle w:val="NormalCar"/>
          <w:lang w:val="en-US"/>
        </w:rPr>
        <w:t xml:space="preserve"> eartqhuakes with local intensity I</w:t>
      </w:r>
      <w:r w:rsidR="00CC1E7D" w:rsidRPr="00DA5555">
        <w:rPr>
          <w:rStyle w:val="NormalCar"/>
          <w:vertAlign w:val="subscript"/>
          <w:lang w:val="en-US"/>
        </w:rPr>
        <w:t>ESI-2007</w:t>
      </w:r>
      <w:r w:rsidR="00CC1E7D">
        <w:rPr>
          <w:rStyle w:val="NormalCar"/>
          <w:lang w:val="en-US"/>
        </w:rPr>
        <w:t xml:space="preserve"> = VII</w:t>
      </w:r>
      <w:r w:rsidR="00B1776B">
        <w:rPr>
          <w:rStyle w:val="NormalCar"/>
          <w:lang w:val="en-US"/>
        </w:rPr>
        <w:t>. Permanent ground dislocation with amplitudes of about 1 m and more are possible for local i</w:t>
      </w:r>
      <w:r w:rsidR="00B1776B">
        <w:rPr>
          <w:rStyle w:val="NormalCar"/>
          <w:lang w:val="en-US"/>
        </w:rPr>
        <w:t>n</w:t>
      </w:r>
      <w:r w:rsidR="00B1776B">
        <w:rPr>
          <w:rStyle w:val="NormalCar"/>
          <w:lang w:val="en-US"/>
        </w:rPr>
        <w:t>tensities I</w:t>
      </w:r>
      <w:r w:rsidR="00B1776B" w:rsidRPr="00DA5555">
        <w:rPr>
          <w:rStyle w:val="NormalCar"/>
          <w:vertAlign w:val="subscript"/>
          <w:lang w:val="en-US"/>
        </w:rPr>
        <w:t>ESI-2007</w:t>
      </w:r>
      <w:r w:rsidR="00601EA7">
        <w:rPr>
          <w:rStyle w:val="NormalCar"/>
          <w:lang w:val="en-US"/>
        </w:rPr>
        <w:t xml:space="preserve"> &gt; IX.</w:t>
      </w:r>
    </w:p>
    <w:p w:rsidR="00B1776B" w:rsidRDefault="00B1776B" w:rsidP="00432890">
      <w:pPr>
        <w:rPr>
          <w:lang w:val="en-US"/>
        </w:rPr>
      </w:pPr>
    </w:p>
    <w:p w:rsidR="00432890" w:rsidRPr="00BE1BC4" w:rsidRDefault="00432890" w:rsidP="00432890">
      <w:pPr>
        <w:rPr>
          <w:lang w:val="en-US"/>
        </w:rPr>
      </w:pPr>
      <w:r w:rsidRPr="00BE1BC4">
        <w:rPr>
          <w:lang w:val="en-US"/>
        </w:rPr>
        <w:t>The occurrence probabi</w:t>
      </w:r>
      <w:r w:rsidR="00B1776B">
        <w:rPr>
          <w:lang w:val="en-US"/>
        </w:rPr>
        <w:t>lities of large displacments at</w:t>
      </w:r>
      <w:r w:rsidRPr="00BE1BC4">
        <w:rPr>
          <w:lang w:val="en-US"/>
        </w:rPr>
        <w:t xml:space="preserve"> </w:t>
      </w:r>
      <w:r w:rsidR="00B1776B">
        <w:rPr>
          <w:lang w:val="en-US"/>
        </w:rPr>
        <w:t xml:space="preserve">normal or thrust </w:t>
      </w:r>
      <w:r w:rsidRPr="00BE1BC4">
        <w:rPr>
          <w:lang w:val="en-US"/>
        </w:rPr>
        <w:t>faults may be assessed by methods comp</w:t>
      </w:r>
      <w:r w:rsidRPr="00BE1BC4">
        <w:rPr>
          <w:lang w:val="en-US"/>
        </w:rPr>
        <w:t>a</w:t>
      </w:r>
      <w:r w:rsidRPr="00BE1BC4">
        <w:rPr>
          <w:lang w:val="en-US"/>
        </w:rPr>
        <w:t>rable to PFDHA</w:t>
      </w:r>
      <w:r w:rsidR="00BE1BC4" w:rsidRPr="00BE1BC4">
        <w:rPr>
          <w:lang w:val="en-US"/>
        </w:rPr>
        <w:t xml:space="preserve">. </w:t>
      </w:r>
      <w:r w:rsidR="00BF410D">
        <w:rPr>
          <w:lang w:val="en-US"/>
        </w:rPr>
        <w:t xml:space="preserve">Chapter </w:t>
      </w:r>
      <w:r w:rsidR="00BF410D">
        <w:rPr>
          <w:lang w:val="en-US"/>
        </w:rPr>
        <w:fldChar w:fldCharType="begin"/>
      </w:r>
      <w:r w:rsidR="00BF410D">
        <w:rPr>
          <w:lang w:val="en-US"/>
        </w:rPr>
        <w:instrText xml:space="preserve"> REF _Ref451102164 \r \h </w:instrText>
      </w:r>
      <w:r w:rsidR="00BF410D">
        <w:rPr>
          <w:lang w:val="en-US"/>
        </w:rPr>
      </w:r>
      <w:r w:rsidR="00BF410D">
        <w:rPr>
          <w:lang w:val="en-US"/>
        </w:rPr>
        <w:fldChar w:fldCharType="separate"/>
      </w:r>
      <w:r w:rsidR="00173034">
        <w:rPr>
          <w:lang w:val="en-US"/>
        </w:rPr>
        <w:t>3.1.4</w:t>
      </w:r>
      <w:r w:rsidR="00BF410D">
        <w:rPr>
          <w:lang w:val="en-US"/>
        </w:rPr>
        <w:fldChar w:fldCharType="end"/>
      </w:r>
      <w:r w:rsidR="00BF410D">
        <w:rPr>
          <w:lang w:val="en-US"/>
        </w:rPr>
        <w:t xml:space="preserve"> provides a list of data required for the assessment of ground displacement hazards</w:t>
      </w:r>
      <w:r w:rsidR="00601EA7">
        <w:rPr>
          <w:lang w:val="en-US"/>
        </w:rPr>
        <w:t>.</w:t>
      </w:r>
    </w:p>
    <w:p w:rsidR="00432890" w:rsidRDefault="00432890" w:rsidP="00BB27FD">
      <w:pPr>
        <w:rPr>
          <w:lang w:val="en-US"/>
        </w:rPr>
      </w:pPr>
    </w:p>
    <w:p w:rsidR="00CE2E19" w:rsidRDefault="00CE2E19" w:rsidP="00CE2E19">
      <w:pPr>
        <w:rPr>
          <w:b/>
          <w:i/>
          <w:lang w:val="en-US"/>
        </w:rPr>
      </w:pPr>
      <w:r>
        <w:rPr>
          <w:b/>
          <w:i/>
          <w:lang w:val="en-US"/>
        </w:rPr>
        <w:t>Vibratory ground motion [N1] – T</w:t>
      </w:r>
      <w:r w:rsidRPr="008748B7">
        <w:rPr>
          <w:b/>
          <w:i/>
          <w:lang w:val="en-US"/>
        </w:rPr>
        <w:t>sunami [N7]</w:t>
      </w:r>
      <w:r>
        <w:rPr>
          <w:b/>
          <w:i/>
          <w:lang w:val="en-US"/>
        </w:rPr>
        <w:t>:</w:t>
      </w:r>
    </w:p>
    <w:p w:rsidR="00CE2E19" w:rsidRDefault="00CE2E19" w:rsidP="00CE2E19">
      <w:pPr>
        <w:rPr>
          <w:lang w:val="en-US"/>
        </w:rPr>
      </w:pPr>
      <w:r>
        <w:rPr>
          <w:lang w:val="en-US"/>
        </w:rPr>
        <w:t>The perception of the Fukushima Daiichi accident may suggest that vibratory ground motion – tsunami as a typical hazard combination. Although tsunami is a relevant hazard for European costal sites, the combination of tsunami flooding with strong vibratory ground motion is not regarded typical for European coasts. Previous and potential future sources of tsunamis affecting the European Atlantic coast include submarine landslides (e.g., the Storega Landslide; Bondevik et al., 2005; Smith et al., 2004; Weninger et al., 2008), possible volcanic collapse (Canary Islands; Ward &amp; Day, 2001), and offshore earthquakes in the Gibraltar seismic arc (1755 Lisbon earth</w:t>
      </w:r>
      <w:r w:rsidR="00766742">
        <w:rPr>
          <w:lang w:val="en-US"/>
        </w:rPr>
        <w:t>q</w:t>
      </w:r>
      <w:r>
        <w:rPr>
          <w:lang w:val="en-US"/>
        </w:rPr>
        <w:t xml:space="preserve">uke; the </w:t>
      </w:r>
      <w:r>
        <w:rPr>
          <w:lang w:val="en-US"/>
        </w:rPr>
        <w:lastRenderedPageBreak/>
        <w:t>earthquake offshore Portugal caused a tsunami with catastrophic effects; e.g., Gutscher et al., 2006). Tsunam</w:t>
      </w:r>
      <w:r>
        <w:rPr>
          <w:lang w:val="en-US"/>
        </w:rPr>
        <w:t>i</w:t>
      </w:r>
      <w:r>
        <w:rPr>
          <w:lang w:val="en-US"/>
        </w:rPr>
        <w:t>genic seismic sources in the Atlantic, however, are remote from current n</w:t>
      </w:r>
      <w:r>
        <w:rPr>
          <w:lang w:val="en-US"/>
        </w:rPr>
        <w:t>u</w:t>
      </w:r>
      <w:r>
        <w:rPr>
          <w:lang w:val="en-US"/>
        </w:rPr>
        <w:t>clear sites.</w:t>
      </w:r>
    </w:p>
    <w:p w:rsidR="00CE2E19" w:rsidRDefault="00CE2E19" w:rsidP="00CE2E19">
      <w:pPr>
        <w:rPr>
          <w:lang w:val="en-US"/>
        </w:rPr>
      </w:pPr>
    </w:p>
    <w:p w:rsidR="00CE2E19" w:rsidRDefault="00CE2E19" w:rsidP="00CE2E19">
      <w:pPr>
        <w:rPr>
          <w:lang w:val="en-US"/>
        </w:rPr>
      </w:pPr>
      <w:r>
        <w:rPr>
          <w:lang w:val="en-US"/>
        </w:rPr>
        <w:t xml:space="preserve">The probability for a costal site to be affected by vibratory ground motion and </w:t>
      </w:r>
      <w:r w:rsidR="00FC4028">
        <w:rPr>
          <w:lang w:val="en-US"/>
        </w:rPr>
        <w:t>tsunami is therefore equal to the probability of a tsunamigenic earthqua</w:t>
      </w:r>
      <w:r w:rsidR="00885F0F">
        <w:rPr>
          <w:lang w:val="en-US"/>
        </w:rPr>
        <w:t>ke, e.g., in the Gibraltar seismic arc.</w:t>
      </w:r>
    </w:p>
    <w:p w:rsidR="00801153" w:rsidRDefault="00801153" w:rsidP="00BB27FD">
      <w:pPr>
        <w:rPr>
          <w:lang w:val="en-US"/>
        </w:rPr>
      </w:pPr>
    </w:p>
    <w:p w:rsidR="001F6BAD" w:rsidRDefault="00885F0F" w:rsidP="00BB27FD">
      <w:pPr>
        <w:rPr>
          <w:lang w:val="en-US"/>
        </w:rPr>
      </w:pPr>
      <w:r>
        <w:rPr>
          <w:lang w:val="en-US"/>
        </w:rPr>
        <w:t xml:space="preserve">For the </w:t>
      </w:r>
      <w:r w:rsidR="001F6BAD">
        <w:rPr>
          <w:lang w:val="en-US"/>
        </w:rPr>
        <w:t>Tsunami</w:t>
      </w:r>
      <w:r w:rsidR="00BE1BC4">
        <w:rPr>
          <w:lang w:val="en-US"/>
        </w:rPr>
        <w:t xml:space="preserve"> </w:t>
      </w:r>
      <w:r>
        <w:rPr>
          <w:lang w:val="en-US"/>
        </w:rPr>
        <w:t>hazard assessment we refer to the ASAMPSA_E</w:t>
      </w:r>
      <w:r w:rsidR="001F6BAD">
        <w:rPr>
          <w:lang w:val="en-US"/>
        </w:rPr>
        <w:t xml:space="preserve"> Guidance for External Flooding</w:t>
      </w:r>
      <w:r>
        <w:rPr>
          <w:lang w:val="en-US"/>
        </w:rPr>
        <w:t>.</w:t>
      </w:r>
    </w:p>
    <w:p w:rsidR="0069068C" w:rsidRDefault="0069068C" w:rsidP="0069068C">
      <w:pPr>
        <w:rPr>
          <w:lang w:val="en-US"/>
        </w:rPr>
      </w:pPr>
    </w:p>
    <w:p w:rsidR="0069068C" w:rsidRPr="004A6E9C" w:rsidRDefault="0069068C" w:rsidP="007039BB">
      <w:pPr>
        <w:tabs>
          <w:tab w:val="left" w:pos="6762"/>
        </w:tabs>
        <w:rPr>
          <w:b/>
          <w:i/>
          <w:lang w:val="en-US"/>
        </w:rPr>
      </w:pPr>
      <w:r w:rsidRPr="004A6E9C">
        <w:rPr>
          <w:b/>
          <w:i/>
          <w:lang w:val="en-US"/>
        </w:rPr>
        <w:t>Vibratory ground motion [1] – Water containment failure [15]</w:t>
      </w:r>
      <w:r w:rsidR="00601EA7">
        <w:rPr>
          <w:b/>
          <w:i/>
          <w:lang w:val="en-US"/>
        </w:rPr>
        <w:t>:</w:t>
      </w:r>
    </w:p>
    <w:p w:rsidR="0087403F" w:rsidRDefault="0069068C" w:rsidP="0069068C">
      <w:pPr>
        <w:rPr>
          <w:lang w:val="en-US"/>
        </w:rPr>
      </w:pPr>
      <w:r>
        <w:rPr>
          <w:lang w:val="en-US"/>
        </w:rPr>
        <w:t xml:space="preserve">Assessment of the hazard by earthquake induced water containment failure </w:t>
      </w:r>
      <w:r w:rsidR="007039BB">
        <w:rPr>
          <w:lang w:val="en-US"/>
        </w:rPr>
        <w:t xml:space="preserve">requires a site-specific seismic hazard assessment for the dam sites under consideration. SHA may rely on the same dataset and methodology as the SHA performed for the nuclear installation, but </w:t>
      </w:r>
      <w:r w:rsidR="0087403F">
        <w:rPr>
          <w:lang w:val="en-US"/>
        </w:rPr>
        <w:t xml:space="preserve">needs to </w:t>
      </w:r>
      <w:r w:rsidR="007039BB">
        <w:rPr>
          <w:lang w:val="en-US"/>
        </w:rPr>
        <w:t>account for the different location and site conditions of t</w:t>
      </w:r>
      <w:r w:rsidR="0087403F">
        <w:rPr>
          <w:lang w:val="en-US"/>
        </w:rPr>
        <w:t>he water containment structures</w:t>
      </w:r>
      <w:r w:rsidR="007039BB">
        <w:rPr>
          <w:lang w:val="en-US"/>
        </w:rPr>
        <w:t xml:space="preserve">. The assessment of the probability of hazards resulting from </w:t>
      </w:r>
      <w:r w:rsidR="0087403F">
        <w:rPr>
          <w:lang w:val="en-US"/>
        </w:rPr>
        <w:t>containment</w:t>
      </w:r>
      <w:r w:rsidR="007039BB">
        <w:rPr>
          <w:lang w:val="en-US"/>
        </w:rPr>
        <w:t xml:space="preserve"> fai</w:t>
      </w:r>
      <w:r w:rsidR="007039BB">
        <w:rPr>
          <w:lang w:val="en-US"/>
        </w:rPr>
        <w:t>l</w:t>
      </w:r>
      <w:r w:rsidR="007039BB">
        <w:rPr>
          <w:lang w:val="en-US"/>
        </w:rPr>
        <w:t xml:space="preserve">ure further needs to </w:t>
      </w:r>
      <w:r w:rsidR="0087403F">
        <w:rPr>
          <w:lang w:val="en-US"/>
        </w:rPr>
        <w:t xml:space="preserve">take account of </w:t>
      </w:r>
      <w:r w:rsidR="007039BB">
        <w:rPr>
          <w:lang w:val="en-US"/>
        </w:rPr>
        <w:t xml:space="preserve">the vulnerability </w:t>
      </w:r>
      <w:r w:rsidR="0087403F">
        <w:rPr>
          <w:lang w:val="en-US"/>
        </w:rPr>
        <w:t xml:space="preserve">of </w:t>
      </w:r>
      <w:r w:rsidR="00757A3E">
        <w:rPr>
          <w:lang w:val="en-US"/>
        </w:rPr>
        <w:t>the</w:t>
      </w:r>
      <w:r w:rsidR="0087403F">
        <w:rPr>
          <w:lang w:val="en-US"/>
        </w:rPr>
        <w:t xml:space="preserve"> structures. Examples from the Swiss NPP Mühleberg and the upstream Wohlensee dam show that fragility analysis is challenging. There, t</w:t>
      </w:r>
      <w:r w:rsidR="0087403F" w:rsidRPr="0087403F">
        <w:rPr>
          <w:lang w:val="en-US"/>
        </w:rPr>
        <w:t xml:space="preserve">he seismic fragility of the </w:t>
      </w:r>
      <w:r w:rsidR="00B1776B">
        <w:rPr>
          <w:lang w:val="en-US"/>
        </w:rPr>
        <w:t>Wohlensee</w:t>
      </w:r>
      <w:r w:rsidR="0087403F" w:rsidRPr="0087403F">
        <w:rPr>
          <w:lang w:val="en-US"/>
        </w:rPr>
        <w:t xml:space="preserve"> was established by a nonlinear analysis revealing HCLPF </w:t>
      </w:r>
      <w:r w:rsidR="0087403F">
        <w:rPr>
          <w:lang w:val="en-US"/>
        </w:rPr>
        <w:t>values for its seismic resistance</w:t>
      </w:r>
      <w:r w:rsidR="0087403F" w:rsidRPr="0087403F">
        <w:rPr>
          <w:lang w:val="en-US"/>
        </w:rPr>
        <w:t xml:space="preserve"> (Ghanaat et al., 2011).</w:t>
      </w:r>
    </w:p>
    <w:p w:rsidR="00BE1BC4" w:rsidRDefault="00BE1BC4" w:rsidP="00BE1BC4">
      <w:pPr>
        <w:rPr>
          <w:lang w:val="en-US"/>
        </w:rPr>
      </w:pPr>
    </w:p>
    <w:p w:rsidR="00BF410D" w:rsidRDefault="00BF410D" w:rsidP="00BE1BC4">
      <w:pPr>
        <w:rPr>
          <w:bCs/>
          <w:lang w:val="en-US"/>
        </w:rPr>
      </w:pPr>
      <w:r>
        <w:rPr>
          <w:bCs/>
          <w:lang w:val="en-US"/>
        </w:rPr>
        <w:t xml:space="preserve">Apart from direct coseismic effects on water dams vibratory ground motion may also </w:t>
      </w:r>
      <w:r w:rsidRPr="00DF0872">
        <w:rPr>
          <w:bCs/>
          <w:lang w:val="en-US"/>
        </w:rPr>
        <w:t>lead to increased</w:t>
      </w:r>
      <w:r>
        <w:rPr>
          <w:bCs/>
          <w:lang w:val="en-US"/>
        </w:rPr>
        <w:t xml:space="preserve"> </w:t>
      </w:r>
      <w:r w:rsidRPr="00DF0872">
        <w:rPr>
          <w:bCs/>
          <w:lang w:val="en-US"/>
        </w:rPr>
        <w:t xml:space="preserve">post-seismic </w:t>
      </w:r>
      <w:r>
        <w:rPr>
          <w:bCs/>
          <w:lang w:val="en-US"/>
        </w:rPr>
        <w:t>vulnerability of water con</w:t>
      </w:r>
      <w:r w:rsidR="00FE7E83">
        <w:rPr>
          <w:bCs/>
          <w:lang w:val="en-US"/>
        </w:rPr>
        <w:t>t</w:t>
      </w:r>
      <w:r>
        <w:rPr>
          <w:bCs/>
          <w:lang w:val="en-US"/>
        </w:rPr>
        <w:t>rol</w:t>
      </w:r>
      <w:r w:rsidR="00FE7E83">
        <w:rPr>
          <w:bCs/>
          <w:lang w:val="en-US"/>
        </w:rPr>
        <w:t xml:space="preserve"> </w:t>
      </w:r>
      <w:r>
        <w:rPr>
          <w:bCs/>
          <w:lang w:val="en-US"/>
        </w:rPr>
        <w:t xml:space="preserve"> structures and dykes which persist </w:t>
      </w:r>
      <w:r w:rsidRPr="00DF0872">
        <w:rPr>
          <w:bCs/>
          <w:lang w:val="en-US"/>
        </w:rPr>
        <w:t xml:space="preserve">for long </w:t>
      </w:r>
      <w:r w:rsidR="00CC1E7D" w:rsidRPr="00DF0872">
        <w:rPr>
          <w:bCs/>
          <w:lang w:val="en-US"/>
        </w:rPr>
        <w:t xml:space="preserve">time </w:t>
      </w:r>
      <w:r w:rsidRPr="00DF0872">
        <w:rPr>
          <w:bCs/>
          <w:lang w:val="en-US"/>
        </w:rPr>
        <w:t>per</w:t>
      </w:r>
      <w:r w:rsidRPr="00DF0872">
        <w:rPr>
          <w:bCs/>
          <w:lang w:val="en-US"/>
        </w:rPr>
        <w:t>i</w:t>
      </w:r>
      <w:r w:rsidRPr="00DF0872">
        <w:rPr>
          <w:bCs/>
          <w:lang w:val="en-US"/>
        </w:rPr>
        <w:t>od</w:t>
      </w:r>
      <w:r w:rsidR="00CC1E7D">
        <w:rPr>
          <w:bCs/>
          <w:lang w:val="en-US"/>
        </w:rPr>
        <w:t>s</w:t>
      </w:r>
      <w:r w:rsidRPr="00DF0872">
        <w:rPr>
          <w:bCs/>
          <w:lang w:val="en-US"/>
        </w:rPr>
        <w:t>.</w:t>
      </w:r>
      <w:r w:rsidR="00CC1E7D">
        <w:rPr>
          <w:bCs/>
          <w:lang w:val="en-US"/>
        </w:rPr>
        <w:t xml:space="preserve"> Such weakening of protection systems may be releva</w:t>
      </w:r>
      <w:r w:rsidR="00FE7E83">
        <w:rPr>
          <w:bCs/>
          <w:lang w:val="en-US"/>
        </w:rPr>
        <w:t>n</w:t>
      </w:r>
      <w:r w:rsidR="00CC1E7D">
        <w:rPr>
          <w:bCs/>
          <w:lang w:val="en-US"/>
        </w:rPr>
        <w:t>t for the assessment of flooding hazards.</w:t>
      </w:r>
    </w:p>
    <w:p w:rsidR="00BF410D" w:rsidRDefault="00BF410D" w:rsidP="00BE1BC4">
      <w:pPr>
        <w:rPr>
          <w:lang w:val="en-US"/>
        </w:rPr>
      </w:pPr>
    </w:p>
    <w:p w:rsidR="0069068C" w:rsidRDefault="0069068C" w:rsidP="00BE1BC4">
      <w:pPr>
        <w:rPr>
          <w:lang w:val="en-US"/>
        </w:rPr>
      </w:pPr>
    </w:p>
    <w:p w:rsidR="00BB27FD" w:rsidRPr="00BE1BC4" w:rsidRDefault="00541783" w:rsidP="000C3A42">
      <w:pPr>
        <w:rPr>
          <w:b/>
          <w:bCs/>
          <w:i/>
          <w:lang w:val="en-US"/>
        </w:rPr>
      </w:pPr>
      <w:r>
        <w:rPr>
          <w:b/>
          <w:i/>
          <w:lang w:val="en-US"/>
        </w:rPr>
        <w:br w:type="page"/>
      </w:r>
      <w:r w:rsidR="001E610F" w:rsidRPr="00BE1BC4">
        <w:rPr>
          <w:b/>
          <w:i/>
          <w:lang w:val="en-US"/>
        </w:rPr>
        <w:lastRenderedPageBreak/>
        <w:t xml:space="preserve">Vibratory ground motion [N1] </w:t>
      </w:r>
      <w:r w:rsidR="001E610F" w:rsidRPr="00BE1BC4">
        <w:rPr>
          <w:b/>
          <w:bCs/>
          <w:i/>
          <w:lang w:val="en-US"/>
        </w:rPr>
        <w:t>– S</w:t>
      </w:r>
      <w:r w:rsidR="001F6BAD" w:rsidRPr="00BE1BC4">
        <w:rPr>
          <w:b/>
          <w:bCs/>
          <w:i/>
          <w:lang w:val="en-US"/>
        </w:rPr>
        <w:t>lope instability</w:t>
      </w:r>
      <w:r w:rsidR="001E610F" w:rsidRPr="00BE1BC4">
        <w:rPr>
          <w:b/>
          <w:bCs/>
          <w:i/>
          <w:lang w:val="en-US"/>
        </w:rPr>
        <w:t xml:space="preserve"> [N60]</w:t>
      </w:r>
      <w:r w:rsidR="001F6BAD" w:rsidRPr="00BE1BC4">
        <w:rPr>
          <w:b/>
          <w:bCs/>
          <w:i/>
          <w:lang w:val="en-US"/>
        </w:rPr>
        <w:t>:</w:t>
      </w:r>
    </w:p>
    <w:p w:rsidR="00BE1BC4" w:rsidRDefault="00BE1BC4" w:rsidP="00BE1BC4">
      <w:pPr>
        <w:rPr>
          <w:rStyle w:val="NormalCar"/>
          <w:lang w:val="en-US"/>
        </w:rPr>
      </w:pPr>
      <w:r>
        <w:rPr>
          <w:rStyle w:val="NormalCar"/>
          <w:lang w:val="en-US"/>
        </w:rPr>
        <w:t>Slope instability caused by seismic ground shaking is a common and frequent effect of earthqua</w:t>
      </w:r>
      <w:r w:rsidR="00397CC4">
        <w:rPr>
          <w:rStyle w:val="NormalCar"/>
          <w:lang w:val="en-US"/>
        </w:rPr>
        <w:t>kes on the nat</w:t>
      </w:r>
      <w:r w:rsidR="00397CC4">
        <w:rPr>
          <w:rStyle w:val="NormalCar"/>
          <w:lang w:val="en-US"/>
        </w:rPr>
        <w:t>u</w:t>
      </w:r>
      <w:r w:rsidR="00397CC4">
        <w:rPr>
          <w:rStyle w:val="NormalCar"/>
          <w:lang w:val="en-US"/>
        </w:rPr>
        <w:t xml:space="preserve">ral environment for earthquakes with local </w:t>
      </w:r>
      <w:r w:rsidR="00DA5555">
        <w:rPr>
          <w:rStyle w:val="NormalCar"/>
          <w:lang w:val="en-US"/>
        </w:rPr>
        <w:t xml:space="preserve">environmental </w:t>
      </w:r>
      <w:r w:rsidR="00397CC4">
        <w:rPr>
          <w:rStyle w:val="NormalCar"/>
          <w:lang w:val="en-US"/>
        </w:rPr>
        <w:t>intensity</w:t>
      </w:r>
      <w:r w:rsidR="00DA5555">
        <w:rPr>
          <w:rStyle w:val="NormalCar"/>
          <w:lang w:val="en-US"/>
        </w:rPr>
        <w:t xml:space="preserve"> I</w:t>
      </w:r>
      <w:r w:rsidR="00DA5555" w:rsidRPr="00DA5555">
        <w:rPr>
          <w:rStyle w:val="NormalCar"/>
          <w:vertAlign w:val="subscript"/>
          <w:lang w:val="en-US"/>
        </w:rPr>
        <w:t>ESI-2007</w:t>
      </w:r>
      <w:r w:rsidR="00DA5555">
        <w:rPr>
          <w:rStyle w:val="NormalCar"/>
          <w:lang w:val="en-US"/>
        </w:rPr>
        <w:t xml:space="preserve"> = </w:t>
      </w:r>
      <w:r w:rsidR="00397CC4">
        <w:rPr>
          <w:rStyle w:val="NormalCar"/>
          <w:lang w:val="en-US"/>
        </w:rPr>
        <w:t xml:space="preserve">VIII or higher </w:t>
      </w:r>
      <w:r w:rsidR="00DA5555">
        <w:rPr>
          <w:rStyle w:val="NormalCar"/>
          <w:lang w:val="en-US"/>
        </w:rPr>
        <w:t>(</w:t>
      </w:r>
      <w:r w:rsidR="00B06870">
        <w:rPr>
          <w:rStyle w:val="NormalCar"/>
          <w:lang w:val="en-US"/>
        </w:rPr>
        <w:t>Michetti et al., 2007</w:t>
      </w:r>
      <w:r w:rsidR="00397CC4">
        <w:rPr>
          <w:rStyle w:val="NormalCar"/>
          <w:lang w:val="en-US"/>
        </w:rPr>
        <w:t>).</w:t>
      </w:r>
      <w:r w:rsidR="00B06870">
        <w:rPr>
          <w:rStyle w:val="NormalCar"/>
          <w:lang w:val="en-US"/>
        </w:rPr>
        <w:t xml:space="preserve"> </w:t>
      </w:r>
      <w:r>
        <w:rPr>
          <w:rStyle w:val="NormalCar"/>
          <w:lang w:val="en-US"/>
        </w:rPr>
        <w:t>A</w:t>
      </w:r>
      <w:r>
        <w:rPr>
          <w:rStyle w:val="NormalCar"/>
          <w:lang w:val="en-US"/>
        </w:rPr>
        <w:t>s</w:t>
      </w:r>
      <w:r>
        <w:rPr>
          <w:rStyle w:val="NormalCar"/>
          <w:lang w:val="en-US"/>
        </w:rPr>
        <w:t>sessments of the probability of slope instability should account for the following crit</w:t>
      </w:r>
      <w:r>
        <w:rPr>
          <w:rStyle w:val="NormalCar"/>
          <w:lang w:val="en-US"/>
        </w:rPr>
        <w:t>e</w:t>
      </w:r>
      <w:r>
        <w:rPr>
          <w:rStyle w:val="NormalCar"/>
          <w:lang w:val="en-US"/>
        </w:rPr>
        <w:t>ria:</w:t>
      </w:r>
    </w:p>
    <w:p w:rsidR="004B2687" w:rsidRPr="004B2687" w:rsidRDefault="00601EA7" w:rsidP="00860D1D">
      <w:pPr>
        <w:numPr>
          <w:ilvl w:val="0"/>
          <w:numId w:val="47"/>
        </w:numPr>
        <w:rPr>
          <w:rStyle w:val="NormalCar"/>
          <w:b/>
          <w:i/>
          <w:lang w:val="en-US"/>
        </w:rPr>
      </w:pPr>
      <w:r>
        <w:rPr>
          <w:rStyle w:val="NormalCar"/>
          <w:b/>
          <w:i/>
          <w:lang w:val="en-US"/>
        </w:rPr>
        <w:t>Magnitude – distance criteria</w:t>
      </w:r>
      <w:r w:rsidR="00BE1BC4" w:rsidRPr="004B2687">
        <w:rPr>
          <w:rStyle w:val="NormalCar"/>
          <w:b/>
          <w:i/>
          <w:lang w:val="en-US"/>
        </w:rPr>
        <w:t xml:space="preserve">:  </w:t>
      </w:r>
      <w:r w:rsidR="009927EA">
        <w:rPr>
          <w:rStyle w:val="NormalCar"/>
          <w:lang w:val="en-US"/>
        </w:rPr>
        <w:t>E</w:t>
      </w:r>
      <w:r w:rsidR="00B06870" w:rsidRPr="004B2687">
        <w:rPr>
          <w:rStyle w:val="NormalCar"/>
          <w:lang w:val="en-US"/>
        </w:rPr>
        <w:t>mpirical data show positive correlations between the earthquake ma</w:t>
      </w:r>
      <w:r w:rsidR="00B06870" w:rsidRPr="004B2687">
        <w:rPr>
          <w:rStyle w:val="NormalCar"/>
          <w:lang w:val="en-US"/>
        </w:rPr>
        <w:t>g</w:t>
      </w:r>
      <w:r w:rsidR="00B06870" w:rsidRPr="004B2687">
        <w:rPr>
          <w:rStyle w:val="NormalCar"/>
          <w:lang w:val="en-US"/>
        </w:rPr>
        <w:t>nitude and the distance from the epicen</w:t>
      </w:r>
      <w:r w:rsidR="00FE7E83">
        <w:rPr>
          <w:rStyle w:val="NormalCar"/>
          <w:lang w:val="en-US"/>
        </w:rPr>
        <w:t>t</w:t>
      </w:r>
      <w:r w:rsidR="00B06870" w:rsidRPr="004B2687">
        <w:rPr>
          <w:rStyle w:val="NormalCar"/>
          <w:lang w:val="en-US"/>
        </w:rPr>
        <w:t xml:space="preserve">er or the ruptured fault where slope instabilities may occur </w:t>
      </w:r>
      <w:r w:rsidR="00B06870" w:rsidRPr="00541783">
        <w:rPr>
          <w:rStyle w:val="NormalCar"/>
          <w:lang w:val="en-US"/>
        </w:rPr>
        <w:t>(</w:t>
      </w:r>
      <w:r w:rsidR="00541783" w:rsidRPr="00541783">
        <w:rPr>
          <w:rStyle w:val="NormalCar"/>
          <w:lang w:val="en-US"/>
        </w:rPr>
        <w:fldChar w:fldCharType="begin"/>
      </w:r>
      <w:r w:rsidR="00541783" w:rsidRPr="00541783">
        <w:rPr>
          <w:rStyle w:val="NormalCar"/>
          <w:lang w:val="en-US"/>
        </w:rPr>
        <w:instrText xml:space="preserve"> REF _Ref451166461 \h </w:instrText>
      </w:r>
      <w:r w:rsidR="00541783" w:rsidRPr="00541783">
        <w:rPr>
          <w:rStyle w:val="NormalCar"/>
          <w:lang w:val="en-US"/>
        </w:rPr>
      </w:r>
      <w:r w:rsidR="00541783">
        <w:rPr>
          <w:rStyle w:val="NormalCar"/>
          <w:lang w:val="en-US"/>
        </w:rPr>
        <w:instrText xml:space="preserve"> \* MERGEFORMAT </w:instrText>
      </w:r>
      <w:r w:rsidR="00541783" w:rsidRPr="00541783">
        <w:rPr>
          <w:rStyle w:val="NormalCar"/>
          <w:lang w:val="en-US"/>
        </w:rPr>
        <w:fldChar w:fldCharType="separate"/>
      </w:r>
      <w:r w:rsidR="00173034">
        <w:t xml:space="preserve">Figure </w:t>
      </w:r>
      <w:r w:rsidR="00173034">
        <w:rPr>
          <w:noProof/>
        </w:rPr>
        <w:t>26</w:t>
      </w:r>
      <w:r w:rsidR="00541783" w:rsidRPr="00541783">
        <w:rPr>
          <w:rStyle w:val="NormalCar"/>
          <w:lang w:val="en-US"/>
        </w:rPr>
        <w:fldChar w:fldCharType="end"/>
      </w:r>
      <w:r w:rsidR="00541783" w:rsidRPr="00541783">
        <w:rPr>
          <w:rStyle w:val="NormalCar"/>
          <w:lang w:val="en-US"/>
        </w:rPr>
        <w:t xml:space="preserve">, </w:t>
      </w:r>
      <w:r w:rsidR="00541783" w:rsidRPr="00541783">
        <w:rPr>
          <w:rStyle w:val="NormalCar"/>
          <w:lang w:val="en-US"/>
        </w:rPr>
        <w:fldChar w:fldCharType="begin"/>
      </w:r>
      <w:r w:rsidR="00541783" w:rsidRPr="00541783">
        <w:rPr>
          <w:rStyle w:val="NormalCar"/>
          <w:lang w:val="en-US"/>
        </w:rPr>
        <w:instrText xml:space="preserve"> REF _Ref451166463 \h </w:instrText>
      </w:r>
      <w:r w:rsidR="00541783" w:rsidRPr="00541783">
        <w:rPr>
          <w:rStyle w:val="NormalCar"/>
          <w:lang w:val="en-US"/>
        </w:rPr>
      </w:r>
      <w:r w:rsidR="00541783">
        <w:rPr>
          <w:rStyle w:val="NormalCar"/>
          <w:lang w:val="en-US"/>
        </w:rPr>
        <w:instrText xml:space="preserve"> \* MERGEFORMAT </w:instrText>
      </w:r>
      <w:r w:rsidR="00541783" w:rsidRPr="00541783">
        <w:rPr>
          <w:rStyle w:val="NormalCar"/>
          <w:lang w:val="en-US"/>
        </w:rPr>
        <w:fldChar w:fldCharType="separate"/>
      </w:r>
      <w:r w:rsidR="00173034">
        <w:t xml:space="preserve">Figure </w:t>
      </w:r>
      <w:r w:rsidR="00173034">
        <w:rPr>
          <w:noProof/>
        </w:rPr>
        <w:t>27</w:t>
      </w:r>
      <w:r w:rsidR="00541783" w:rsidRPr="00541783">
        <w:rPr>
          <w:rStyle w:val="NormalCar"/>
          <w:lang w:val="en-US"/>
        </w:rPr>
        <w:fldChar w:fldCharType="end"/>
      </w:r>
      <w:r w:rsidR="00B06870" w:rsidRPr="00541783">
        <w:rPr>
          <w:rStyle w:val="NormalCar"/>
          <w:lang w:val="en-US"/>
        </w:rPr>
        <w:t>). The probabilities of ground motion exceeding the threshold for triggering lan</w:t>
      </w:r>
      <w:r w:rsidR="00B06870" w:rsidRPr="00541783">
        <w:rPr>
          <w:rStyle w:val="NormalCar"/>
          <w:lang w:val="en-US"/>
        </w:rPr>
        <w:t>d</w:t>
      </w:r>
      <w:r w:rsidR="00B06870" w:rsidRPr="00541783">
        <w:rPr>
          <w:rStyle w:val="NormalCar"/>
          <w:lang w:val="en-US"/>
        </w:rPr>
        <w:t>slides</w:t>
      </w:r>
      <w:r w:rsidR="00B06870" w:rsidRPr="004B2687">
        <w:rPr>
          <w:rStyle w:val="NormalCar"/>
          <w:lang w:val="en-US"/>
        </w:rPr>
        <w:t xml:space="preserve"> </w:t>
      </w:r>
      <w:r w:rsidR="009927EA">
        <w:rPr>
          <w:rStyle w:val="NormalCar"/>
          <w:lang w:val="en-US"/>
        </w:rPr>
        <w:t xml:space="preserve">therefore </w:t>
      </w:r>
      <w:r w:rsidR="00B06870" w:rsidRPr="004B2687">
        <w:rPr>
          <w:rStyle w:val="NormalCar"/>
          <w:lang w:val="en-US"/>
        </w:rPr>
        <w:t xml:space="preserve">can be derived from </w:t>
      </w:r>
      <w:r w:rsidR="00DA5555" w:rsidRPr="004B2687">
        <w:rPr>
          <w:rStyle w:val="NormalCar"/>
          <w:lang w:val="en-US"/>
        </w:rPr>
        <w:t>SHA. Assessment may reve</w:t>
      </w:r>
      <w:r w:rsidR="00B1776B">
        <w:rPr>
          <w:rStyle w:val="NormalCar"/>
          <w:lang w:val="en-US"/>
        </w:rPr>
        <w:t>al</w:t>
      </w:r>
      <w:r w:rsidR="00DA5555" w:rsidRPr="004B2687">
        <w:rPr>
          <w:rStyle w:val="NormalCar"/>
          <w:lang w:val="en-US"/>
        </w:rPr>
        <w:t xml:space="preserve"> the probability of </w:t>
      </w:r>
      <w:r w:rsidR="004637FC">
        <w:rPr>
          <w:rStyle w:val="NormalCar"/>
          <w:lang w:val="en-US"/>
        </w:rPr>
        <w:t xml:space="preserve">earthquakes which cause </w:t>
      </w:r>
      <w:r w:rsidR="00DA5555" w:rsidRPr="004B2687">
        <w:rPr>
          <w:rStyle w:val="NormalCar"/>
          <w:lang w:val="en-US"/>
        </w:rPr>
        <w:t>ground motion at the site with I</w:t>
      </w:r>
      <w:r w:rsidR="00DA5555" w:rsidRPr="009927EA">
        <w:rPr>
          <w:rStyle w:val="NormalCar"/>
          <w:vertAlign w:val="subscript"/>
          <w:lang w:val="en-US"/>
        </w:rPr>
        <w:t>ESI-2007</w:t>
      </w:r>
      <w:r w:rsidR="00DA5555" w:rsidRPr="004B2687">
        <w:rPr>
          <w:rStyle w:val="NormalCar"/>
          <w:lang w:val="en-US"/>
        </w:rPr>
        <w:t xml:space="preserve"> ≥ VIII</w:t>
      </w:r>
      <w:r w:rsidR="00B1776B">
        <w:rPr>
          <w:rStyle w:val="NormalCar"/>
          <w:lang w:val="en-US"/>
        </w:rPr>
        <w:t>,</w:t>
      </w:r>
      <w:r w:rsidR="00DA5555" w:rsidRPr="004B2687">
        <w:rPr>
          <w:rStyle w:val="NormalCar"/>
          <w:lang w:val="en-US"/>
        </w:rPr>
        <w:t xml:space="preserve"> or the probability of earthquakes with magnitudes e</w:t>
      </w:r>
      <w:r w:rsidR="00DA5555" w:rsidRPr="004B2687">
        <w:rPr>
          <w:rStyle w:val="NormalCar"/>
          <w:lang w:val="en-US"/>
        </w:rPr>
        <w:t>x</w:t>
      </w:r>
      <w:r w:rsidR="00DA5555" w:rsidRPr="004B2687">
        <w:rPr>
          <w:rStyle w:val="NormalCar"/>
          <w:lang w:val="en-US"/>
        </w:rPr>
        <w:t>ceeding the threshold</w:t>
      </w:r>
      <w:r w:rsidR="004637FC">
        <w:rPr>
          <w:rStyle w:val="NormalCar"/>
          <w:lang w:val="en-US"/>
        </w:rPr>
        <w:t>,</w:t>
      </w:r>
      <w:r w:rsidR="00DA5555" w:rsidRPr="004B2687">
        <w:rPr>
          <w:rStyle w:val="NormalCar"/>
          <w:lang w:val="en-US"/>
        </w:rPr>
        <w:t xml:space="preserve"> </w:t>
      </w:r>
      <w:r w:rsidR="004637FC">
        <w:rPr>
          <w:rStyle w:val="NormalCar"/>
          <w:lang w:val="en-US"/>
        </w:rPr>
        <w:t xml:space="preserve">which occur within </w:t>
      </w:r>
      <w:r w:rsidR="00B1776B">
        <w:rPr>
          <w:rStyle w:val="NormalCar"/>
          <w:lang w:val="en-US"/>
        </w:rPr>
        <w:t>a</w:t>
      </w:r>
      <w:r w:rsidR="004637FC">
        <w:rPr>
          <w:rStyle w:val="NormalCar"/>
          <w:lang w:val="en-US"/>
        </w:rPr>
        <w:t xml:space="preserve"> </w:t>
      </w:r>
      <w:r w:rsidR="00DA5555" w:rsidRPr="004B2687">
        <w:rPr>
          <w:rStyle w:val="NormalCar"/>
          <w:lang w:val="en-US"/>
        </w:rPr>
        <w:t>certain distance</w:t>
      </w:r>
      <w:r w:rsidR="004637FC">
        <w:rPr>
          <w:rStyle w:val="NormalCar"/>
          <w:lang w:val="en-US"/>
        </w:rPr>
        <w:t xml:space="preserve"> from the site</w:t>
      </w:r>
      <w:r w:rsidR="00DA5555" w:rsidRPr="004B2687">
        <w:rPr>
          <w:rStyle w:val="NormalCar"/>
          <w:lang w:val="en-US"/>
        </w:rPr>
        <w:t xml:space="preserve">. </w:t>
      </w:r>
      <w:r w:rsidR="00B17248" w:rsidRPr="004B2687">
        <w:rPr>
          <w:rStyle w:val="NormalCar"/>
          <w:lang w:val="en-US"/>
        </w:rPr>
        <w:t>When magnitude-distance cr</w:t>
      </w:r>
      <w:r w:rsidR="00B17248" w:rsidRPr="004B2687">
        <w:rPr>
          <w:rStyle w:val="NormalCar"/>
          <w:lang w:val="en-US"/>
        </w:rPr>
        <w:t>i</w:t>
      </w:r>
      <w:r w:rsidR="00B17248" w:rsidRPr="004B2687">
        <w:rPr>
          <w:rStyle w:val="NormalCar"/>
          <w:lang w:val="en-US"/>
        </w:rPr>
        <w:t>teria are used for hazard assessment care must be taken to apply relations which derived from datasets of climatically similar regions. Several published relations distinguish between “wet” and “dry” countries due to the fact that water saturated soils and rocks are more susceptible to landsliding (e.g., Japanese Geotechnical S</w:t>
      </w:r>
      <w:r w:rsidR="00B17248" w:rsidRPr="004B2687">
        <w:rPr>
          <w:rStyle w:val="NormalCar"/>
          <w:lang w:val="en-US"/>
        </w:rPr>
        <w:t>o</w:t>
      </w:r>
      <w:r>
        <w:rPr>
          <w:rStyle w:val="NormalCar"/>
          <w:lang w:val="en-US"/>
        </w:rPr>
        <w:t>ciety, 1999).</w:t>
      </w:r>
    </w:p>
    <w:p w:rsidR="00B06870" w:rsidRPr="004B2687" w:rsidRDefault="00601EA7" w:rsidP="00860D1D">
      <w:pPr>
        <w:numPr>
          <w:ilvl w:val="0"/>
          <w:numId w:val="47"/>
        </w:numPr>
        <w:rPr>
          <w:rStyle w:val="NormalCar"/>
          <w:lang w:val="en-US"/>
        </w:rPr>
      </w:pPr>
      <w:r>
        <w:rPr>
          <w:rStyle w:val="NormalCar"/>
          <w:b/>
          <w:i/>
          <w:lang w:val="en-US"/>
        </w:rPr>
        <w:t>Susce</w:t>
      </w:r>
      <w:r w:rsidR="00FE7E83">
        <w:rPr>
          <w:rStyle w:val="NormalCar"/>
          <w:b/>
          <w:i/>
          <w:lang w:val="en-US"/>
        </w:rPr>
        <w:t>p</w:t>
      </w:r>
      <w:r>
        <w:rPr>
          <w:rStyle w:val="NormalCar"/>
          <w:b/>
          <w:i/>
          <w:lang w:val="en-US"/>
        </w:rPr>
        <w:t>tibility criteria</w:t>
      </w:r>
      <w:r w:rsidR="004D19B7" w:rsidRPr="004B2687">
        <w:rPr>
          <w:rStyle w:val="NormalCar"/>
          <w:b/>
          <w:i/>
          <w:lang w:val="en-US"/>
        </w:rPr>
        <w:t xml:space="preserve">: </w:t>
      </w:r>
      <w:r w:rsidR="004D19B7" w:rsidRPr="004B2687">
        <w:rPr>
          <w:rStyle w:val="NormalCar"/>
          <w:lang w:val="en-US"/>
        </w:rPr>
        <w:t>The Japanese Geotechnical Society (1999) proposed a number of factors to a</w:t>
      </w:r>
      <w:r w:rsidR="004D19B7" w:rsidRPr="004B2687">
        <w:rPr>
          <w:rStyle w:val="NormalCar"/>
          <w:lang w:val="en-US"/>
        </w:rPr>
        <w:t>s</w:t>
      </w:r>
      <w:r w:rsidR="004D19B7" w:rsidRPr="004B2687">
        <w:rPr>
          <w:rStyle w:val="NormalCar"/>
          <w:lang w:val="en-US"/>
        </w:rPr>
        <w:t>ses</w:t>
      </w:r>
      <w:r w:rsidR="00FE7E83">
        <w:rPr>
          <w:rStyle w:val="NormalCar"/>
          <w:lang w:val="en-US"/>
        </w:rPr>
        <w:t>s</w:t>
      </w:r>
      <w:r w:rsidR="004D19B7" w:rsidRPr="004B2687">
        <w:rPr>
          <w:rStyle w:val="NormalCar"/>
          <w:lang w:val="en-US"/>
        </w:rPr>
        <w:t xml:space="preserve"> the susceptibility of slopes to earthquake-induced slope instability. Factor</w:t>
      </w:r>
      <w:r w:rsidR="00B1776B">
        <w:rPr>
          <w:rStyle w:val="NormalCar"/>
          <w:lang w:val="en-US"/>
        </w:rPr>
        <w:t>s</w:t>
      </w:r>
      <w:r w:rsidR="004D19B7" w:rsidRPr="004B2687">
        <w:rPr>
          <w:rStyle w:val="NormalCar"/>
          <w:lang w:val="en-US"/>
        </w:rPr>
        <w:t xml:space="preserve"> include morphological and g</w:t>
      </w:r>
      <w:r w:rsidR="004D19B7" w:rsidRPr="004B2687">
        <w:rPr>
          <w:rStyle w:val="NormalCar"/>
          <w:lang w:val="en-US"/>
        </w:rPr>
        <w:t>e</w:t>
      </w:r>
      <w:r w:rsidR="004D19B7" w:rsidRPr="004B2687">
        <w:rPr>
          <w:rStyle w:val="NormalCar"/>
          <w:lang w:val="en-US"/>
        </w:rPr>
        <w:t xml:space="preserve">ological criteria such as the elevation difference and length of slopes, </w:t>
      </w:r>
      <w:r w:rsidR="00B1776B">
        <w:rPr>
          <w:rStyle w:val="NormalCar"/>
          <w:lang w:val="en-US"/>
        </w:rPr>
        <w:t xml:space="preserve">slope </w:t>
      </w:r>
      <w:r w:rsidR="004D19B7" w:rsidRPr="004B2687">
        <w:rPr>
          <w:rStyle w:val="NormalCar"/>
          <w:lang w:val="en-US"/>
        </w:rPr>
        <w:t xml:space="preserve">morphology </w:t>
      </w:r>
      <w:r w:rsidR="00B1776B">
        <w:rPr>
          <w:rStyle w:val="NormalCar"/>
          <w:lang w:val="en-US"/>
        </w:rPr>
        <w:t xml:space="preserve">expressed by the shape of countour lines </w:t>
      </w:r>
      <w:r w:rsidR="004D19B7" w:rsidRPr="004B2687">
        <w:rPr>
          <w:rStyle w:val="NormalCar"/>
          <w:lang w:val="en-US"/>
        </w:rPr>
        <w:t>(convex</w:t>
      </w:r>
      <w:r w:rsidR="00B1776B">
        <w:rPr>
          <w:rStyle w:val="NormalCar"/>
          <w:lang w:val="en-US"/>
        </w:rPr>
        <w:t xml:space="preserve">, </w:t>
      </w:r>
      <w:r w:rsidR="004D19B7" w:rsidRPr="004B2687">
        <w:rPr>
          <w:rStyle w:val="NormalCar"/>
          <w:lang w:val="en-US"/>
        </w:rPr>
        <w:t>concave</w:t>
      </w:r>
      <w:r w:rsidR="00B1776B">
        <w:rPr>
          <w:rStyle w:val="NormalCar"/>
          <w:lang w:val="en-US"/>
        </w:rPr>
        <w:t>,</w:t>
      </w:r>
      <w:r w:rsidR="004D19B7" w:rsidRPr="004B2687">
        <w:rPr>
          <w:rStyle w:val="NormalCar"/>
          <w:lang w:val="en-US"/>
        </w:rPr>
        <w:t xml:space="preserve"> curved or linear), length of artificial slopes</w:t>
      </w:r>
      <w:r w:rsidR="00B1776B">
        <w:rPr>
          <w:rStyle w:val="NormalCar"/>
          <w:lang w:val="en-US"/>
        </w:rPr>
        <w:t>,</w:t>
      </w:r>
      <w:r w:rsidR="004D19B7" w:rsidRPr="004B2687">
        <w:rPr>
          <w:rStyle w:val="NormalCar"/>
          <w:lang w:val="en-US"/>
        </w:rPr>
        <w:t xml:space="preserve"> rock </w:t>
      </w:r>
      <w:r w:rsidR="00B1776B">
        <w:rPr>
          <w:rStyle w:val="NormalCar"/>
          <w:lang w:val="en-US"/>
        </w:rPr>
        <w:t>type and fra</w:t>
      </w:r>
      <w:r w:rsidR="00B1776B">
        <w:rPr>
          <w:rStyle w:val="NormalCar"/>
          <w:lang w:val="en-US"/>
        </w:rPr>
        <w:t>c</w:t>
      </w:r>
      <w:r w:rsidR="00B1776B">
        <w:rPr>
          <w:rStyle w:val="NormalCar"/>
          <w:lang w:val="en-US"/>
        </w:rPr>
        <w:t>ture patterns</w:t>
      </w:r>
      <w:r w:rsidR="004D19B7" w:rsidRPr="004B2687">
        <w:rPr>
          <w:rStyle w:val="NormalCar"/>
          <w:lang w:val="en-US"/>
        </w:rPr>
        <w:t>. Factors are used for a categorization of the vulnerability of slopes with respect to slope i</w:t>
      </w:r>
      <w:r w:rsidR="004D19B7" w:rsidRPr="004B2687">
        <w:rPr>
          <w:rStyle w:val="NormalCar"/>
          <w:lang w:val="en-US"/>
        </w:rPr>
        <w:t>n</w:t>
      </w:r>
      <w:r w:rsidR="004D19B7" w:rsidRPr="004B2687">
        <w:rPr>
          <w:rStyle w:val="NormalCar"/>
          <w:lang w:val="en-US"/>
        </w:rPr>
        <w:t>stability.</w:t>
      </w:r>
    </w:p>
    <w:p w:rsidR="004D19B7" w:rsidRDefault="004D19B7" w:rsidP="00BE1BC4">
      <w:pPr>
        <w:rPr>
          <w:bCs/>
          <w:lang w:val="en-US"/>
        </w:rPr>
      </w:pPr>
    </w:p>
    <w:p w:rsidR="00E1466D" w:rsidRDefault="00FA7DEE" w:rsidP="00E1466D">
      <w:pPr>
        <w:jc w:val="center"/>
        <w:rPr>
          <w:bCs/>
          <w:lang w:val="en-US"/>
        </w:rPr>
      </w:pPr>
      <w:r>
        <w:rPr>
          <w:bCs/>
          <w:lang w:val="en-US"/>
        </w:rPr>
        <w:pict>
          <v:shape id="_x0000_i1058" type="#_x0000_t75" style="width:263.8pt;height:170.1pt">
            <v:imagedata r:id="rId88" o:title="Slope_instability_Japan"/>
          </v:shape>
        </w:pict>
      </w:r>
    </w:p>
    <w:p w:rsidR="00E1466D" w:rsidRDefault="00E1466D" w:rsidP="00E1466D">
      <w:pPr>
        <w:jc w:val="center"/>
        <w:rPr>
          <w:bCs/>
          <w:lang w:val="en-US"/>
        </w:rPr>
      </w:pPr>
    </w:p>
    <w:p w:rsidR="00E1466D" w:rsidRPr="000E2B00" w:rsidRDefault="00541783" w:rsidP="00E1466D">
      <w:pPr>
        <w:pStyle w:val="Lgende"/>
        <w:jc w:val="center"/>
        <w:rPr>
          <w:i/>
        </w:rPr>
      </w:pPr>
      <w:bookmarkStart w:id="210" w:name="_Ref451166461"/>
      <w:bookmarkStart w:id="211" w:name="_Toc456012062"/>
      <w:r>
        <w:t xml:space="preserve">Figure </w:t>
      </w:r>
      <w:r>
        <w:fldChar w:fldCharType="begin"/>
      </w:r>
      <w:r>
        <w:instrText xml:space="preserve"> SEQ Figure \* ARABIC </w:instrText>
      </w:r>
      <w:r>
        <w:fldChar w:fldCharType="separate"/>
      </w:r>
      <w:r w:rsidR="00173034">
        <w:rPr>
          <w:noProof/>
        </w:rPr>
        <w:t>26</w:t>
      </w:r>
      <w:r>
        <w:fldChar w:fldCharType="end"/>
      </w:r>
      <w:bookmarkEnd w:id="210"/>
      <w:r>
        <w:t xml:space="preserve">. </w:t>
      </w:r>
      <w:r w:rsidR="00E1466D">
        <w:t>Empirical magnitude-distance criteria for earthquake-induced slope instability for Japan (redrawn from Tamura, 1978). Graphs show the d</w:t>
      </w:r>
      <w:r w:rsidR="00E1466D" w:rsidRPr="00E1466D">
        <w:t>istance from fault or epicenter to the outer boundaries of the zone where many (</w:t>
      </w:r>
      <w:r w:rsidR="00E1466D">
        <w:t xml:space="preserve">red line) or </w:t>
      </w:r>
      <w:r w:rsidR="00E1466D" w:rsidRPr="00E1466D">
        <w:t>few</w:t>
      </w:r>
      <w:r w:rsidR="00E1466D">
        <w:t xml:space="preserve"> (broken line</w:t>
      </w:r>
      <w:r w:rsidR="00E1466D" w:rsidRPr="00E1466D">
        <w:t>) slope failures occur</w:t>
      </w:r>
      <w:r w:rsidR="00E1466D">
        <w:t xml:space="preserve">  </w:t>
      </w:r>
      <w:r w:rsidR="00E1466D" w:rsidRPr="000E2B00">
        <w:rPr>
          <w:i/>
        </w:rPr>
        <w:t>[</w:t>
      </w:r>
      <w:r w:rsidR="00E1466D" w:rsidRPr="00E1466D">
        <w:rPr>
          <w:i/>
        </w:rPr>
        <w:t>Slope_instability_Japan</w:t>
      </w:r>
      <w:r w:rsidR="00E1466D" w:rsidRPr="000E2B00">
        <w:rPr>
          <w:i/>
        </w:rPr>
        <w:t>.JPG]</w:t>
      </w:r>
      <w:bookmarkEnd w:id="211"/>
    </w:p>
    <w:p w:rsidR="00E1466D" w:rsidRDefault="00E1466D" w:rsidP="00E1466D">
      <w:pPr>
        <w:rPr>
          <w:b/>
          <w:i/>
          <w:lang w:val="en-US"/>
        </w:rPr>
      </w:pPr>
    </w:p>
    <w:p w:rsidR="004D19B7" w:rsidRDefault="004D19B7" w:rsidP="00BE1BC4">
      <w:pPr>
        <w:rPr>
          <w:bCs/>
          <w:lang w:val="en-US"/>
        </w:rPr>
      </w:pPr>
    </w:p>
    <w:p w:rsidR="00E1466D" w:rsidRDefault="00FA7DEE" w:rsidP="00E1466D">
      <w:pPr>
        <w:jc w:val="center"/>
        <w:rPr>
          <w:bCs/>
          <w:lang w:val="en-US"/>
        </w:rPr>
      </w:pPr>
      <w:r>
        <w:rPr>
          <w:bCs/>
          <w:lang w:val="en-US"/>
        </w:rPr>
        <w:lastRenderedPageBreak/>
        <w:pict>
          <v:shape id="_x0000_i1059" type="#_x0000_t75" style="width:385.5pt;height:226.85pt">
            <v:imagedata r:id="rId89" o:title="Slope_instability_Keefer_Rodriguez"/>
          </v:shape>
        </w:pict>
      </w:r>
    </w:p>
    <w:p w:rsidR="00E1466D" w:rsidRDefault="00E1466D" w:rsidP="00E1466D">
      <w:pPr>
        <w:jc w:val="center"/>
        <w:rPr>
          <w:bCs/>
          <w:lang w:val="en-US"/>
        </w:rPr>
      </w:pPr>
    </w:p>
    <w:p w:rsidR="00E1466D" w:rsidRPr="000E2B00" w:rsidRDefault="00541783" w:rsidP="00E1466D">
      <w:pPr>
        <w:pStyle w:val="Lgende"/>
        <w:jc w:val="center"/>
        <w:rPr>
          <w:i/>
        </w:rPr>
      </w:pPr>
      <w:bookmarkStart w:id="212" w:name="_Ref451166463"/>
      <w:bookmarkStart w:id="213" w:name="_Toc456012063"/>
      <w:r>
        <w:t xml:space="preserve">Figure </w:t>
      </w:r>
      <w:r>
        <w:fldChar w:fldCharType="begin"/>
      </w:r>
      <w:r>
        <w:instrText xml:space="preserve"> SEQ Figure \* ARABIC </w:instrText>
      </w:r>
      <w:r>
        <w:fldChar w:fldCharType="separate"/>
      </w:r>
      <w:r w:rsidR="00173034">
        <w:rPr>
          <w:noProof/>
        </w:rPr>
        <w:t>27</w:t>
      </w:r>
      <w:r>
        <w:fldChar w:fldCharType="end"/>
      </w:r>
      <w:bookmarkEnd w:id="212"/>
      <w:r>
        <w:t xml:space="preserve">. </w:t>
      </w:r>
      <w:r w:rsidR="00E1466D">
        <w:t xml:space="preserve">Empirical correlations between the area affected by landslides and magnitude (redrawn from Keefer, 1984; Rodriguez, 2006).   </w:t>
      </w:r>
      <w:r w:rsidR="00E1466D" w:rsidRPr="000E2B00">
        <w:rPr>
          <w:i/>
        </w:rPr>
        <w:t>[</w:t>
      </w:r>
      <w:r w:rsidR="00E1466D" w:rsidRPr="00E1466D">
        <w:rPr>
          <w:i/>
        </w:rPr>
        <w:t>Slope_instability_Keefer_Rodriguez</w:t>
      </w:r>
      <w:r w:rsidR="00E1466D" w:rsidRPr="000E2B00">
        <w:rPr>
          <w:i/>
        </w:rPr>
        <w:t>.JPG]</w:t>
      </w:r>
      <w:bookmarkEnd w:id="213"/>
    </w:p>
    <w:p w:rsidR="004D19B7" w:rsidRDefault="004D19B7" w:rsidP="00BE1BC4">
      <w:pPr>
        <w:rPr>
          <w:bCs/>
          <w:lang w:val="en-US"/>
        </w:rPr>
      </w:pPr>
    </w:p>
    <w:p w:rsidR="00E1466D" w:rsidRPr="00BE1BC4" w:rsidRDefault="00E1466D" w:rsidP="00E1466D">
      <w:pPr>
        <w:rPr>
          <w:b/>
          <w:i/>
          <w:lang w:val="en-US"/>
        </w:rPr>
      </w:pPr>
      <w:r w:rsidRPr="00BE1BC4">
        <w:rPr>
          <w:b/>
          <w:i/>
          <w:lang w:val="en-US"/>
        </w:rPr>
        <w:t>Vibratory ground motion [1] – Ob</w:t>
      </w:r>
      <w:r w:rsidR="00601EA7">
        <w:rPr>
          <w:b/>
          <w:i/>
          <w:lang w:val="en-US"/>
        </w:rPr>
        <w:t>struction of river channel [12]</w:t>
      </w:r>
      <w:r w:rsidRPr="00BE1BC4">
        <w:rPr>
          <w:b/>
          <w:i/>
          <w:lang w:val="en-US"/>
        </w:rPr>
        <w:t>:</w:t>
      </w:r>
    </w:p>
    <w:p w:rsidR="00E1466D" w:rsidRPr="00BE1BC4" w:rsidRDefault="00E1466D" w:rsidP="00E1466D">
      <w:pPr>
        <w:rPr>
          <w:b/>
          <w:i/>
          <w:lang w:val="en-US"/>
        </w:rPr>
      </w:pPr>
      <w:r w:rsidRPr="00BE1BC4">
        <w:rPr>
          <w:b/>
          <w:i/>
          <w:lang w:val="en-US"/>
        </w:rPr>
        <w:t>Vibratory ground motion [1</w:t>
      </w:r>
      <w:r w:rsidR="00601EA7">
        <w:rPr>
          <w:b/>
          <w:i/>
          <w:lang w:val="en-US"/>
        </w:rPr>
        <w:t>] – Changing river channel [13]</w:t>
      </w:r>
      <w:r w:rsidRPr="00BE1BC4">
        <w:rPr>
          <w:b/>
          <w:i/>
          <w:lang w:val="en-US"/>
        </w:rPr>
        <w:t>:</w:t>
      </w:r>
    </w:p>
    <w:p w:rsidR="00E1466D" w:rsidRDefault="00424806" w:rsidP="00E1466D">
      <w:pPr>
        <w:rPr>
          <w:lang w:val="en-US"/>
        </w:rPr>
      </w:pPr>
      <w:r>
        <w:rPr>
          <w:lang w:val="en-US"/>
        </w:rPr>
        <w:t xml:space="preserve">Obstructions of river channels may result </w:t>
      </w:r>
      <w:r w:rsidR="005B74C8">
        <w:rPr>
          <w:lang w:val="en-US"/>
        </w:rPr>
        <w:t xml:space="preserve">from the damming of a river or valley by </w:t>
      </w:r>
      <w:r>
        <w:rPr>
          <w:lang w:val="en-US"/>
        </w:rPr>
        <w:t>earthquake-induced slope fai</w:t>
      </w:r>
      <w:r>
        <w:rPr>
          <w:lang w:val="en-US"/>
        </w:rPr>
        <w:t>l</w:t>
      </w:r>
      <w:r>
        <w:rPr>
          <w:lang w:val="en-US"/>
        </w:rPr>
        <w:t>ure</w:t>
      </w:r>
      <w:r w:rsidR="005B74C8">
        <w:rPr>
          <w:lang w:val="en-US"/>
        </w:rPr>
        <w:t xml:space="preserve"> </w:t>
      </w:r>
      <w:r>
        <w:rPr>
          <w:lang w:val="en-US"/>
        </w:rPr>
        <w:t xml:space="preserve">or </w:t>
      </w:r>
      <w:r w:rsidR="005B74C8">
        <w:rPr>
          <w:lang w:val="en-US"/>
        </w:rPr>
        <w:t>debris flows</w:t>
      </w:r>
      <w:r>
        <w:rPr>
          <w:lang w:val="en-US"/>
        </w:rPr>
        <w:t xml:space="preserve">. </w:t>
      </w:r>
      <w:r w:rsidR="00DA5555">
        <w:rPr>
          <w:lang w:val="en-US"/>
        </w:rPr>
        <w:t xml:space="preserve">The </w:t>
      </w:r>
      <w:r>
        <w:rPr>
          <w:lang w:val="en-US"/>
        </w:rPr>
        <w:t>listed phenomena may similarly force river channels to change</w:t>
      </w:r>
      <w:r w:rsidR="005C5D1E">
        <w:rPr>
          <w:lang w:val="en-US"/>
        </w:rPr>
        <w:t xml:space="preserve"> their course</w:t>
      </w:r>
      <w:r>
        <w:rPr>
          <w:lang w:val="en-US"/>
        </w:rPr>
        <w:t>.</w:t>
      </w:r>
      <w:r w:rsidR="005C5D1E">
        <w:rPr>
          <w:lang w:val="en-US"/>
        </w:rPr>
        <w:t xml:space="preserve"> </w:t>
      </w:r>
      <w:r>
        <w:rPr>
          <w:lang w:val="en-US"/>
        </w:rPr>
        <w:t>The asses</w:t>
      </w:r>
      <w:r>
        <w:rPr>
          <w:lang w:val="en-US"/>
        </w:rPr>
        <w:t>s</w:t>
      </w:r>
      <w:r>
        <w:rPr>
          <w:lang w:val="en-US"/>
        </w:rPr>
        <w:t>ment of the probabilities of events leading to such changes may use approaches as outlined above (</w:t>
      </w:r>
      <w:r w:rsidRPr="00424806">
        <w:rPr>
          <w:lang w:val="en-US"/>
        </w:rPr>
        <w:t>Vibratory ground motion [N1] – Slope instability [N60]</w:t>
      </w:r>
      <w:r w:rsidR="005C5D1E">
        <w:rPr>
          <w:lang w:val="en-US"/>
        </w:rPr>
        <w:t>) and below (</w:t>
      </w:r>
      <w:r w:rsidR="005C5D1E" w:rsidRPr="00424806">
        <w:rPr>
          <w:lang w:val="en-US"/>
        </w:rPr>
        <w:t xml:space="preserve">Vibratory ground motion [N1] – </w:t>
      </w:r>
      <w:r w:rsidR="005C5D1E">
        <w:rPr>
          <w:lang w:val="en-US"/>
        </w:rPr>
        <w:t xml:space="preserve">Debris flow – mud flow </w:t>
      </w:r>
      <w:r w:rsidR="005C5D1E" w:rsidRPr="00424806">
        <w:rPr>
          <w:lang w:val="en-US"/>
        </w:rPr>
        <w:t>[N6</w:t>
      </w:r>
      <w:r w:rsidR="005C5D1E">
        <w:rPr>
          <w:lang w:val="en-US"/>
        </w:rPr>
        <w:t>2</w:t>
      </w:r>
      <w:r w:rsidR="005C5D1E" w:rsidRPr="00424806">
        <w:rPr>
          <w:lang w:val="en-US"/>
        </w:rPr>
        <w:t>]</w:t>
      </w:r>
      <w:r w:rsidR="00601EA7">
        <w:rPr>
          <w:lang w:val="en-US"/>
        </w:rPr>
        <w:t>).</w:t>
      </w:r>
    </w:p>
    <w:p w:rsidR="004A6E9C" w:rsidRDefault="004A6E9C" w:rsidP="001F6BAD">
      <w:pPr>
        <w:rPr>
          <w:bCs/>
          <w:lang w:val="en-US"/>
        </w:rPr>
      </w:pPr>
    </w:p>
    <w:p w:rsidR="004637FC" w:rsidRPr="004637FC" w:rsidRDefault="004637FC" w:rsidP="001F6BAD">
      <w:pPr>
        <w:rPr>
          <w:b/>
          <w:bCs/>
          <w:i/>
          <w:lang w:val="en-US"/>
        </w:rPr>
      </w:pPr>
      <w:r w:rsidRPr="004637FC">
        <w:rPr>
          <w:b/>
          <w:i/>
          <w:lang w:val="en-US"/>
        </w:rPr>
        <w:t xml:space="preserve">Vibratory ground motion [1] – </w:t>
      </w:r>
      <w:r w:rsidR="001F6BAD" w:rsidRPr="004637FC">
        <w:rPr>
          <w:b/>
          <w:bCs/>
          <w:i/>
          <w:lang w:val="en-US"/>
        </w:rPr>
        <w:t xml:space="preserve">Debris flow – mud flow </w:t>
      </w:r>
      <w:r w:rsidRPr="004637FC">
        <w:rPr>
          <w:b/>
          <w:bCs/>
          <w:i/>
          <w:lang w:val="en-US"/>
        </w:rPr>
        <w:t>[N62]</w:t>
      </w:r>
    </w:p>
    <w:p w:rsidR="00144DBE" w:rsidRDefault="002D5BA4" w:rsidP="004637FC">
      <w:pPr>
        <w:rPr>
          <w:bCs/>
          <w:lang w:val="en-US"/>
        </w:rPr>
      </w:pPr>
      <w:r>
        <w:rPr>
          <w:bCs/>
          <w:lang w:val="en-US"/>
        </w:rPr>
        <w:t>Eathquake triggered debris flows and mud flows may result from the effect of vibratory ground motion on water-saturated soil. “Wet” soil conditions are a prerequisite for the phenomenon. The probability of occurrence</w:t>
      </w:r>
      <w:r w:rsidR="00CE2E19">
        <w:rPr>
          <w:bCs/>
          <w:lang w:val="en-US"/>
        </w:rPr>
        <w:t xml:space="preserve"> </w:t>
      </w:r>
      <w:r>
        <w:rPr>
          <w:bCs/>
          <w:lang w:val="en-US"/>
        </w:rPr>
        <w:t xml:space="preserve">can be estimated </w:t>
      </w:r>
      <w:r w:rsidR="003E3409">
        <w:rPr>
          <w:bCs/>
          <w:lang w:val="en-US"/>
        </w:rPr>
        <w:t xml:space="preserve">as the product of </w:t>
      </w:r>
      <w:r>
        <w:rPr>
          <w:bCs/>
          <w:lang w:val="en-US"/>
        </w:rPr>
        <w:t>the probability of an earthquake causing ground motion in e</w:t>
      </w:r>
      <w:r>
        <w:rPr>
          <w:bCs/>
          <w:lang w:val="en-US"/>
        </w:rPr>
        <w:t>x</w:t>
      </w:r>
      <w:r>
        <w:rPr>
          <w:bCs/>
          <w:lang w:val="en-US"/>
        </w:rPr>
        <w:t xml:space="preserve">cess of a threshold value at which debris flows/mud flows can be triggered, and </w:t>
      </w:r>
      <w:r w:rsidR="003E3409">
        <w:rPr>
          <w:bCs/>
          <w:lang w:val="en-US"/>
        </w:rPr>
        <w:t xml:space="preserve">the probability that “wet” soil conditions exist during the time of the earthquake. </w:t>
      </w:r>
      <w:r w:rsidR="00D0246A">
        <w:rPr>
          <w:bCs/>
          <w:lang w:val="en-US"/>
        </w:rPr>
        <w:t>T</w:t>
      </w:r>
      <w:r w:rsidR="00D0246A" w:rsidRPr="00144DBE">
        <w:rPr>
          <w:bCs/>
          <w:lang w:val="en-US"/>
        </w:rPr>
        <w:t xml:space="preserve">he temporal and spatial variation </w:t>
      </w:r>
      <w:r w:rsidR="00C96492">
        <w:rPr>
          <w:bCs/>
          <w:lang w:val="en-US"/>
        </w:rPr>
        <w:t>d</w:t>
      </w:r>
      <w:r w:rsidR="00144DBE" w:rsidRPr="00144DBE">
        <w:rPr>
          <w:bCs/>
          <w:lang w:val="en-US"/>
        </w:rPr>
        <w:t>ebris-flow susceptibility</w:t>
      </w:r>
      <w:r w:rsidR="00D0246A">
        <w:rPr>
          <w:bCs/>
          <w:lang w:val="en-US"/>
        </w:rPr>
        <w:t xml:space="preserve"> can be estimated from r</w:t>
      </w:r>
      <w:r w:rsidR="00144DBE" w:rsidRPr="00144DBE">
        <w:rPr>
          <w:bCs/>
          <w:lang w:val="en-US"/>
        </w:rPr>
        <w:t>ai</w:t>
      </w:r>
      <w:r w:rsidR="00144DBE" w:rsidRPr="00144DBE">
        <w:rPr>
          <w:bCs/>
          <w:lang w:val="en-US"/>
        </w:rPr>
        <w:t>n</w:t>
      </w:r>
      <w:r w:rsidR="00144DBE" w:rsidRPr="00144DBE">
        <w:rPr>
          <w:bCs/>
          <w:lang w:val="en-US"/>
        </w:rPr>
        <w:t>fall infiltration and slope stability</w:t>
      </w:r>
      <w:r w:rsidR="00D0246A">
        <w:rPr>
          <w:bCs/>
          <w:lang w:val="en-US"/>
        </w:rPr>
        <w:t xml:space="preserve"> based on </w:t>
      </w:r>
      <w:r w:rsidR="00144DBE" w:rsidRPr="00144DBE">
        <w:rPr>
          <w:bCs/>
          <w:lang w:val="en-US"/>
        </w:rPr>
        <w:t>high-resolution topographic data</w:t>
      </w:r>
      <w:r w:rsidR="00D0246A">
        <w:rPr>
          <w:bCs/>
          <w:lang w:val="en-US"/>
        </w:rPr>
        <w:t xml:space="preserve"> (DEM)</w:t>
      </w:r>
      <w:r w:rsidR="00144DBE" w:rsidRPr="00144DBE">
        <w:rPr>
          <w:bCs/>
          <w:lang w:val="en-US"/>
        </w:rPr>
        <w:t xml:space="preserve">, data on initial groundwater conditions, physical properties of near-surface earth materials, </w:t>
      </w:r>
      <w:r w:rsidR="00C96492">
        <w:rPr>
          <w:bCs/>
          <w:lang w:val="en-US"/>
        </w:rPr>
        <w:t xml:space="preserve">and </w:t>
      </w:r>
      <w:r w:rsidR="00144DBE" w:rsidRPr="00144DBE">
        <w:rPr>
          <w:bCs/>
          <w:lang w:val="en-US"/>
        </w:rPr>
        <w:t>depth to bedrock</w:t>
      </w:r>
      <w:r w:rsidR="00C96492">
        <w:rPr>
          <w:bCs/>
          <w:lang w:val="en-US"/>
        </w:rPr>
        <w:t xml:space="preserve"> </w:t>
      </w:r>
      <w:r w:rsidR="00DF0872">
        <w:rPr>
          <w:bCs/>
          <w:lang w:val="en-US"/>
        </w:rPr>
        <w:t>(e.g., Baum et al., 2011)</w:t>
      </w:r>
      <w:r w:rsidR="00D0246A">
        <w:rPr>
          <w:bCs/>
          <w:lang w:val="en-US"/>
        </w:rPr>
        <w:t>.</w:t>
      </w:r>
    </w:p>
    <w:p w:rsidR="00DE59CE" w:rsidRDefault="00DE59CE" w:rsidP="004637FC">
      <w:pPr>
        <w:rPr>
          <w:bCs/>
          <w:lang w:val="en-US"/>
        </w:rPr>
      </w:pPr>
    </w:p>
    <w:p w:rsidR="002D5BA4" w:rsidRPr="00144DBE" w:rsidRDefault="002D5BA4" w:rsidP="004637FC">
      <w:pPr>
        <w:rPr>
          <w:bCs/>
          <w:lang w:val="en-US"/>
        </w:rPr>
      </w:pPr>
      <w:r>
        <w:rPr>
          <w:bCs/>
          <w:lang w:val="en-US"/>
        </w:rPr>
        <w:t>A</w:t>
      </w:r>
      <w:r w:rsidR="00DF0872">
        <w:rPr>
          <w:bCs/>
          <w:lang w:val="en-US"/>
        </w:rPr>
        <w:t>lthough debris flow hazard assessment is well establishe, a</w:t>
      </w:r>
      <w:r>
        <w:rPr>
          <w:bCs/>
          <w:lang w:val="en-US"/>
        </w:rPr>
        <w:t>ssessments of the probabilities of earthquake-triggered debris flows were so far only raely performed</w:t>
      </w:r>
      <w:r w:rsidR="000672A9">
        <w:rPr>
          <w:bCs/>
          <w:lang w:val="en-US"/>
        </w:rPr>
        <w:t xml:space="preserve"> (e.g., Junnan et al., 2015)</w:t>
      </w:r>
      <w:r>
        <w:rPr>
          <w:bCs/>
          <w:lang w:val="en-US"/>
        </w:rPr>
        <w:t xml:space="preserve">. Debris flow hazard assessments </w:t>
      </w:r>
      <w:r w:rsidR="004637FC">
        <w:rPr>
          <w:bCs/>
          <w:lang w:val="en-US"/>
        </w:rPr>
        <w:t>a</w:t>
      </w:r>
      <w:r>
        <w:rPr>
          <w:bCs/>
          <w:lang w:val="en-US"/>
        </w:rPr>
        <w:t>c</w:t>
      </w:r>
      <w:r>
        <w:rPr>
          <w:bCs/>
          <w:lang w:val="en-US"/>
        </w:rPr>
        <w:t xml:space="preserve">count for the </w:t>
      </w:r>
      <w:r w:rsidR="003E3409">
        <w:rPr>
          <w:bCs/>
          <w:lang w:val="en-US"/>
        </w:rPr>
        <w:t>earthquake magnitude,</w:t>
      </w:r>
      <w:r w:rsidR="003E3409" w:rsidRPr="00144DBE">
        <w:rPr>
          <w:bCs/>
          <w:lang w:val="en-US"/>
        </w:rPr>
        <w:t xml:space="preserve"> topography (slope), lithology, fault density, landuse, </w:t>
      </w:r>
      <w:r w:rsidR="000672A9">
        <w:rPr>
          <w:bCs/>
          <w:lang w:val="en-US"/>
        </w:rPr>
        <w:t>and total antecedent</w:t>
      </w:r>
      <w:r w:rsidR="004637FC" w:rsidRPr="00144DBE">
        <w:rPr>
          <w:bCs/>
          <w:lang w:val="en-US"/>
        </w:rPr>
        <w:t xml:space="preserve"> rainfall</w:t>
      </w:r>
      <w:r w:rsidR="000672A9">
        <w:rPr>
          <w:bCs/>
          <w:lang w:val="en-US"/>
        </w:rPr>
        <w:t xml:space="preserve"> (or reainfall intensity) </w:t>
      </w:r>
      <w:r w:rsidRPr="00144DBE">
        <w:rPr>
          <w:bCs/>
          <w:lang w:val="en-US"/>
        </w:rPr>
        <w:t>in the water shed under consi</w:t>
      </w:r>
      <w:r w:rsidRPr="00144DBE">
        <w:rPr>
          <w:bCs/>
          <w:lang w:val="en-US"/>
        </w:rPr>
        <w:t>d</w:t>
      </w:r>
      <w:r w:rsidRPr="00144DBE">
        <w:rPr>
          <w:bCs/>
          <w:lang w:val="en-US"/>
        </w:rPr>
        <w:t>eration</w:t>
      </w:r>
      <w:r w:rsidR="003E3409" w:rsidRPr="00144DBE">
        <w:rPr>
          <w:bCs/>
          <w:lang w:val="en-US"/>
        </w:rPr>
        <w:t>.</w:t>
      </w:r>
    </w:p>
    <w:p w:rsidR="00DE59CE" w:rsidRDefault="00DE59CE" w:rsidP="00DE59CE">
      <w:pPr>
        <w:rPr>
          <w:bCs/>
          <w:lang w:val="en-US"/>
        </w:rPr>
      </w:pPr>
    </w:p>
    <w:p w:rsidR="00BC51EC" w:rsidRPr="00BC51EC" w:rsidRDefault="00DF0872" w:rsidP="00BC51EC">
      <w:pPr>
        <w:rPr>
          <w:bCs/>
          <w:lang w:val="en-US"/>
        </w:rPr>
      </w:pPr>
      <w:r>
        <w:rPr>
          <w:bCs/>
          <w:lang w:val="en-US"/>
        </w:rPr>
        <w:lastRenderedPageBreak/>
        <w:t xml:space="preserve">Lessions learned from the </w:t>
      </w:r>
      <w:r w:rsidR="00BC51EC">
        <w:rPr>
          <w:bCs/>
          <w:lang w:val="en-US"/>
        </w:rPr>
        <w:t xml:space="preserve">2008 </w:t>
      </w:r>
      <w:r w:rsidR="00DE59CE" w:rsidRPr="00DF0872">
        <w:rPr>
          <w:bCs/>
          <w:lang w:val="en-US"/>
        </w:rPr>
        <w:t xml:space="preserve">Wenchuan </w:t>
      </w:r>
      <w:r w:rsidR="00BC51EC">
        <w:rPr>
          <w:bCs/>
          <w:lang w:val="en-US"/>
        </w:rPr>
        <w:t xml:space="preserve">Mw 7.9 </w:t>
      </w:r>
      <w:r w:rsidR="00DE59CE" w:rsidRPr="00DF0872">
        <w:rPr>
          <w:bCs/>
          <w:lang w:val="en-US"/>
        </w:rPr>
        <w:t>earthquake</w:t>
      </w:r>
      <w:r w:rsidR="00DE59CE">
        <w:rPr>
          <w:bCs/>
          <w:lang w:val="en-US"/>
        </w:rPr>
        <w:t xml:space="preserve"> and eartquakes in Taiwan indicate that s</w:t>
      </w:r>
      <w:r w:rsidRPr="00DF0872">
        <w:rPr>
          <w:bCs/>
          <w:lang w:val="en-US"/>
        </w:rPr>
        <w:t>trong eart</w:t>
      </w:r>
      <w:r w:rsidRPr="00DF0872">
        <w:rPr>
          <w:bCs/>
          <w:lang w:val="en-US"/>
        </w:rPr>
        <w:t>h</w:t>
      </w:r>
      <w:r w:rsidRPr="00DF0872">
        <w:rPr>
          <w:bCs/>
          <w:lang w:val="en-US"/>
        </w:rPr>
        <w:t xml:space="preserve">quakes </w:t>
      </w:r>
      <w:r w:rsidR="00DE59CE">
        <w:rPr>
          <w:bCs/>
          <w:lang w:val="en-US"/>
        </w:rPr>
        <w:t xml:space="preserve">do </w:t>
      </w:r>
      <w:r w:rsidRPr="00DF0872">
        <w:rPr>
          <w:bCs/>
          <w:lang w:val="en-US"/>
        </w:rPr>
        <w:t>not only trigger</w:t>
      </w:r>
      <w:r w:rsidR="00DE59CE">
        <w:rPr>
          <w:bCs/>
          <w:lang w:val="en-US"/>
        </w:rPr>
        <w:t xml:space="preserve"> </w:t>
      </w:r>
      <w:r w:rsidRPr="00DF0872">
        <w:rPr>
          <w:bCs/>
          <w:lang w:val="en-US"/>
        </w:rPr>
        <w:t>coseismic landslides but also lead to increased</w:t>
      </w:r>
      <w:r w:rsidR="00DE59CE">
        <w:rPr>
          <w:bCs/>
          <w:lang w:val="en-US"/>
        </w:rPr>
        <w:t xml:space="preserve"> </w:t>
      </w:r>
      <w:r w:rsidRPr="00DF0872">
        <w:rPr>
          <w:bCs/>
          <w:lang w:val="en-US"/>
        </w:rPr>
        <w:t xml:space="preserve">post-seismic slope instability </w:t>
      </w:r>
      <w:r w:rsidR="00BC51EC">
        <w:rPr>
          <w:bCs/>
          <w:lang w:val="en-US"/>
        </w:rPr>
        <w:t>which pe</w:t>
      </w:r>
      <w:r w:rsidR="00BC51EC">
        <w:rPr>
          <w:bCs/>
          <w:lang w:val="en-US"/>
        </w:rPr>
        <w:t>r</w:t>
      </w:r>
      <w:r w:rsidR="00BC51EC">
        <w:rPr>
          <w:bCs/>
          <w:lang w:val="en-US"/>
        </w:rPr>
        <w:t xml:space="preserve">sists </w:t>
      </w:r>
      <w:r w:rsidRPr="00DF0872">
        <w:rPr>
          <w:bCs/>
          <w:lang w:val="en-US"/>
        </w:rPr>
        <w:t>for a long period of time.</w:t>
      </w:r>
      <w:r w:rsidR="00DE59CE">
        <w:rPr>
          <w:bCs/>
          <w:lang w:val="en-US"/>
        </w:rPr>
        <w:t xml:space="preserve"> The effect is due to the</w:t>
      </w:r>
      <w:r w:rsidRPr="00DF0872">
        <w:rPr>
          <w:bCs/>
          <w:lang w:val="en-US"/>
        </w:rPr>
        <w:t xml:space="preserve"> abundance of</w:t>
      </w:r>
      <w:r w:rsidR="00DE59CE">
        <w:rPr>
          <w:bCs/>
          <w:lang w:val="en-US"/>
        </w:rPr>
        <w:t xml:space="preserve"> </w:t>
      </w:r>
      <w:r w:rsidRPr="00DF0872">
        <w:rPr>
          <w:bCs/>
          <w:lang w:val="en-US"/>
        </w:rPr>
        <w:t>loose debris</w:t>
      </w:r>
      <w:r w:rsidR="00DE59CE">
        <w:rPr>
          <w:bCs/>
          <w:lang w:val="en-US"/>
        </w:rPr>
        <w:t xml:space="preserve"> </w:t>
      </w:r>
      <w:r w:rsidR="00C96492">
        <w:rPr>
          <w:bCs/>
          <w:lang w:val="en-US"/>
        </w:rPr>
        <w:t xml:space="preserve">derived from </w:t>
      </w:r>
      <w:r w:rsidR="00C96492" w:rsidRPr="00DF0872">
        <w:rPr>
          <w:bCs/>
          <w:lang w:val="en-US"/>
        </w:rPr>
        <w:t xml:space="preserve">landslide </w:t>
      </w:r>
      <w:r w:rsidR="00C96492">
        <w:rPr>
          <w:bCs/>
          <w:lang w:val="en-US"/>
        </w:rPr>
        <w:t>n</w:t>
      </w:r>
      <w:r w:rsidR="00C96492">
        <w:rPr>
          <w:bCs/>
          <w:lang w:val="en-US"/>
        </w:rPr>
        <w:t>u</w:t>
      </w:r>
      <w:r w:rsidR="00C96492">
        <w:rPr>
          <w:bCs/>
          <w:lang w:val="en-US"/>
        </w:rPr>
        <w:t xml:space="preserve">merous small landslides </w:t>
      </w:r>
      <w:r w:rsidR="00DE59CE">
        <w:rPr>
          <w:bCs/>
          <w:lang w:val="en-US"/>
        </w:rPr>
        <w:t xml:space="preserve">and the formation of co-seismic </w:t>
      </w:r>
      <w:r w:rsidR="00BC51EC">
        <w:rPr>
          <w:bCs/>
          <w:lang w:val="en-US"/>
        </w:rPr>
        <w:t xml:space="preserve">extension cracks </w:t>
      </w:r>
      <w:r w:rsidRPr="00DF0872">
        <w:rPr>
          <w:bCs/>
          <w:lang w:val="en-US"/>
        </w:rPr>
        <w:t xml:space="preserve">on hill slopes </w:t>
      </w:r>
      <w:r w:rsidR="00DE59CE">
        <w:rPr>
          <w:bCs/>
          <w:lang w:val="en-US"/>
        </w:rPr>
        <w:t xml:space="preserve">reducing </w:t>
      </w:r>
      <w:r w:rsidR="00C96492">
        <w:rPr>
          <w:bCs/>
          <w:lang w:val="en-US"/>
        </w:rPr>
        <w:t xml:space="preserve">both </w:t>
      </w:r>
      <w:r w:rsidR="00DE59CE">
        <w:rPr>
          <w:bCs/>
          <w:lang w:val="en-US"/>
        </w:rPr>
        <w:t xml:space="preserve">soil stability </w:t>
      </w:r>
      <w:r w:rsidR="00C96492">
        <w:rPr>
          <w:bCs/>
          <w:lang w:val="en-US"/>
        </w:rPr>
        <w:t xml:space="preserve">and </w:t>
      </w:r>
      <w:r w:rsidR="00DE59CE">
        <w:rPr>
          <w:bCs/>
          <w:lang w:val="en-US"/>
        </w:rPr>
        <w:t>i</w:t>
      </w:r>
      <w:r w:rsidR="00DE59CE">
        <w:rPr>
          <w:bCs/>
          <w:lang w:val="en-US"/>
        </w:rPr>
        <w:t>n</w:t>
      </w:r>
      <w:r w:rsidR="00DE59CE">
        <w:rPr>
          <w:bCs/>
          <w:lang w:val="en-US"/>
        </w:rPr>
        <w:t>creas</w:t>
      </w:r>
      <w:r w:rsidR="00C96492">
        <w:rPr>
          <w:bCs/>
          <w:lang w:val="en-US"/>
        </w:rPr>
        <w:t xml:space="preserve">ing </w:t>
      </w:r>
      <w:r w:rsidR="00DE59CE">
        <w:rPr>
          <w:bCs/>
          <w:lang w:val="en-US"/>
        </w:rPr>
        <w:t>infilatration.</w:t>
      </w:r>
      <w:r w:rsidR="00BC51EC">
        <w:rPr>
          <w:bCs/>
          <w:lang w:val="en-US"/>
        </w:rPr>
        <w:t xml:space="preserve"> In Wenchuan</w:t>
      </w:r>
      <w:r w:rsidR="0026162E">
        <w:rPr>
          <w:bCs/>
          <w:lang w:val="en-US"/>
        </w:rPr>
        <w:t>,</w:t>
      </w:r>
      <w:r w:rsidR="00BC51EC">
        <w:rPr>
          <w:bCs/>
          <w:lang w:val="en-US"/>
        </w:rPr>
        <w:t xml:space="preserve"> debris flows further led to the formation </w:t>
      </w:r>
      <w:r w:rsidR="00BC51EC" w:rsidRPr="00BC51EC">
        <w:rPr>
          <w:bCs/>
          <w:lang w:val="en-US"/>
        </w:rPr>
        <w:t>de</w:t>
      </w:r>
      <w:r w:rsidR="00BC51EC">
        <w:rPr>
          <w:bCs/>
          <w:lang w:val="en-US"/>
        </w:rPr>
        <w:t xml:space="preserve">bris-dams, </w:t>
      </w:r>
      <w:r w:rsidR="00BC51EC" w:rsidRPr="00BC51EC">
        <w:rPr>
          <w:bCs/>
          <w:lang w:val="en-US"/>
        </w:rPr>
        <w:t>dammed lake</w:t>
      </w:r>
      <w:r w:rsidR="00BC51EC">
        <w:rPr>
          <w:bCs/>
          <w:lang w:val="en-US"/>
        </w:rPr>
        <w:t>s</w:t>
      </w:r>
      <w:r w:rsidR="00BC51EC" w:rsidRPr="00BC51EC">
        <w:rPr>
          <w:bCs/>
          <w:lang w:val="en-US"/>
        </w:rPr>
        <w:t>, and flood</w:t>
      </w:r>
      <w:r w:rsidR="00BC51EC">
        <w:rPr>
          <w:bCs/>
          <w:lang w:val="en-US"/>
        </w:rPr>
        <w:t xml:space="preserve">ing of the area upstream of the dams. The </w:t>
      </w:r>
      <w:r w:rsidR="00C96492" w:rsidRPr="00DF0872">
        <w:rPr>
          <w:bCs/>
          <w:lang w:val="en-US"/>
        </w:rPr>
        <w:t xml:space="preserve">Wenchuan </w:t>
      </w:r>
      <w:r w:rsidR="00BC51EC">
        <w:rPr>
          <w:bCs/>
          <w:lang w:val="en-US"/>
        </w:rPr>
        <w:t xml:space="preserve">earthquake may consequently be considered as an event lead to </w:t>
      </w:r>
      <w:r w:rsidR="00BC51EC" w:rsidRPr="00BC51EC">
        <w:rPr>
          <w:bCs/>
          <w:lang w:val="en-US"/>
        </w:rPr>
        <w:t>cascading natural</w:t>
      </w:r>
      <w:r w:rsidR="00BC51EC">
        <w:rPr>
          <w:bCs/>
          <w:lang w:val="en-US"/>
        </w:rPr>
        <w:t xml:space="preserve"> </w:t>
      </w:r>
      <w:r w:rsidR="00BC51EC" w:rsidRPr="00BC51EC">
        <w:rPr>
          <w:bCs/>
          <w:lang w:val="en-US"/>
        </w:rPr>
        <w:t>disa</w:t>
      </w:r>
      <w:r w:rsidR="00BC51EC" w:rsidRPr="00BC51EC">
        <w:rPr>
          <w:bCs/>
          <w:lang w:val="en-US"/>
        </w:rPr>
        <w:t>s</w:t>
      </w:r>
      <w:r w:rsidR="00BC51EC" w:rsidRPr="00BC51EC">
        <w:rPr>
          <w:bCs/>
          <w:lang w:val="en-US"/>
        </w:rPr>
        <w:t>ter chain</w:t>
      </w:r>
      <w:r w:rsidR="00766742">
        <w:rPr>
          <w:bCs/>
          <w:lang w:val="en-US"/>
        </w:rPr>
        <w:t xml:space="preserve"> (Junnan, 2015)</w:t>
      </w:r>
      <w:r w:rsidR="00BC51EC">
        <w:rPr>
          <w:bCs/>
          <w:lang w:val="en-US"/>
        </w:rPr>
        <w:t>.</w:t>
      </w:r>
    </w:p>
    <w:p w:rsidR="00C96492" w:rsidRDefault="00C96492" w:rsidP="004A6E9C">
      <w:pPr>
        <w:rPr>
          <w:b/>
          <w:i/>
          <w:lang w:val="en-US"/>
        </w:rPr>
      </w:pPr>
    </w:p>
    <w:p w:rsidR="004A6E9C" w:rsidRPr="004637FC" w:rsidRDefault="004A6E9C" w:rsidP="004A6E9C">
      <w:pPr>
        <w:rPr>
          <w:b/>
          <w:bCs/>
          <w:i/>
          <w:lang w:val="en-US"/>
        </w:rPr>
      </w:pPr>
      <w:r w:rsidRPr="004637FC">
        <w:rPr>
          <w:b/>
          <w:i/>
          <w:lang w:val="en-US"/>
        </w:rPr>
        <w:t xml:space="preserve">Vibratory ground motion [1] – </w:t>
      </w:r>
      <w:r>
        <w:rPr>
          <w:b/>
          <w:bCs/>
          <w:i/>
          <w:lang w:val="en-US"/>
        </w:rPr>
        <w:t>Man-made hazards</w:t>
      </w:r>
      <w:r w:rsidRPr="004637FC">
        <w:rPr>
          <w:b/>
          <w:bCs/>
          <w:i/>
          <w:lang w:val="en-US"/>
        </w:rPr>
        <w:t xml:space="preserve"> </w:t>
      </w:r>
      <w:r>
        <w:rPr>
          <w:b/>
          <w:bCs/>
          <w:i/>
          <w:lang w:val="en-US"/>
        </w:rPr>
        <w:t>[M</w:t>
      </w:r>
      <w:r w:rsidRPr="004637FC">
        <w:rPr>
          <w:b/>
          <w:bCs/>
          <w:i/>
          <w:lang w:val="en-US"/>
        </w:rPr>
        <w:t>]</w:t>
      </w:r>
    </w:p>
    <w:p w:rsidR="005561B7" w:rsidRDefault="004A6E9C" w:rsidP="004A6E9C">
      <w:pPr>
        <w:rPr>
          <w:lang w:val="en-US"/>
        </w:rPr>
      </w:pPr>
      <w:r>
        <w:rPr>
          <w:lang w:val="en-US"/>
        </w:rPr>
        <w:t xml:space="preserve">Assessments of combinations </w:t>
      </w:r>
      <w:r w:rsidR="00C96492">
        <w:rPr>
          <w:lang w:val="en-US"/>
        </w:rPr>
        <w:t xml:space="preserve">of vibratory ground motion </w:t>
      </w:r>
      <w:r>
        <w:rPr>
          <w:lang w:val="en-US"/>
        </w:rPr>
        <w:t xml:space="preserve">with man-made hazards require </w:t>
      </w:r>
      <w:r w:rsidR="005561B7">
        <w:rPr>
          <w:lang w:val="en-US"/>
        </w:rPr>
        <w:t>data on the seismic vu</w:t>
      </w:r>
      <w:r w:rsidR="005561B7">
        <w:rPr>
          <w:lang w:val="en-US"/>
        </w:rPr>
        <w:t>l</w:t>
      </w:r>
      <w:r w:rsidR="005561B7">
        <w:rPr>
          <w:lang w:val="en-US"/>
        </w:rPr>
        <w:t>nerabilities of man-made structures outside the site and the identification of accident sequences in off-site facil</w:t>
      </w:r>
      <w:r w:rsidR="005561B7">
        <w:rPr>
          <w:lang w:val="en-US"/>
        </w:rPr>
        <w:t>i</w:t>
      </w:r>
      <w:r w:rsidR="005561B7">
        <w:rPr>
          <w:lang w:val="en-US"/>
        </w:rPr>
        <w:t xml:space="preserve">ties which may pose threats to the NPP. As outlined in chapter </w:t>
      </w:r>
      <w:r w:rsidR="005561B7">
        <w:rPr>
          <w:lang w:val="en-US"/>
        </w:rPr>
        <w:fldChar w:fldCharType="begin"/>
      </w:r>
      <w:r w:rsidR="005561B7">
        <w:rPr>
          <w:lang w:val="en-US"/>
        </w:rPr>
        <w:instrText xml:space="preserve"> REF _Ref451090882 \r \h </w:instrText>
      </w:r>
      <w:r w:rsidR="005561B7">
        <w:rPr>
          <w:lang w:val="en-US"/>
        </w:rPr>
      </w:r>
      <w:r w:rsidR="005561B7">
        <w:rPr>
          <w:lang w:val="en-US"/>
        </w:rPr>
        <w:fldChar w:fldCharType="separate"/>
      </w:r>
      <w:r w:rsidR="00173034">
        <w:rPr>
          <w:lang w:val="en-US"/>
        </w:rPr>
        <w:t>5.3</w:t>
      </w:r>
      <w:r w:rsidR="005561B7">
        <w:rPr>
          <w:lang w:val="en-US"/>
        </w:rPr>
        <w:fldChar w:fldCharType="end"/>
      </w:r>
      <w:r w:rsidR="005561B7">
        <w:rPr>
          <w:lang w:val="en-US"/>
        </w:rPr>
        <w:t xml:space="preserve"> </w:t>
      </w:r>
      <w:r w:rsidR="00564C10">
        <w:rPr>
          <w:lang w:val="en-US"/>
        </w:rPr>
        <w:t>it</w:t>
      </w:r>
      <w:r w:rsidR="005561B7">
        <w:rPr>
          <w:lang w:val="en-US"/>
        </w:rPr>
        <w:t xml:space="preserve"> must </w:t>
      </w:r>
      <w:r w:rsidR="00564C10">
        <w:rPr>
          <w:lang w:val="en-US"/>
        </w:rPr>
        <w:t xml:space="preserve">be </w:t>
      </w:r>
      <w:r w:rsidR="005561B7">
        <w:rPr>
          <w:lang w:val="en-US"/>
        </w:rPr>
        <w:t>take</w:t>
      </w:r>
      <w:r w:rsidR="00564C10">
        <w:rPr>
          <w:lang w:val="en-US"/>
        </w:rPr>
        <w:t>n</w:t>
      </w:r>
      <w:r w:rsidR="005561B7">
        <w:rPr>
          <w:lang w:val="en-US"/>
        </w:rPr>
        <w:t xml:space="preserve"> into account that the robus</w:t>
      </w:r>
      <w:r w:rsidR="005561B7">
        <w:rPr>
          <w:lang w:val="en-US"/>
        </w:rPr>
        <w:t>t</w:t>
      </w:r>
      <w:r w:rsidR="005561B7">
        <w:rPr>
          <w:lang w:val="en-US"/>
        </w:rPr>
        <w:t>ness of structures and utilities that pose potential threats to the NPP may be significantly lower than the robus</w:t>
      </w:r>
      <w:r w:rsidR="005561B7">
        <w:rPr>
          <w:lang w:val="en-US"/>
        </w:rPr>
        <w:t>t</w:t>
      </w:r>
      <w:r w:rsidR="005561B7">
        <w:rPr>
          <w:lang w:val="en-US"/>
        </w:rPr>
        <w:t>ness of the NPP i</w:t>
      </w:r>
      <w:r w:rsidR="005561B7">
        <w:rPr>
          <w:lang w:val="en-US"/>
        </w:rPr>
        <w:t>t</w:t>
      </w:r>
      <w:r w:rsidR="005561B7">
        <w:rPr>
          <w:lang w:val="en-US"/>
        </w:rPr>
        <w:t>self. Although higher safety requirements usually exist for non-nuclear high</w:t>
      </w:r>
      <w:r w:rsidR="005A6965">
        <w:rPr>
          <w:lang w:val="en-US"/>
        </w:rPr>
        <w:t xml:space="preserve">-risk facilities such as </w:t>
      </w:r>
      <w:r w:rsidR="005561B7">
        <w:rPr>
          <w:lang w:val="en-US"/>
        </w:rPr>
        <w:t>water dams</w:t>
      </w:r>
      <w:r w:rsidR="005A6965">
        <w:rPr>
          <w:lang w:val="en-US"/>
        </w:rPr>
        <w:t xml:space="preserve"> or </w:t>
      </w:r>
      <w:r w:rsidR="005561B7">
        <w:rPr>
          <w:lang w:val="en-US"/>
        </w:rPr>
        <w:t>chem</w:t>
      </w:r>
      <w:r w:rsidR="005561B7">
        <w:rPr>
          <w:lang w:val="en-US"/>
        </w:rPr>
        <w:t>i</w:t>
      </w:r>
      <w:r w:rsidR="005561B7">
        <w:rPr>
          <w:lang w:val="en-US"/>
        </w:rPr>
        <w:t>cal plants</w:t>
      </w:r>
      <w:r w:rsidR="005A6965">
        <w:rPr>
          <w:lang w:val="en-US"/>
        </w:rPr>
        <w:t>,</w:t>
      </w:r>
      <w:r w:rsidR="005561B7">
        <w:rPr>
          <w:lang w:val="en-US"/>
        </w:rPr>
        <w:t xml:space="preserve"> other facilities may only be engineered to fulfill common building codes (i.e., these facilities will </w:t>
      </w:r>
      <w:r w:rsidR="00C96492">
        <w:rPr>
          <w:lang w:val="en-US"/>
        </w:rPr>
        <w:t xml:space="preserve">only </w:t>
      </w:r>
      <w:r w:rsidR="005561B7">
        <w:rPr>
          <w:lang w:val="en-US"/>
        </w:rPr>
        <w:t xml:space="preserve">be engineered to witstand ground shaking levels with non-exceedance probabilities of 95% in 50 years; EUROCODE 8). </w:t>
      </w:r>
      <w:r w:rsidR="00AF1ADD">
        <w:rPr>
          <w:lang w:val="en-US"/>
        </w:rPr>
        <w:t>Due to the outlined engineering differences between common structures and NPPs two earthquake scenarios may be disti</w:t>
      </w:r>
      <w:r w:rsidR="00AF1ADD">
        <w:rPr>
          <w:lang w:val="en-US"/>
        </w:rPr>
        <w:t>n</w:t>
      </w:r>
      <w:r w:rsidR="00601EA7">
        <w:rPr>
          <w:lang w:val="en-US"/>
        </w:rPr>
        <w:t>gushed:</w:t>
      </w:r>
    </w:p>
    <w:p w:rsidR="00AF1ADD" w:rsidRDefault="0026162E" w:rsidP="00860D1D">
      <w:pPr>
        <w:numPr>
          <w:ilvl w:val="0"/>
          <w:numId w:val="48"/>
        </w:numPr>
        <w:rPr>
          <w:lang w:val="en-US"/>
        </w:rPr>
      </w:pPr>
      <w:r>
        <w:rPr>
          <w:b/>
          <w:i/>
          <w:lang w:val="en-US"/>
        </w:rPr>
        <w:t>m</w:t>
      </w:r>
      <w:r w:rsidR="004A6E9C" w:rsidRPr="00AF1ADD">
        <w:rPr>
          <w:b/>
          <w:i/>
          <w:lang w:val="en-US"/>
        </w:rPr>
        <w:t>an-made hazards induced by earthquake severities below the design basis of an NPP</w:t>
      </w:r>
      <w:r w:rsidR="00AF1ADD" w:rsidRPr="00AF1ADD">
        <w:rPr>
          <w:b/>
          <w:i/>
          <w:lang w:val="en-US"/>
        </w:rPr>
        <w:t xml:space="preserve"> </w:t>
      </w:r>
      <w:r w:rsidR="004A6E9C" w:rsidRPr="00AF1ADD">
        <w:rPr>
          <w:b/>
          <w:i/>
          <w:lang w:val="en-US"/>
        </w:rPr>
        <w:t>:</w:t>
      </w:r>
      <w:r w:rsidR="00AF1ADD" w:rsidRPr="00AF1ADD">
        <w:rPr>
          <w:b/>
          <w:i/>
          <w:lang w:val="en-US"/>
        </w:rPr>
        <w:t xml:space="preserve"> </w:t>
      </w:r>
      <w:r>
        <w:rPr>
          <w:lang w:val="en-US"/>
        </w:rPr>
        <w:t>v</w:t>
      </w:r>
      <w:r w:rsidR="00AF1ADD">
        <w:rPr>
          <w:lang w:val="en-US"/>
        </w:rPr>
        <w:t xml:space="preserve">ibratory ground motion at levels below the NPP design base </w:t>
      </w:r>
      <w:r w:rsidR="000F0625">
        <w:rPr>
          <w:lang w:val="en-US"/>
        </w:rPr>
        <w:t>are not expected to</w:t>
      </w:r>
      <w:r w:rsidR="00AF1ADD">
        <w:rPr>
          <w:lang w:val="en-US"/>
        </w:rPr>
        <w:t xml:space="preserve"> challenge the safety </w:t>
      </w:r>
      <w:r w:rsidR="000F0625">
        <w:rPr>
          <w:lang w:val="en-US"/>
        </w:rPr>
        <w:t>of the NPP and should therefore not lead to accident conditions</w:t>
      </w:r>
      <w:r>
        <w:rPr>
          <w:lang w:val="en-US"/>
        </w:rPr>
        <w:t>;</w:t>
      </w:r>
      <w:r w:rsidR="000F0625">
        <w:rPr>
          <w:lang w:val="en-US"/>
        </w:rPr>
        <w:t xml:space="preserve"> </w:t>
      </w:r>
      <w:r>
        <w:rPr>
          <w:lang w:val="en-US"/>
        </w:rPr>
        <w:t>e</w:t>
      </w:r>
      <w:r w:rsidR="000F0625">
        <w:rPr>
          <w:lang w:val="en-US"/>
        </w:rPr>
        <w:t xml:space="preserve">xternal man-made events triggered by </w:t>
      </w:r>
      <w:r w:rsidR="005A6965">
        <w:rPr>
          <w:lang w:val="en-US"/>
        </w:rPr>
        <w:t xml:space="preserve">such </w:t>
      </w:r>
      <w:r w:rsidR="000F0625">
        <w:rPr>
          <w:lang w:val="en-US"/>
        </w:rPr>
        <w:t>eart</w:t>
      </w:r>
      <w:r w:rsidR="000F0625">
        <w:rPr>
          <w:lang w:val="en-US"/>
        </w:rPr>
        <w:t>h</w:t>
      </w:r>
      <w:r w:rsidR="000F0625">
        <w:rPr>
          <w:lang w:val="en-US"/>
        </w:rPr>
        <w:t>quake</w:t>
      </w:r>
      <w:r w:rsidR="005A6965">
        <w:rPr>
          <w:lang w:val="en-US"/>
        </w:rPr>
        <w:t>s</w:t>
      </w:r>
      <w:r w:rsidR="000F0625">
        <w:rPr>
          <w:lang w:val="en-US"/>
        </w:rPr>
        <w:t xml:space="preserve"> may therefore be modeled as a single hazard rater than </w:t>
      </w:r>
      <w:r w:rsidR="0095677A">
        <w:rPr>
          <w:lang w:val="en-US"/>
        </w:rPr>
        <w:t xml:space="preserve">an additional chalange wich </w:t>
      </w:r>
      <w:r w:rsidR="000F0625">
        <w:rPr>
          <w:lang w:val="en-US"/>
        </w:rPr>
        <w:t>combin</w:t>
      </w:r>
      <w:r w:rsidR="0095677A">
        <w:rPr>
          <w:lang w:val="en-US"/>
        </w:rPr>
        <w:t>es with the impact of seismic ground motion on the NPP</w:t>
      </w:r>
      <w:r>
        <w:rPr>
          <w:lang w:val="en-US"/>
        </w:rPr>
        <w:t>;</w:t>
      </w:r>
    </w:p>
    <w:p w:rsidR="0095677A" w:rsidRDefault="0026162E" w:rsidP="00860D1D">
      <w:pPr>
        <w:numPr>
          <w:ilvl w:val="0"/>
          <w:numId w:val="48"/>
        </w:numPr>
        <w:rPr>
          <w:lang w:val="en-US"/>
        </w:rPr>
      </w:pPr>
      <w:r>
        <w:rPr>
          <w:b/>
          <w:i/>
          <w:lang w:val="en-US"/>
        </w:rPr>
        <w:t>m</w:t>
      </w:r>
      <w:r w:rsidR="00AF1ADD" w:rsidRPr="00AF1ADD">
        <w:rPr>
          <w:b/>
          <w:i/>
          <w:lang w:val="en-US"/>
        </w:rPr>
        <w:t>an-made hazards induced by earthquake severities equal to or higher than the desing basis of the NPP :</w:t>
      </w:r>
      <w:r w:rsidR="00AF1ADD">
        <w:rPr>
          <w:lang w:val="en-US"/>
        </w:rPr>
        <w:t xml:space="preserve"> </w:t>
      </w:r>
      <w:r>
        <w:rPr>
          <w:lang w:val="en-US"/>
        </w:rPr>
        <w:t>f</w:t>
      </w:r>
      <w:r w:rsidR="00AF1ADD">
        <w:rPr>
          <w:lang w:val="en-US"/>
        </w:rPr>
        <w:t>or such cases failure of the potentially hazardous structures may be reasonably postulated</w:t>
      </w:r>
      <w:r>
        <w:rPr>
          <w:lang w:val="en-US"/>
        </w:rPr>
        <w:t>;</w:t>
      </w:r>
      <w:r w:rsidR="00BC761B">
        <w:rPr>
          <w:lang w:val="en-US"/>
        </w:rPr>
        <w:t xml:space="preserve"> </w:t>
      </w:r>
      <w:r>
        <w:rPr>
          <w:lang w:val="en-US"/>
        </w:rPr>
        <w:t>i</w:t>
      </w:r>
      <w:r w:rsidR="00BC761B">
        <w:rPr>
          <w:lang w:val="en-US"/>
        </w:rPr>
        <w:t>t may therefore be necessary to consider the resulting adverse effects as coincident with earthquake damage</w:t>
      </w:r>
      <w:r w:rsidR="005A6965">
        <w:rPr>
          <w:lang w:val="en-US"/>
        </w:rPr>
        <w:t xml:space="preserve"> to the NPP</w:t>
      </w:r>
      <w:r w:rsidR="00601EA7">
        <w:rPr>
          <w:lang w:val="en-US"/>
        </w:rPr>
        <w:t>.</w:t>
      </w:r>
    </w:p>
    <w:p w:rsidR="0095677A" w:rsidRDefault="0095677A" w:rsidP="0095677A">
      <w:pPr>
        <w:rPr>
          <w:b/>
          <w:i/>
          <w:lang w:val="en-US"/>
        </w:rPr>
      </w:pPr>
    </w:p>
    <w:p w:rsidR="00AF1ADD" w:rsidRDefault="0095677A" w:rsidP="0095677A">
      <w:pPr>
        <w:rPr>
          <w:lang w:val="en-US"/>
        </w:rPr>
      </w:pPr>
      <w:r w:rsidRPr="0095677A">
        <w:rPr>
          <w:lang w:val="en-US"/>
        </w:rPr>
        <w:t>In both cases t</w:t>
      </w:r>
      <w:r w:rsidR="005A6965" w:rsidRPr="0095677A">
        <w:rPr>
          <w:lang w:val="en-US"/>
        </w:rPr>
        <w:t>he</w:t>
      </w:r>
      <w:r w:rsidR="005A6965">
        <w:rPr>
          <w:lang w:val="en-US"/>
        </w:rPr>
        <w:t xml:space="preserve"> e</w:t>
      </w:r>
      <w:r w:rsidR="00BC761B">
        <w:rPr>
          <w:lang w:val="en-US"/>
        </w:rPr>
        <w:t xml:space="preserve">ffects </w:t>
      </w:r>
      <w:r w:rsidR="005A6965">
        <w:rPr>
          <w:lang w:val="en-US"/>
        </w:rPr>
        <w:t xml:space="preserve">of the earthquake-triggered man-made phenomena </w:t>
      </w:r>
      <w:r w:rsidR="00BC761B">
        <w:rPr>
          <w:lang w:val="en-US"/>
        </w:rPr>
        <w:t>on the NPP may be cond</w:t>
      </w:r>
      <w:r w:rsidR="00BC761B">
        <w:rPr>
          <w:lang w:val="en-US"/>
        </w:rPr>
        <w:t>i</w:t>
      </w:r>
      <w:r w:rsidR="00BC761B">
        <w:rPr>
          <w:lang w:val="en-US"/>
        </w:rPr>
        <w:t xml:space="preserve">tional on parameters other than </w:t>
      </w:r>
      <w:r>
        <w:rPr>
          <w:lang w:val="en-US"/>
        </w:rPr>
        <w:t xml:space="preserve">vibratory ground motion. Examples are </w:t>
      </w:r>
      <w:r w:rsidR="005A6965">
        <w:rPr>
          <w:lang w:val="en-US"/>
        </w:rPr>
        <w:t xml:space="preserve">the impact of chemical release or fire </w:t>
      </w:r>
      <w:r>
        <w:rPr>
          <w:lang w:val="en-US"/>
        </w:rPr>
        <w:t>whi</w:t>
      </w:r>
      <w:r w:rsidR="00C96492">
        <w:rPr>
          <w:lang w:val="en-US"/>
        </w:rPr>
        <w:t>tc</w:t>
      </w:r>
      <w:r>
        <w:rPr>
          <w:lang w:val="en-US"/>
        </w:rPr>
        <w:t xml:space="preserve">h </w:t>
      </w:r>
      <w:r w:rsidR="005A6965">
        <w:rPr>
          <w:lang w:val="en-US"/>
        </w:rPr>
        <w:t>may depend on wind direction</w:t>
      </w:r>
      <w:r>
        <w:rPr>
          <w:lang w:val="en-US"/>
        </w:rPr>
        <w:t xml:space="preserve">, and </w:t>
      </w:r>
      <w:r w:rsidR="005A6965">
        <w:rPr>
          <w:lang w:val="en-US"/>
        </w:rPr>
        <w:t xml:space="preserve">the amount of emissions </w:t>
      </w:r>
      <w:r>
        <w:rPr>
          <w:lang w:val="en-US"/>
        </w:rPr>
        <w:t xml:space="preserve">which </w:t>
      </w:r>
      <w:r w:rsidR="005A6965">
        <w:rPr>
          <w:lang w:val="en-US"/>
        </w:rPr>
        <w:t xml:space="preserve">may depend on </w:t>
      </w:r>
      <w:r w:rsidR="00BC761B">
        <w:rPr>
          <w:lang w:val="en-US"/>
        </w:rPr>
        <w:t xml:space="preserve">the </w:t>
      </w:r>
      <w:r w:rsidR="005A6965">
        <w:rPr>
          <w:lang w:val="en-US"/>
        </w:rPr>
        <w:t xml:space="preserve">type and amount </w:t>
      </w:r>
      <w:r w:rsidR="00BC761B">
        <w:rPr>
          <w:lang w:val="en-US"/>
        </w:rPr>
        <w:t xml:space="preserve">of </w:t>
      </w:r>
      <w:r w:rsidR="005A6965">
        <w:rPr>
          <w:lang w:val="en-US"/>
        </w:rPr>
        <w:t xml:space="preserve">chemicals available at </w:t>
      </w:r>
      <w:r>
        <w:rPr>
          <w:lang w:val="en-US"/>
        </w:rPr>
        <w:t>the</w:t>
      </w:r>
      <w:r w:rsidR="005A6965">
        <w:rPr>
          <w:lang w:val="en-US"/>
        </w:rPr>
        <w:t xml:space="preserve"> plant at the time of the earthquake.</w:t>
      </w:r>
    </w:p>
    <w:p w:rsidR="00BB27FD" w:rsidRPr="00BB27FD" w:rsidRDefault="00D70AA6" w:rsidP="00BB27FD">
      <w:pPr>
        <w:pStyle w:val="Titre2"/>
        <w:rPr>
          <w:lang w:val="en-US"/>
        </w:rPr>
      </w:pPr>
      <w:bookmarkStart w:id="214" w:name="_Toc456011928"/>
      <w:r w:rsidRPr="00BB27FD">
        <w:rPr>
          <w:lang w:val="en-US"/>
        </w:rPr>
        <w:t>Examples of hazard combinations</w:t>
      </w:r>
      <w:bookmarkEnd w:id="214"/>
    </w:p>
    <w:p w:rsidR="00D70AA6" w:rsidRDefault="00243045" w:rsidP="000C3A42">
      <w:pPr>
        <w:rPr>
          <w:lang w:val="en-US"/>
        </w:rPr>
      </w:pPr>
      <w:r>
        <w:rPr>
          <w:lang w:val="en-US"/>
        </w:rPr>
        <w:t xml:space="preserve">A non-comprehensive list </w:t>
      </w:r>
      <w:r w:rsidR="00D70AA6">
        <w:rPr>
          <w:lang w:val="en-US"/>
        </w:rPr>
        <w:t xml:space="preserve">of </w:t>
      </w:r>
      <w:r w:rsidR="00541783">
        <w:rPr>
          <w:lang w:val="en-US"/>
        </w:rPr>
        <w:t xml:space="preserve">hazard combinations for seismotectonic hazards which is regarded </w:t>
      </w:r>
      <w:r w:rsidR="00C96492">
        <w:rPr>
          <w:lang w:val="en-US"/>
        </w:rPr>
        <w:t xml:space="preserve">most </w:t>
      </w:r>
      <w:r w:rsidR="00541783">
        <w:rPr>
          <w:lang w:val="en-US"/>
        </w:rPr>
        <w:t xml:space="preserve">likely </w:t>
      </w:r>
      <w:r>
        <w:rPr>
          <w:lang w:val="en-US"/>
        </w:rPr>
        <w:t xml:space="preserve">is shown in </w:t>
      </w:r>
      <w:r w:rsidR="005C52CE">
        <w:rPr>
          <w:lang w:val="en-US"/>
        </w:rPr>
        <w:fldChar w:fldCharType="begin"/>
      </w:r>
      <w:r w:rsidR="005C52CE">
        <w:rPr>
          <w:lang w:val="en-US"/>
        </w:rPr>
        <w:instrText xml:space="preserve"> REF _Ref433646175 \h </w:instrText>
      </w:r>
      <w:r w:rsidR="005C52CE">
        <w:rPr>
          <w:lang w:val="en-US"/>
        </w:rPr>
      </w:r>
      <w:r w:rsidR="005C52CE">
        <w:rPr>
          <w:lang w:val="en-US"/>
        </w:rPr>
        <w:fldChar w:fldCharType="separate"/>
      </w:r>
      <w:r w:rsidR="00173034">
        <w:t xml:space="preserve">Table </w:t>
      </w:r>
      <w:r w:rsidR="00173034">
        <w:rPr>
          <w:noProof/>
        </w:rPr>
        <w:t>12</w:t>
      </w:r>
      <w:r w:rsidR="005C52CE">
        <w:rPr>
          <w:lang w:val="en-US"/>
        </w:rPr>
        <w:fldChar w:fldCharType="end"/>
      </w:r>
      <w:r w:rsidR="00CE2E19">
        <w:rPr>
          <w:lang w:val="en-US"/>
        </w:rPr>
        <w:t>.</w:t>
      </w:r>
    </w:p>
    <w:p w:rsidR="00C11B27" w:rsidRDefault="00C11B27" w:rsidP="000C3A42">
      <w:pPr>
        <w:rPr>
          <w:lang w:val="en-US"/>
        </w:rPr>
      </w:pPr>
    </w:p>
    <w:p w:rsidR="00601EA7" w:rsidRDefault="00601EA7" w:rsidP="000C3A42">
      <w:pPr>
        <w:rPr>
          <w:lang w:val="en-US"/>
        </w:rPr>
      </w:pPr>
    </w:p>
    <w:tbl>
      <w:tblPr>
        <w:tblW w:w="9214" w:type="dxa"/>
        <w:tblInd w:w="212" w:type="dxa"/>
        <w:tblCellMar>
          <w:left w:w="70" w:type="dxa"/>
          <w:right w:w="70" w:type="dxa"/>
        </w:tblCellMar>
        <w:tblLook w:val="04A0" w:firstRow="1" w:lastRow="0" w:firstColumn="1" w:lastColumn="0" w:noHBand="0" w:noVBand="1"/>
      </w:tblPr>
      <w:tblGrid>
        <w:gridCol w:w="851"/>
        <w:gridCol w:w="3260"/>
        <w:gridCol w:w="1134"/>
        <w:gridCol w:w="1813"/>
        <w:gridCol w:w="552"/>
        <w:gridCol w:w="1037"/>
        <w:gridCol w:w="248"/>
        <w:gridCol w:w="319"/>
      </w:tblGrid>
      <w:tr w:rsidR="00EF0DBC" w:rsidRPr="00EF0DBC" w:rsidTr="008748B7">
        <w:trPr>
          <w:trHeight w:val="300"/>
        </w:trPr>
        <w:tc>
          <w:tcPr>
            <w:tcW w:w="8647" w:type="dxa"/>
            <w:gridSpan w:val="6"/>
            <w:tcBorders>
              <w:top w:val="single" w:sz="8" w:space="0" w:color="auto"/>
              <w:left w:val="single" w:sz="8" w:space="0" w:color="auto"/>
              <w:bottom w:val="single" w:sz="8" w:space="0" w:color="auto"/>
              <w:right w:val="nil"/>
            </w:tcBorders>
            <w:shd w:val="clear" w:color="auto" w:fill="auto"/>
            <w:noWrap/>
            <w:vAlign w:val="center"/>
            <w:hideMark/>
          </w:tcPr>
          <w:p w:rsidR="00EF0DBC" w:rsidRPr="00EF0DBC" w:rsidRDefault="00EF0DBC" w:rsidP="00EF0DBC">
            <w:pPr>
              <w:spacing w:line="240" w:lineRule="auto"/>
              <w:jc w:val="left"/>
              <w:rPr>
                <w:b/>
                <w:color w:val="000000"/>
                <w:szCs w:val="18"/>
                <w:lang w:eastAsia="de-AT"/>
              </w:rPr>
            </w:pPr>
            <w:r w:rsidRPr="00EF0DBC">
              <w:rPr>
                <w:b/>
                <w:color w:val="000000"/>
                <w:szCs w:val="18"/>
                <w:lang w:eastAsia="de-AT"/>
              </w:rPr>
              <w:lastRenderedPageBreak/>
              <w:t>Typical and abundant combinations of seismotectonic hazards</w:t>
            </w:r>
          </w:p>
        </w:tc>
        <w:tc>
          <w:tcPr>
            <w:tcW w:w="567" w:type="dxa"/>
            <w:gridSpan w:val="2"/>
            <w:tcBorders>
              <w:top w:val="single" w:sz="8" w:space="0" w:color="auto"/>
              <w:left w:val="nil"/>
              <w:bottom w:val="single" w:sz="8" w:space="0" w:color="auto"/>
              <w:right w:val="single" w:sz="8" w:space="0" w:color="auto"/>
            </w:tcBorders>
            <w:shd w:val="clear" w:color="auto" w:fill="auto"/>
            <w:noWrap/>
            <w:vAlign w:val="center"/>
            <w:hideMark/>
          </w:tcPr>
          <w:p w:rsidR="00EF0DBC" w:rsidRPr="00EF0DBC" w:rsidRDefault="00EF0DBC" w:rsidP="00EF0DBC">
            <w:pPr>
              <w:spacing w:line="240" w:lineRule="auto"/>
              <w:jc w:val="left"/>
              <w:rPr>
                <w:rFonts w:ascii="Calibri" w:hAnsi="Calibri"/>
                <w:b/>
                <w:color w:val="000000"/>
                <w:sz w:val="22"/>
                <w:szCs w:val="22"/>
                <w:lang w:eastAsia="de-AT"/>
              </w:rPr>
            </w:pPr>
            <w:r w:rsidRPr="00EF0DBC">
              <w:rPr>
                <w:rFonts w:ascii="Calibri" w:hAnsi="Calibri"/>
                <w:b/>
                <w:color w:val="000000"/>
                <w:sz w:val="22"/>
                <w:szCs w:val="22"/>
                <w:lang w:eastAsia="de-AT"/>
              </w:rPr>
              <w:t> </w:t>
            </w:r>
          </w:p>
        </w:tc>
      </w:tr>
      <w:tr w:rsidR="008748B7" w:rsidRPr="00EF0DBC" w:rsidTr="008748B7">
        <w:trPr>
          <w:trHeight w:val="101"/>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eastAsia="de-AT"/>
              </w:rPr>
            </w:pPr>
          </w:p>
        </w:tc>
        <w:tc>
          <w:tcPr>
            <w:tcW w:w="3260"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szCs w:val="18"/>
                <w:lang w:eastAsia="de-AT"/>
              </w:rPr>
            </w:pPr>
          </w:p>
        </w:tc>
        <w:tc>
          <w:tcPr>
            <w:tcW w:w="1134"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eastAsia="de-AT"/>
              </w:rPr>
            </w:pPr>
          </w:p>
        </w:tc>
        <w:tc>
          <w:tcPr>
            <w:tcW w:w="3402" w:type="dxa"/>
            <w:gridSpan w:val="3"/>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rFonts w:ascii="Times New Roman" w:hAnsi="Times New Roman"/>
                <w:sz w:val="20"/>
                <w:szCs w:val="20"/>
                <w:lang w:eastAsia="de-AT"/>
              </w:rPr>
            </w:pPr>
          </w:p>
        </w:tc>
        <w:tc>
          <w:tcPr>
            <w:tcW w:w="567" w:type="dxa"/>
            <w:gridSpan w:val="2"/>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eastAsia="de-AT"/>
              </w:rPr>
            </w:pPr>
          </w:p>
        </w:tc>
      </w:tr>
      <w:tr w:rsidR="008748B7" w:rsidRPr="00EF0DBC" w:rsidTr="008748B7">
        <w:trPr>
          <w:trHeight w:val="300"/>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N1*</w:t>
            </w:r>
          </w:p>
        </w:tc>
        <w:tc>
          <w:tcPr>
            <w:tcW w:w="3260" w:type="dxa"/>
            <w:tcBorders>
              <w:top w:val="single" w:sz="8" w:space="0" w:color="auto"/>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Vibratory ground motion</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N4*</w:t>
            </w:r>
          </w:p>
        </w:tc>
        <w:tc>
          <w:tcPr>
            <w:tcW w:w="3402" w:type="dxa"/>
            <w:gridSpan w:val="3"/>
            <w:tcBorders>
              <w:top w:val="single" w:sz="8" w:space="0" w:color="auto"/>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Liquefaction</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(1)</w:t>
            </w:r>
          </w:p>
        </w:tc>
      </w:tr>
      <w:tr w:rsidR="008748B7" w:rsidRPr="00EF0DBC" w:rsidTr="008748B7">
        <w:trPr>
          <w:trHeight w:val="30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N1</w:t>
            </w:r>
          </w:p>
        </w:tc>
        <w:tc>
          <w:tcPr>
            <w:tcW w:w="3260"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Vibratory ground motion</w:t>
            </w:r>
          </w:p>
        </w:tc>
        <w:tc>
          <w:tcPr>
            <w:tcW w:w="1134"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N5</w:t>
            </w:r>
          </w:p>
        </w:tc>
        <w:tc>
          <w:tcPr>
            <w:tcW w:w="3402" w:type="dxa"/>
            <w:gridSpan w:val="3"/>
            <w:tcBorders>
              <w:top w:val="nil"/>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Dynamic compaction</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(2)</w:t>
            </w:r>
          </w:p>
        </w:tc>
      </w:tr>
      <w:tr w:rsidR="008748B7" w:rsidRPr="00EF0DBC" w:rsidTr="008748B7">
        <w:trPr>
          <w:trHeight w:val="30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N1</w:t>
            </w:r>
          </w:p>
        </w:tc>
        <w:tc>
          <w:tcPr>
            <w:tcW w:w="3260"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Vibratory ground motion</w:t>
            </w:r>
          </w:p>
        </w:tc>
        <w:tc>
          <w:tcPr>
            <w:tcW w:w="1134"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N15</w:t>
            </w:r>
          </w:p>
        </w:tc>
        <w:tc>
          <w:tcPr>
            <w:tcW w:w="3402" w:type="dxa"/>
            <w:gridSpan w:val="3"/>
            <w:tcBorders>
              <w:top w:val="nil"/>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Water containment failure</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(3)</w:t>
            </w:r>
          </w:p>
        </w:tc>
      </w:tr>
      <w:tr w:rsidR="008748B7" w:rsidRPr="00EF0DBC" w:rsidTr="008748B7">
        <w:trPr>
          <w:trHeight w:val="30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N1</w:t>
            </w:r>
          </w:p>
        </w:tc>
        <w:tc>
          <w:tcPr>
            <w:tcW w:w="3260"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Vibratory ground motion</w:t>
            </w:r>
          </w:p>
        </w:tc>
        <w:tc>
          <w:tcPr>
            <w:tcW w:w="1134"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N60</w:t>
            </w:r>
          </w:p>
        </w:tc>
        <w:tc>
          <w:tcPr>
            <w:tcW w:w="3402" w:type="dxa"/>
            <w:gridSpan w:val="3"/>
            <w:tcBorders>
              <w:top w:val="nil"/>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Slope instability</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(4)</w:t>
            </w:r>
          </w:p>
        </w:tc>
      </w:tr>
      <w:tr w:rsidR="008748B7" w:rsidRPr="00EF0DBC" w:rsidTr="008748B7">
        <w:trPr>
          <w:trHeight w:val="30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N1</w:t>
            </w:r>
          </w:p>
        </w:tc>
        <w:tc>
          <w:tcPr>
            <w:tcW w:w="3260"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Vibratory ground motion</w:t>
            </w:r>
          </w:p>
        </w:tc>
        <w:tc>
          <w:tcPr>
            <w:tcW w:w="1134"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M1, M2</w:t>
            </w:r>
          </w:p>
        </w:tc>
        <w:tc>
          <w:tcPr>
            <w:tcW w:w="3402" w:type="dxa"/>
            <w:gridSpan w:val="3"/>
            <w:tcBorders>
              <w:top w:val="nil"/>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Industry accidents</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(5)</w:t>
            </w:r>
          </w:p>
        </w:tc>
      </w:tr>
      <w:tr w:rsidR="008748B7" w:rsidRPr="00EF0DBC" w:rsidTr="008748B7">
        <w:trPr>
          <w:trHeight w:val="30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N1</w:t>
            </w:r>
          </w:p>
        </w:tc>
        <w:tc>
          <w:tcPr>
            <w:tcW w:w="3260"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Vibratory ground motion</w:t>
            </w:r>
          </w:p>
        </w:tc>
        <w:tc>
          <w:tcPr>
            <w:tcW w:w="1134"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M19</w:t>
            </w:r>
          </w:p>
        </w:tc>
        <w:tc>
          <w:tcPr>
            <w:tcW w:w="3402" w:type="dxa"/>
            <w:gridSpan w:val="3"/>
            <w:tcBorders>
              <w:top w:val="nil"/>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Stability of power grid</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(6)</w:t>
            </w:r>
          </w:p>
        </w:tc>
      </w:tr>
      <w:tr w:rsidR="008748B7" w:rsidRPr="00EF0DBC" w:rsidTr="00192F48">
        <w:trPr>
          <w:trHeight w:val="130"/>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p>
        </w:tc>
        <w:tc>
          <w:tcPr>
            <w:tcW w:w="3260"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szCs w:val="18"/>
                <w:lang w:val="de-AT" w:eastAsia="de-AT"/>
              </w:rPr>
            </w:pPr>
          </w:p>
        </w:tc>
        <w:tc>
          <w:tcPr>
            <w:tcW w:w="1134"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Cs w:val="18"/>
                <w:lang w:val="de-AT" w:eastAsia="de-AT"/>
              </w:rPr>
            </w:pPr>
          </w:p>
        </w:tc>
        <w:tc>
          <w:tcPr>
            <w:tcW w:w="3402" w:type="dxa"/>
            <w:gridSpan w:val="3"/>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rFonts w:ascii="Times New Roman" w:hAnsi="Times New Roman"/>
                <w:szCs w:val="18"/>
                <w:lang w:val="de-AT" w:eastAsia="de-AT"/>
              </w:rPr>
            </w:pPr>
          </w:p>
        </w:tc>
        <w:tc>
          <w:tcPr>
            <w:tcW w:w="567" w:type="dxa"/>
            <w:gridSpan w:val="2"/>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Cs w:val="18"/>
                <w:lang w:val="de-AT" w:eastAsia="de-AT"/>
              </w:rPr>
            </w:pPr>
          </w:p>
        </w:tc>
      </w:tr>
      <w:tr w:rsidR="008748B7" w:rsidRPr="00EF0DBC" w:rsidTr="008748B7">
        <w:trPr>
          <w:trHeight w:val="300"/>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N3</w:t>
            </w:r>
          </w:p>
        </w:tc>
        <w:tc>
          <w:tcPr>
            <w:tcW w:w="3260" w:type="dxa"/>
            <w:tcBorders>
              <w:top w:val="single" w:sz="8" w:space="0" w:color="auto"/>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Fault capability</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N15</w:t>
            </w:r>
          </w:p>
        </w:tc>
        <w:tc>
          <w:tcPr>
            <w:tcW w:w="3402" w:type="dxa"/>
            <w:gridSpan w:val="3"/>
            <w:tcBorders>
              <w:top w:val="single" w:sz="8" w:space="0" w:color="auto"/>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Vibratory ground motion</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left"/>
              <w:rPr>
                <w:rFonts w:ascii="Calibri" w:hAnsi="Calibri"/>
                <w:color w:val="000000"/>
                <w:szCs w:val="18"/>
                <w:lang w:val="de-AT" w:eastAsia="de-AT"/>
              </w:rPr>
            </w:pPr>
            <w:r w:rsidRPr="00EF0DBC">
              <w:rPr>
                <w:rFonts w:ascii="Calibri" w:hAnsi="Calibri"/>
                <w:color w:val="000000"/>
                <w:szCs w:val="18"/>
                <w:lang w:val="de-AT" w:eastAsia="de-AT"/>
              </w:rPr>
              <w:t> </w:t>
            </w:r>
          </w:p>
        </w:tc>
      </w:tr>
      <w:tr w:rsidR="008748B7" w:rsidRPr="00EF0DBC" w:rsidTr="008748B7">
        <w:trPr>
          <w:trHeight w:val="30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N3</w:t>
            </w:r>
          </w:p>
        </w:tc>
        <w:tc>
          <w:tcPr>
            <w:tcW w:w="3260"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Fault capability</w:t>
            </w:r>
          </w:p>
        </w:tc>
        <w:tc>
          <w:tcPr>
            <w:tcW w:w="1134"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N4</w:t>
            </w:r>
          </w:p>
        </w:tc>
        <w:tc>
          <w:tcPr>
            <w:tcW w:w="3402" w:type="dxa"/>
            <w:gridSpan w:val="3"/>
            <w:tcBorders>
              <w:top w:val="nil"/>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Liquefaction</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left"/>
              <w:rPr>
                <w:rFonts w:ascii="Calibri" w:hAnsi="Calibri"/>
                <w:color w:val="000000"/>
                <w:szCs w:val="18"/>
                <w:lang w:val="de-AT" w:eastAsia="de-AT"/>
              </w:rPr>
            </w:pPr>
            <w:r w:rsidRPr="00EF0DBC">
              <w:rPr>
                <w:rFonts w:ascii="Calibri" w:hAnsi="Calibri"/>
                <w:color w:val="000000"/>
                <w:szCs w:val="18"/>
                <w:lang w:val="de-AT" w:eastAsia="de-AT"/>
              </w:rPr>
              <w:t> </w:t>
            </w:r>
          </w:p>
        </w:tc>
      </w:tr>
      <w:tr w:rsidR="008748B7" w:rsidRPr="00EF0DBC" w:rsidTr="008748B7">
        <w:trPr>
          <w:trHeight w:val="30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N3</w:t>
            </w:r>
          </w:p>
        </w:tc>
        <w:tc>
          <w:tcPr>
            <w:tcW w:w="3260"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Fault capability</w:t>
            </w:r>
          </w:p>
        </w:tc>
        <w:tc>
          <w:tcPr>
            <w:tcW w:w="1134" w:type="dxa"/>
            <w:tcBorders>
              <w:top w:val="nil"/>
              <w:left w:val="nil"/>
              <w:bottom w:val="single" w:sz="8" w:space="0" w:color="auto"/>
              <w:right w:val="single" w:sz="4" w:space="0" w:color="auto"/>
            </w:tcBorders>
            <w:shd w:val="clear" w:color="auto" w:fill="auto"/>
            <w:noWrap/>
            <w:vAlign w:val="bottom"/>
            <w:hideMark/>
          </w:tcPr>
          <w:p w:rsidR="00EF0DBC" w:rsidRPr="00EF0DBC" w:rsidRDefault="00EF0DBC" w:rsidP="00EF0DBC">
            <w:pPr>
              <w:spacing w:line="240" w:lineRule="auto"/>
              <w:jc w:val="center"/>
              <w:rPr>
                <w:rFonts w:ascii="Calibri" w:hAnsi="Calibri"/>
                <w:color w:val="000000"/>
                <w:szCs w:val="18"/>
                <w:lang w:val="de-AT" w:eastAsia="de-AT"/>
              </w:rPr>
            </w:pPr>
            <w:r w:rsidRPr="00EF0DBC">
              <w:rPr>
                <w:rFonts w:ascii="Calibri" w:hAnsi="Calibri"/>
                <w:color w:val="000000"/>
                <w:szCs w:val="18"/>
                <w:lang w:val="de-AT" w:eastAsia="de-AT"/>
              </w:rPr>
              <w:t>N5</w:t>
            </w:r>
          </w:p>
        </w:tc>
        <w:tc>
          <w:tcPr>
            <w:tcW w:w="3402" w:type="dxa"/>
            <w:gridSpan w:val="3"/>
            <w:tcBorders>
              <w:top w:val="nil"/>
              <w:left w:val="nil"/>
              <w:bottom w:val="single" w:sz="8" w:space="0" w:color="auto"/>
              <w:right w:val="single" w:sz="4" w:space="0" w:color="auto"/>
            </w:tcBorders>
            <w:shd w:val="clear" w:color="auto" w:fill="auto"/>
            <w:noWrap/>
            <w:vAlign w:val="bottom"/>
            <w:hideMark/>
          </w:tcPr>
          <w:p w:rsidR="00EF0DBC" w:rsidRPr="00CE2E19" w:rsidRDefault="00EF0DBC" w:rsidP="00EF0DBC">
            <w:pPr>
              <w:spacing w:line="240" w:lineRule="auto"/>
              <w:jc w:val="left"/>
              <w:rPr>
                <w:color w:val="000000"/>
                <w:szCs w:val="18"/>
                <w:lang w:val="de-AT" w:eastAsia="de-AT"/>
              </w:rPr>
            </w:pPr>
            <w:r w:rsidRPr="00CE2E19">
              <w:rPr>
                <w:color w:val="000000"/>
                <w:szCs w:val="18"/>
                <w:lang w:val="de-AT" w:eastAsia="de-AT"/>
              </w:rPr>
              <w:t>Dynamic compaction</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EF0DBC" w:rsidRPr="00EF0DBC" w:rsidRDefault="00EF0DBC" w:rsidP="00EF0DBC">
            <w:pPr>
              <w:spacing w:line="240" w:lineRule="auto"/>
              <w:jc w:val="left"/>
              <w:rPr>
                <w:rFonts w:ascii="Calibri" w:hAnsi="Calibri"/>
                <w:color w:val="000000"/>
                <w:szCs w:val="18"/>
                <w:lang w:val="de-AT" w:eastAsia="de-AT"/>
              </w:rPr>
            </w:pPr>
            <w:r w:rsidRPr="00EF0DBC">
              <w:rPr>
                <w:rFonts w:ascii="Calibri" w:hAnsi="Calibri"/>
                <w:color w:val="000000"/>
                <w:szCs w:val="18"/>
                <w:lang w:val="de-AT" w:eastAsia="de-AT"/>
              </w:rPr>
              <w:t> </w:t>
            </w:r>
          </w:p>
        </w:tc>
      </w:tr>
      <w:tr w:rsidR="008748B7"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p>
        </w:tc>
        <w:tc>
          <w:tcPr>
            <w:tcW w:w="3260"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szCs w:val="18"/>
                <w:lang w:val="de-AT" w:eastAsia="de-AT"/>
              </w:rPr>
            </w:pPr>
          </w:p>
        </w:tc>
        <w:tc>
          <w:tcPr>
            <w:tcW w:w="1134"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val="de-AT" w:eastAsia="de-AT"/>
              </w:rPr>
            </w:pPr>
          </w:p>
        </w:tc>
        <w:tc>
          <w:tcPr>
            <w:tcW w:w="3402" w:type="dxa"/>
            <w:gridSpan w:val="3"/>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val="de-AT" w:eastAsia="de-AT"/>
              </w:rPr>
            </w:pPr>
          </w:p>
        </w:tc>
        <w:tc>
          <w:tcPr>
            <w:tcW w:w="567" w:type="dxa"/>
            <w:gridSpan w:val="2"/>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val="de-AT" w:eastAsia="de-AT"/>
              </w:rPr>
            </w:pPr>
          </w:p>
        </w:tc>
      </w:tr>
      <w:tr w:rsidR="00EF0DBC"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w:t>
            </w:r>
          </w:p>
        </w:tc>
        <w:tc>
          <w:tcPr>
            <w:tcW w:w="8363" w:type="dxa"/>
            <w:gridSpan w:val="7"/>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eastAsia="de-AT"/>
              </w:rPr>
            </w:pPr>
            <w:r w:rsidRPr="00EF0DBC">
              <w:rPr>
                <w:color w:val="000000"/>
                <w:szCs w:val="18"/>
                <w:lang w:eastAsia="de-AT"/>
              </w:rPr>
              <w:t>Numbers refer to hazard list defined in ASAMPSA_E Report D21.2 (Decker &amp; Brinkman, 2014)</w:t>
            </w:r>
          </w:p>
        </w:tc>
      </w:tr>
      <w:tr w:rsidR="00EF0DBC"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(1)</w:t>
            </w:r>
          </w:p>
        </w:tc>
        <w:tc>
          <w:tcPr>
            <w:tcW w:w="6759" w:type="dxa"/>
            <w:gridSpan w:val="4"/>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eastAsia="de-AT"/>
              </w:rPr>
            </w:pPr>
            <w:r w:rsidRPr="00EF0DBC">
              <w:rPr>
                <w:color w:val="000000"/>
                <w:szCs w:val="18"/>
                <w:lang w:eastAsia="de-AT"/>
              </w:rPr>
              <w:t>Sites on liquefyable soft soil</w:t>
            </w:r>
          </w:p>
        </w:tc>
        <w:tc>
          <w:tcPr>
            <w:tcW w:w="1285" w:type="dxa"/>
            <w:gridSpan w:val="2"/>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Calibri" w:hAnsi="Calibri"/>
                <w:color w:val="000000"/>
                <w:sz w:val="22"/>
                <w:szCs w:val="22"/>
                <w:lang w:eastAsia="de-AT"/>
              </w:rPr>
            </w:pPr>
          </w:p>
        </w:tc>
        <w:tc>
          <w:tcPr>
            <w:tcW w:w="319"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eastAsia="de-AT"/>
              </w:rPr>
            </w:pPr>
          </w:p>
        </w:tc>
      </w:tr>
      <w:tr w:rsidR="00EF0DBC"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(2)</w:t>
            </w:r>
          </w:p>
        </w:tc>
        <w:tc>
          <w:tcPr>
            <w:tcW w:w="6207" w:type="dxa"/>
            <w:gridSpan w:val="3"/>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val="de-AT" w:eastAsia="de-AT"/>
              </w:rPr>
            </w:pPr>
            <w:r w:rsidRPr="00EF0DBC">
              <w:rPr>
                <w:color w:val="000000"/>
                <w:szCs w:val="18"/>
                <w:lang w:val="de-AT" w:eastAsia="de-AT"/>
              </w:rPr>
              <w:t>Sites on soft soil</w:t>
            </w:r>
          </w:p>
        </w:tc>
        <w:tc>
          <w:tcPr>
            <w:tcW w:w="552"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Calibri" w:hAnsi="Calibri"/>
                <w:color w:val="000000"/>
                <w:sz w:val="22"/>
                <w:szCs w:val="22"/>
                <w:lang w:val="de-AT" w:eastAsia="de-AT"/>
              </w:rPr>
            </w:pPr>
          </w:p>
        </w:tc>
        <w:tc>
          <w:tcPr>
            <w:tcW w:w="1285" w:type="dxa"/>
            <w:gridSpan w:val="2"/>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val="de-AT" w:eastAsia="de-AT"/>
              </w:rPr>
            </w:pPr>
          </w:p>
        </w:tc>
        <w:tc>
          <w:tcPr>
            <w:tcW w:w="319"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Times New Roman" w:hAnsi="Times New Roman"/>
                <w:sz w:val="20"/>
                <w:szCs w:val="20"/>
                <w:lang w:val="de-AT" w:eastAsia="de-AT"/>
              </w:rPr>
            </w:pPr>
          </w:p>
        </w:tc>
      </w:tr>
      <w:tr w:rsidR="00EF0DBC"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(3)</w:t>
            </w:r>
          </w:p>
        </w:tc>
        <w:tc>
          <w:tcPr>
            <w:tcW w:w="8044" w:type="dxa"/>
            <w:gridSpan w:val="6"/>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eastAsia="de-AT"/>
              </w:rPr>
            </w:pPr>
            <w:r w:rsidRPr="00EF0DBC">
              <w:rPr>
                <w:color w:val="000000"/>
                <w:szCs w:val="18"/>
                <w:lang w:eastAsia="de-AT"/>
              </w:rPr>
              <w:t>Up- or donwstram dams, water protection systems, dykes</w:t>
            </w:r>
          </w:p>
        </w:tc>
        <w:tc>
          <w:tcPr>
            <w:tcW w:w="319"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Calibri" w:hAnsi="Calibri"/>
                <w:color w:val="000000"/>
                <w:sz w:val="22"/>
                <w:szCs w:val="22"/>
                <w:lang w:eastAsia="de-AT"/>
              </w:rPr>
            </w:pPr>
          </w:p>
        </w:tc>
      </w:tr>
      <w:tr w:rsidR="00EF0DBC"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(4)</w:t>
            </w:r>
          </w:p>
        </w:tc>
        <w:tc>
          <w:tcPr>
            <w:tcW w:w="8363" w:type="dxa"/>
            <w:gridSpan w:val="7"/>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eastAsia="de-AT"/>
              </w:rPr>
            </w:pPr>
            <w:r w:rsidRPr="00EF0DBC">
              <w:rPr>
                <w:color w:val="000000"/>
                <w:szCs w:val="18"/>
                <w:lang w:eastAsia="de-AT"/>
              </w:rPr>
              <w:t>Including effects of landslide on surrounding infrastructure, rivers etc.</w:t>
            </w:r>
          </w:p>
        </w:tc>
      </w:tr>
      <w:tr w:rsidR="00EF0DBC"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(5)</w:t>
            </w:r>
          </w:p>
        </w:tc>
        <w:tc>
          <w:tcPr>
            <w:tcW w:w="8363" w:type="dxa"/>
            <w:gridSpan w:val="7"/>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eastAsia="de-AT"/>
              </w:rPr>
            </w:pPr>
            <w:r w:rsidRPr="00EF0DBC">
              <w:rPr>
                <w:color w:val="000000"/>
                <w:szCs w:val="18"/>
                <w:lang w:eastAsia="de-AT"/>
              </w:rPr>
              <w:t>Lower level of seismic design of ordinary facilities as compared to NPPs to be considered</w:t>
            </w:r>
          </w:p>
        </w:tc>
      </w:tr>
      <w:tr w:rsidR="00EF0DBC" w:rsidRPr="00EF0DBC" w:rsidTr="008748B7">
        <w:trPr>
          <w:trHeight w:val="288"/>
        </w:trPr>
        <w:tc>
          <w:tcPr>
            <w:tcW w:w="851"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center"/>
              <w:rPr>
                <w:color w:val="000000"/>
                <w:szCs w:val="18"/>
                <w:lang w:val="de-AT" w:eastAsia="de-AT"/>
              </w:rPr>
            </w:pPr>
            <w:r w:rsidRPr="00EF0DBC">
              <w:rPr>
                <w:color w:val="000000"/>
                <w:szCs w:val="18"/>
                <w:lang w:val="de-AT" w:eastAsia="de-AT"/>
              </w:rPr>
              <w:t>(6)</w:t>
            </w:r>
          </w:p>
        </w:tc>
        <w:tc>
          <w:tcPr>
            <w:tcW w:w="8044" w:type="dxa"/>
            <w:gridSpan w:val="6"/>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color w:val="000000"/>
                <w:szCs w:val="18"/>
                <w:lang w:eastAsia="de-AT"/>
              </w:rPr>
            </w:pPr>
            <w:r w:rsidRPr="00EF0DBC">
              <w:rPr>
                <w:color w:val="000000"/>
                <w:szCs w:val="18"/>
                <w:lang w:eastAsia="de-AT"/>
              </w:rPr>
              <w:t>LOOP; high vulnerability of power grid to be considered</w:t>
            </w:r>
          </w:p>
        </w:tc>
        <w:tc>
          <w:tcPr>
            <w:tcW w:w="319" w:type="dxa"/>
            <w:tcBorders>
              <w:top w:val="nil"/>
              <w:left w:val="nil"/>
              <w:bottom w:val="nil"/>
              <w:right w:val="nil"/>
            </w:tcBorders>
            <w:shd w:val="clear" w:color="auto" w:fill="auto"/>
            <w:noWrap/>
            <w:vAlign w:val="bottom"/>
            <w:hideMark/>
          </w:tcPr>
          <w:p w:rsidR="00EF0DBC" w:rsidRPr="00EF0DBC" w:rsidRDefault="00EF0DBC" w:rsidP="00EF0DBC">
            <w:pPr>
              <w:spacing w:line="240" w:lineRule="auto"/>
              <w:jc w:val="left"/>
              <w:rPr>
                <w:rFonts w:ascii="Calibri" w:hAnsi="Calibri"/>
                <w:color w:val="000000"/>
                <w:sz w:val="22"/>
                <w:szCs w:val="22"/>
                <w:lang w:eastAsia="de-AT"/>
              </w:rPr>
            </w:pPr>
          </w:p>
        </w:tc>
      </w:tr>
    </w:tbl>
    <w:p w:rsidR="00243045" w:rsidRPr="00EF0DBC" w:rsidRDefault="00243045" w:rsidP="000C3A42"/>
    <w:p w:rsidR="00243045" w:rsidRDefault="00243045" w:rsidP="00243045">
      <w:pPr>
        <w:pStyle w:val="ASAMPSAtable"/>
        <w:numPr>
          <w:ilvl w:val="0"/>
          <w:numId w:val="0"/>
        </w:numPr>
        <w:ind w:left="720" w:hanging="360"/>
      </w:pPr>
      <w:bookmarkStart w:id="215" w:name="_Ref433646175"/>
      <w:bookmarkStart w:id="216" w:name="_Toc456012036"/>
      <w:r>
        <w:t xml:space="preserve">Table </w:t>
      </w:r>
      <w:r>
        <w:fldChar w:fldCharType="begin"/>
      </w:r>
      <w:r>
        <w:instrText xml:space="preserve"> SEQ Table \* ARABIC </w:instrText>
      </w:r>
      <w:r>
        <w:fldChar w:fldCharType="separate"/>
      </w:r>
      <w:r w:rsidR="00173034">
        <w:rPr>
          <w:noProof/>
        </w:rPr>
        <w:t>12</w:t>
      </w:r>
      <w:r>
        <w:fldChar w:fldCharType="end"/>
      </w:r>
      <w:bookmarkEnd w:id="215"/>
      <w:r>
        <w:t>.  Non-comprehensive list of typical and abundant combinations of seismotectonic hazards to be considered in extended PSA</w:t>
      </w:r>
      <w:bookmarkEnd w:id="216"/>
    </w:p>
    <w:p w:rsidR="00C11B27" w:rsidRDefault="00C11B27" w:rsidP="000C3A42">
      <w:pPr>
        <w:rPr>
          <w:lang w:val="en-US"/>
        </w:rPr>
      </w:pPr>
    </w:p>
    <w:p w:rsidR="00541783" w:rsidRDefault="00EA37A8" w:rsidP="00541783">
      <w:pPr>
        <w:tabs>
          <w:tab w:val="left" w:pos="1380"/>
        </w:tabs>
        <w:rPr>
          <w:lang w:val="en-US"/>
        </w:rPr>
      </w:pPr>
      <w:r>
        <w:rPr>
          <w:lang w:val="en-US"/>
        </w:rPr>
        <w:t>Observed and seriously investigated hazard</w:t>
      </w:r>
      <w:r w:rsidR="00541783">
        <w:rPr>
          <w:lang w:val="en-US"/>
        </w:rPr>
        <w:t xml:space="preserve"> com</w:t>
      </w:r>
      <w:r w:rsidR="00601EA7">
        <w:rPr>
          <w:lang w:val="en-US"/>
        </w:rPr>
        <w:t>binations include the following:</w:t>
      </w:r>
    </w:p>
    <w:p w:rsidR="005C52CE" w:rsidRPr="00EA37A8" w:rsidRDefault="00BA7849" w:rsidP="00860D1D">
      <w:pPr>
        <w:numPr>
          <w:ilvl w:val="0"/>
          <w:numId w:val="47"/>
        </w:numPr>
        <w:rPr>
          <w:rStyle w:val="NormalCar"/>
          <w:lang w:val="en-US"/>
        </w:rPr>
      </w:pPr>
      <w:r w:rsidRPr="00EA37A8">
        <w:rPr>
          <w:rStyle w:val="NormalCar"/>
          <w:lang w:val="en-US"/>
        </w:rPr>
        <w:t xml:space="preserve">NPP </w:t>
      </w:r>
      <w:r w:rsidR="00541783" w:rsidRPr="00EA37A8">
        <w:rPr>
          <w:rStyle w:val="NormalCar"/>
          <w:lang w:val="en-US"/>
        </w:rPr>
        <w:t>Fukushima Dai-Ichi : combination of vibratory ground motion [N1] and slope instability [N60] where the latter effect leading to loss of offsite power [M19] due to the destruction of energ</w:t>
      </w:r>
      <w:r w:rsidRPr="00EA37A8">
        <w:rPr>
          <w:rStyle w:val="NormalCar"/>
          <w:lang w:val="en-US"/>
        </w:rPr>
        <w:t>y transmission lines</w:t>
      </w:r>
      <w:r w:rsidR="008C134D">
        <w:rPr>
          <w:rStyle w:val="NormalCar"/>
          <w:lang w:val="en-US"/>
        </w:rPr>
        <w:t>;</w:t>
      </w:r>
    </w:p>
    <w:p w:rsidR="00BA7849" w:rsidRPr="00EA37A8" w:rsidRDefault="00BA7849" w:rsidP="00860D1D">
      <w:pPr>
        <w:numPr>
          <w:ilvl w:val="0"/>
          <w:numId w:val="47"/>
        </w:numPr>
        <w:rPr>
          <w:rStyle w:val="NormalCar"/>
          <w:lang w:val="en-US"/>
        </w:rPr>
      </w:pPr>
      <w:r w:rsidRPr="00EA37A8">
        <w:rPr>
          <w:rStyle w:val="NormalCar"/>
          <w:lang w:val="en-US"/>
        </w:rPr>
        <w:t>NPP Paks : liquefaction caused by vibratory ground motion which slightly exceeds the seismic design basis value was identified as a serious hazard challenging the stability of underground connections (piping, c</w:t>
      </w:r>
      <w:r w:rsidRPr="00EA37A8">
        <w:rPr>
          <w:rStyle w:val="NormalCar"/>
          <w:lang w:val="en-US"/>
        </w:rPr>
        <w:t>a</w:t>
      </w:r>
      <w:r w:rsidRPr="00EA37A8">
        <w:rPr>
          <w:rStyle w:val="NormalCar"/>
          <w:lang w:val="en-US"/>
        </w:rPr>
        <w:t xml:space="preserve">bles etc.; HAEA, 2014) and led to dedicated hazard assessment (Bán et </w:t>
      </w:r>
      <w:r w:rsidR="00601EA7">
        <w:rPr>
          <w:rStyle w:val="NormalCar"/>
          <w:lang w:val="en-US"/>
        </w:rPr>
        <w:t>al., 2ß15; Tóth et al., 2015)</w:t>
      </w:r>
      <w:r w:rsidR="008C134D">
        <w:rPr>
          <w:rStyle w:val="NormalCar"/>
          <w:lang w:val="en-US"/>
        </w:rPr>
        <w:t>;</w:t>
      </w:r>
    </w:p>
    <w:p w:rsidR="00A51678" w:rsidRPr="00EA37A8" w:rsidRDefault="00A51678" w:rsidP="00860D1D">
      <w:pPr>
        <w:numPr>
          <w:ilvl w:val="0"/>
          <w:numId w:val="47"/>
        </w:numPr>
        <w:rPr>
          <w:lang w:val="en-US"/>
        </w:rPr>
      </w:pPr>
      <w:r w:rsidRPr="00EA37A8">
        <w:rPr>
          <w:rStyle w:val="NormalCar"/>
          <w:lang w:val="en-US"/>
        </w:rPr>
        <w:t>NPP Mühleberg : Fragility analyses showed that the seismic robustness of one of the safety trains for core cooling is limited by the seismic resistance of the Wohlensee dam wall upstream of the plant b</w:t>
      </w:r>
      <w:r w:rsidRPr="00EA37A8">
        <w:rPr>
          <w:rStyle w:val="NormalCar"/>
          <w:lang w:val="en-US"/>
        </w:rPr>
        <w:t>e</w:t>
      </w:r>
      <w:r w:rsidRPr="00EA37A8">
        <w:rPr>
          <w:rStyle w:val="NormalCar"/>
          <w:lang w:val="en-US"/>
        </w:rPr>
        <w:t>cause the cooling water intake of the special emergency system is endangered in case of a seismically induced fai</w:t>
      </w:r>
      <w:r w:rsidRPr="00EA37A8">
        <w:rPr>
          <w:rStyle w:val="NormalCar"/>
          <w:lang w:val="en-US"/>
        </w:rPr>
        <w:t>l</w:t>
      </w:r>
      <w:r w:rsidRPr="00EA37A8">
        <w:rPr>
          <w:rStyle w:val="NormalCar"/>
          <w:lang w:val="en-US"/>
        </w:rPr>
        <w:t>ure of the dam wall (ENSI, 2011).</w:t>
      </w:r>
    </w:p>
    <w:p w:rsidR="00541783" w:rsidRDefault="00541783" w:rsidP="000C3A42">
      <w:pPr>
        <w:rPr>
          <w:lang w:val="en-US"/>
        </w:rPr>
      </w:pPr>
    </w:p>
    <w:p w:rsidR="00BB27FD" w:rsidRPr="00BB27FD" w:rsidRDefault="00541783" w:rsidP="00BB27FD">
      <w:pPr>
        <w:pStyle w:val="Titre2"/>
        <w:rPr>
          <w:lang w:val="en-US"/>
        </w:rPr>
      </w:pPr>
      <w:bookmarkStart w:id="217" w:name="_Ref433277341"/>
      <w:bookmarkStart w:id="218" w:name="_Ref433277352"/>
      <w:r>
        <w:rPr>
          <w:lang w:val="en-US"/>
        </w:rPr>
        <w:br w:type="page"/>
      </w:r>
      <w:bookmarkStart w:id="219" w:name="_Toc456011929"/>
      <w:r w:rsidR="00D70AA6" w:rsidRPr="00BB27FD">
        <w:rPr>
          <w:lang w:val="en-US"/>
        </w:rPr>
        <w:lastRenderedPageBreak/>
        <w:t>Assessment of coincident hazards</w:t>
      </w:r>
      <w:bookmarkEnd w:id="217"/>
      <w:bookmarkEnd w:id="218"/>
      <w:bookmarkEnd w:id="219"/>
    </w:p>
    <w:p w:rsidR="00EC5F32" w:rsidRDefault="005A5EB9" w:rsidP="003B51C2">
      <w:pPr>
        <w:rPr>
          <w:lang w:val="en-US"/>
        </w:rPr>
      </w:pPr>
      <w:r w:rsidRPr="005A5EB9">
        <w:rPr>
          <w:lang w:val="en-US"/>
        </w:rPr>
        <w:t xml:space="preserve">Coincident hazards refer to the temporal </w:t>
      </w:r>
      <w:r w:rsidR="004C69FD" w:rsidRPr="005A5EB9">
        <w:rPr>
          <w:lang w:val="en-US"/>
        </w:rPr>
        <w:t>concurrence</w:t>
      </w:r>
      <w:r w:rsidRPr="005A5EB9">
        <w:rPr>
          <w:lang w:val="en-US"/>
        </w:rPr>
        <w:t xml:space="preserve"> of causally not connected independent events which are associated with different</w:t>
      </w:r>
      <w:r>
        <w:rPr>
          <w:lang w:val="en-US"/>
        </w:rPr>
        <w:t xml:space="preserve"> hazards. </w:t>
      </w:r>
      <w:r w:rsidR="003B51C2">
        <w:rPr>
          <w:lang w:val="en-US"/>
        </w:rPr>
        <w:t>Guidance for the assessment of</w:t>
      </w:r>
      <w:r w:rsidR="00EC5F32">
        <w:rPr>
          <w:lang w:val="en-US"/>
        </w:rPr>
        <w:t xml:space="preserve"> coincident hazards </w:t>
      </w:r>
      <w:r w:rsidR="003B51C2">
        <w:rPr>
          <w:lang w:val="en-US"/>
        </w:rPr>
        <w:t>is provided by W</w:t>
      </w:r>
      <w:r w:rsidR="00601EA7">
        <w:rPr>
          <w:lang w:val="en-US"/>
        </w:rPr>
        <w:t>ENRA (2015):</w:t>
      </w:r>
    </w:p>
    <w:p w:rsidR="00EC5F32" w:rsidRDefault="00EC5F32" w:rsidP="00135D4D">
      <w:pPr>
        <w:rPr>
          <w:lang w:val="en-US"/>
        </w:rPr>
      </w:pPr>
    </w:p>
    <w:p w:rsidR="00135D4D" w:rsidRPr="003520F7" w:rsidRDefault="00B84E00" w:rsidP="00135D4D">
      <w:pPr>
        <w:rPr>
          <w:lang w:val="en-US"/>
        </w:rPr>
      </w:pPr>
      <w:r w:rsidRPr="003B51C2">
        <w:rPr>
          <w:i/>
          <w:lang w:val="en-US"/>
        </w:rPr>
        <w:t>“</w:t>
      </w:r>
      <w:r w:rsidR="00135D4D" w:rsidRPr="003B51C2">
        <w:rPr>
          <w:i/>
          <w:lang w:val="en-US"/>
        </w:rPr>
        <w:t xml:space="preserve">It is possible for more than one independent natural event to apply simultaneously to a site. Such combinations of events should be considered carefully where frequent </w:t>
      </w:r>
      <w:r w:rsidR="00E044B8" w:rsidRPr="003B51C2">
        <w:rPr>
          <w:i/>
          <w:lang w:val="en-US"/>
        </w:rPr>
        <w:t>natural phenom</w:t>
      </w:r>
      <w:r w:rsidR="00135D4D" w:rsidRPr="003B51C2">
        <w:rPr>
          <w:i/>
          <w:lang w:val="en-US"/>
        </w:rPr>
        <w:t>ena are involved which pose similar d</w:t>
      </w:r>
      <w:r w:rsidR="00135D4D" w:rsidRPr="003B51C2">
        <w:rPr>
          <w:i/>
          <w:lang w:val="en-US"/>
        </w:rPr>
        <w:t>e</w:t>
      </w:r>
      <w:r w:rsidR="00135D4D" w:rsidRPr="003B51C2">
        <w:rPr>
          <w:i/>
          <w:lang w:val="en-US"/>
        </w:rPr>
        <w:t>mands to the plants. The analysis of the probability of such event combinations should consider the duration of the events.</w:t>
      </w:r>
      <w:r w:rsidRPr="003B51C2">
        <w:rPr>
          <w:i/>
          <w:lang w:val="en-US"/>
        </w:rPr>
        <w:t xml:space="preserve">” </w:t>
      </w:r>
      <w:r w:rsidRPr="003520F7">
        <w:rPr>
          <w:lang w:val="en-US"/>
        </w:rPr>
        <w:t xml:space="preserve">(WENRA, 2015 </w:t>
      </w:r>
      <w:r w:rsidRPr="003520F7">
        <w:rPr>
          <w:color w:val="548DD4"/>
          <w:lang w:val="en-US"/>
        </w:rPr>
        <w:t>Guidance Head</w:t>
      </w:r>
      <w:r w:rsidRPr="003520F7">
        <w:rPr>
          <w:lang w:val="en-US"/>
        </w:rPr>
        <w:t>)</w:t>
      </w:r>
      <w:r w:rsidR="004C41DA">
        <w:rPr>
          <w:lang w:val="en-US"/>
        </w:rPr>
        <w:t>. It is further stated</w:t>
      </w:r>
      <w:r w:rsidR="004C69FD">
        <w:rPr>
          <w:lang w:val="en-US"/>
        </w:rPr>
        <w:t xml:space="preserve"> that</w:t>
      </w:r>
      <w:r w:rsidR="004C41DA">
        <w:rPr>
          <w:lang w:val="en-US"/>
        </w:rPr>
        <w:t xml:space="preserve"> </w:t>
      </w:r>
      <w:r w:rsidR="004C41DA" w:rsidRPr="004C41DA">
        <w:rPr>
          <w:i/>
          <w:lang w:val="en-US"/>
        </w:rPr>
        <w:t>“The simultaneous application of two ind</w:t>
      </w:r>
      <w:r w:rsidR="004C41DA" w:rsidRPr="004C41DA">
        <w:rPr>
          <w:i/>
          <w:lang w:val="en-US"/>
        </w:rPr>
        <w:t>e</w:t>
      </w:r>
      <w:r w:rsidR="004C41DA" w:rsidRPr="004C41DA">
        <w:rPr>
          <w:i/>
          <w:lang w:val="en-US"/>
        </w:rPr>
        <w:t>pendent low frequency hazards is considered as unreasonable.”</w:t>
      </w:r>
    </w:p>
    <w:p w:rsidR="003B51C2" w:rsidRDefault="003B51C2" w:rsidP="00135D4D">
      <w:pPr>
        <w:rPr>
          <w:lang w:val="en-US"/>
        </w:rPr>
      </w:pPr>
    </w:p>
    <w:p w:rsidR="003520F7" w:rsidRDefault="003520F7" w:rsidP="003520F7">
      <w:pPr>
        <w:rPr>
          <w:lang w:val="en-US"/>
        </w:rPr>
      </w:pPr>
      <w:r>
        <w:rPr>
          <w:lang w:val="en-US"/>
        </w:rPr>
        <w:t xml:space="preserve">Based on this guidance two types of coincident hazards </w:t>
      </w:r>
      <w:r w:rsidR="004C69FD">
        <w:rPr>
          <w:lang w:val="en-US"/>
        </w:rPr>
        <w:t>may be</w:t>
      </w:r>
      <w:r w:rsidR="00601EA7">
        <w:rPr>
          <w:lang w:val="en-US"/>
        </w:rPr>
        <w:t xml:space="preserve"> discerned:</w:t>
      </w:r>
    </w:p>
    <w:p w:rsidR="003B51C2" w:rsidRDefault="003520F7" w:rsidP="00860D1D">
      <w:pPr>
        <w:numPr>
          <w:ilvl w:val="0"/>
          <w:numId w:val="49"/>
        </w:numPr>
        <w:rPr>
          <w:lang w:val="en-US"/>
        </w:rPr>
      </w:pPr>
      <w:r w:rsidRPr="004C41DA">
        <w:rPr>
          <w:b/>
          <w:i/>
          <w:lang w:val="en-US"/>
        </w:rPr>
        <w:t xml:space="preserve">Frequent phenomena which pose similar demands to the plant: </w:t>
      </w:r>
      <w:r w:rsidR="008C134D">
        <w:rPr>
          <w:lang w:val="en-US"/>
        </w:rPr>
        <w:t>i</w:t>
      </w:r>
      <w:r w:rsidR="003B51C2">
        <w:rPr>
          <w:lang w:val="en-US"/>
        </w:rPr>
        <w:t>n this context vibratory ground m</w:t>
      </w:r>
      <w:r w:rsidR="003B51C2">
        <w:rPr>
          <w:lang w:val="en-US"/>
        </w:rPr>
        <w:t>o</w:t>
      </w:r>
      <w:r w:rsidR="003B51C2">
        <w:rPr>
          <w:lang w:val="en-US"/>
        </w:rPr>
        <w:t>tion and other seismotectonic hazards are not regarded as “frequent</w:t>
      </w:r>
      <w:r w:rsidR="003B51C2">
        <w:rPr>
          <w:rStyle w:val="Appelnotedebasdep"/>
          <w:lang w:val="en-US"/>
        </w:rPr>
        <w:footnoteReference w:id="23"/>
      </w:r>
      <w:r w:rsidR="003B51C2">
        <w:rPr>
          <w:lang w:val="en-US"/>
        </w:rPr>
        <w:t>”</w:t>
      </w:r>
      <w:r w:rsidR="008C134D">
        <w:rPr>
          <w:lang w:val="en-US"/>
        </w:rPr>
        <w:t>;</w:t>
      </w:r>
      <w:r w:rsidR="008A139E">
        <w:rPr>
          <w:lang w:val="en-US"/>
        </w:rPr>
        <w:t xml:space="preserve"> </w:t>
      </w:r>
      <w:r w:rsidR="008C134D">
        <w:rPr>
          <w:lang w:val="en-US"/>
        </w:rPr>
        <w:t>t</w:t>
      </w:r>
      <w:r w:rsidR="003B51C2">
        <w:rPr>
          <w:lang w:val="en-US"/>
        </w:rPr>
        <w:t>he only “frequent” natural pheno</w:t>
      </w:r>
      <w:r w:rsidR="003B51C2">
        <w:rPr>
          <w:lang w:val="en-US"/>
        </w:rPr>
        <w:t>m</w:t>
      </w:r>
      <w:r w:rsidR="003B51C2">
        <w:rPr>
          <w:lang w:val="en-US"/>
        </w:rPr>
        <w:t>enon posing loads similar to those of vibratory ground motion is wind</w:t>
      </w:r>
      <w:r w:rsidR="00D96C0E">
        <w:rPr>
          <w:lang w:val="en-US"/>
        </w:rPr>
        <w:t xml:space="preserve"> (High wind, storm [N40])</w:t>
      </w:r>
      <w:r w:rsidR="008C134D">
        <w:rPr>
          <w:lang w:val="en-US"/>
        </w:rPr>
        <w:t>;</w:t>
      </w:r>
      <w:r w:rsidR="00D96C0E">
        <w:rPr>
          <w:lang w:val="en-US"/>
        </w:rPr>
        <w:t xml:space="preserve"> </w:t>
      </w:r>
      <w:r w:rsidR="008C134D">
        <w:rPr>
          <w:lang w:val="en-US"/>
        </w:rPr>
        <w:t>w</w:t>
      </w:r>
      <w:r w:rsidR="00D96C0E">
        <w:rPr>
          <w:lang w:val="en-US"/>
        </w:rPr>
        <w:t>ind loads are similar to horizontal ground acceleration induced by vibratory ground motion</w:t>
      </w:r>
      <w:r w:rsidR="008C134D">
        <w:rPr>
          <w:lang w:val="en-US"/>
        </w:rPr>
        <w:t>;</w:t>
      </w:r>
      <w:r w:rsidR="00D96C0E">
        <w:rPr>
          <w:lang w:val="en-US"/>
        </w:rPr>
        <w:t xml:space="preserve"> </w:t>
      </w:r>
      <w:r w:rsidR="008C134D">
        <w:rPr>
          <w:lang w:val="en-US"/>
        </w:rPr>
        <w:t>c</w:t>
      </w:r>
      <w:r>
        <w:rPr>
          <w:lang w:val="en-US"/>
        </w:rPr>
        <w:t>ombined effects of both phenomena, however, only apply to buildings and SSCs outside of buildings</w:t>
      </w:r>
      <w:r w:rsidR="008C134D">
        <w:rPr>
          <w:lang w:val="en-US"/>
        </w:rPr>
        <w:t>;</w:t>
      </w:r>
      <w:r>
        <w:rPr>
          <w:lang w:val="en-US"/>
        </w:rPr>
        <w:t xml:space="preserve"> ue to the short duration of earthquakes (seconds to minutes) </w:t>
      </w:r>
      <w:r w:rsidR="00D274BD">
        <w:rPr>
          <w:lang w:val="en-US"/>
        </w:rPr>
        <w:t xml:space="preserve">and the limited duration of high winds </w:t>
      </w:r>
      <w:r>
        <w:rPr>
          <w:lang w:val="en-US"/>
        </w:rPr>
        <w:t>the hazard combination will likely be screened out by its low probability</w:t>
      </w:r>
      <w:r w:rsidR="008C134D">
        <w:rPr>
          <w:lang w:val="en-US"/>
        </w:rPr>
        <w:t>;</w:t>
      </w:r>
    </w:p>
    <w:p w:rsidR="00D96C0E" w:rsidRDefault="00D274BD" w:rsidP="00860D1D">
      <w:pPr>
        <w:numPr>
          <w:ilvl w:val="0"/>
          <w:numId w:val="49"/>
        </w:numPr>
        <w:rPr>
          <w:lang w:val="en-US"/>
        </w:rPr>
      </w:pPr>
      <w:r>
        <w:rPr>
          <w:b/>
          <w:i/>
          <w:lang w:val="en-US"/>
        </w:rPr>
        <w:t>Event combinations leading to different demands to the plant</w:t>
      </w:r>
      <w:r w:rsidR="004C41DA" w:rsidRPr="004C41DA">
        <w:rPr>
          <w:b/>
          <w:i/>
          <w:lang w:val="en-US"/>
        </w:rPr>
        <w:t>:</w:t>
      </w:r>
      <w:r>
        <w:rPr>
          <w:b/>
          <w:i/>
          <w:lang w:val="en-US"/>
        </w:rPr>
        <w:t xml:space="preserve"> </w:t>
      </w:r>
      <w:r w:rsidR="008C134D">
        <w:rPr>
          <w:lang w:val="en-US"/>
        </w:rPr>
        <w:t>e</w:t>
      </w:r>
      <w:r w:rsidRPr="00B0314A">
        <w:rPr>
          <w:lang w:val="en-US"/>
        </w:rPr>
        <w:t>arthquakes are short</w:t>
      </w:r>
      <w:r w:rsidR="008C134D">
        <w:rPr>
          <w:lang w:val="en-US"/>
        </w:rPr>
        <w:t>;</w:t>
      </w:r>
      <w:r w:rsidR="00B0314A" w:rsidRPr="00B0314A">
        <w:rPr>
          <w:lang w:val="en-US"/>
        </w:rPr>
        <w:t xml:space="preserve"> </w:t>
      </w:r>
      <w:r w:rsidR="008C134D">
        <w:rPr>
          <w:lang w:val="en-US"/>
        </w:rPr>
        <w:t>h</w:t>
      </w:r>
      <w:r w:rsidR="00B0314A" w:rsidRPr="00B0314A">
        <w:rPr>
          <w:lang w:val="en-US"/>
        </w:rPr>
        <w:t xml:space="preserve">owever, the consequences of vibratory ground shaking and other seismotectonic incidents </w:t>
      </w:r>
      <w:r w:rsidR="00B0314A">
        <w:rPr>
          <w:lang w:val="en-US"/>
        </w:rPr>
        <w:t xml:space="preserve">on the plant and the SSCs relevant to safety </w:t>
      </w:r>
      <w:r w:rsidR="00B0314A" w:rsidRPr="00B0314A">
        <w:rPr>
          <w:lang w:val="en-US"/>
        </w:rPr>
        <w:t>may be long lasting</w:t>
      </w:r>
      <w:r w:rsidR="008C134D">
        <w:rPr>
          <w:lang w:val="en-US"/>
        </w:rPr>
        <w:t>;</w:t>
      </w:r>
      <w:r w:rsidR="00B0314A">
        <w:rPr>
          <w:lang w:val="en-US"/>
        </w:rPr>
        <w:t xml:space="preserve"> </w:t>
      </w:r>
      <w:r w:rsidR="008C134D">
        <w:rPr>
          <w:lang w:val="en-US"/>
        </w:rPr>
        <w:t>t</w:t>
      </w:r>
      <w:r w:rsidR="00B0314A">
        <w:rPr>
          <w:lang w:val="en-US"/>
        </w:rPr>
        <w:t>he occurrence of independent natural events during the accident management or repair time subsequent to an earthquake is therefore significantly higher than the prob</w:t>
      </w:r>
      <w:r w:rsidR="00B0314A">
        <w:rPr>
          <w:lang w:val="en-US"/>
        </w:rPr>
        <w:t>a</w:t>
      </w:r>
      <w:r w:rsidR="00B0314A">
        <w:rPr>
          <w:lang w:val="en-US"/>
        </w:rPr>
        <w:t>bility of a temporal coincidence with the earthquake</w:t>
      </w:r>
      <w:r w:rsidR="008C134D">
        <w:rPr>
          <w:lang w:val="en-US"/>
        </w:rPr>
        <w:t>;</w:t>
      </w:r>
      <w:r w:rsidR="00B0314A">
        <w:rPr>
          <w:lang w:val="en-US"/>
        </w:rPr>
        <w:t xml:space="preserve"> </w:t>
      </w:r>
      <w:r w:rsidR="008C134D">
        <w:rPr>
          <w:lang w:val="en-US"/>
        </w:rPr>
        <w:t>a</w:t>
      </w:r>
      <w:r w:rsidR="00AD65C8">
        <w:rPr>
          <w:lang w:val="en-US"/>
        </w:rPr>
        <w:t>ssessment of the probability of hazard coniciden</w:t>
      </w:r>
      <w:r w:rsidR="00AD65C8">
        <w:rPr>
          <w:lang w:val="en-US"/>
        </w:rPr>
        <w:t>c</w:t>
      </w:r>
      <w:r w:rsidR="00AD65C8">
        <w:rPr>
          <w:lang w:val="en-US"/>
        </w:rPr>
        <w:t xml:space="preserve">es should consider the </w:t>
      </w:r>
      <w:r w:rsidR="00AD65C8" w:rsidRPr="00AD65C8">
        <w:rPr>
          <w:lang w:val="en-US"/>
        </w:rPr>
        <w:t xml:space="preserve">time </w:t>
      </w:r>
      <w:r w:rsidR="00AD65C8">
        <w:rPr>
          <w:lang w:val="en-US"/>
        </w:rPr>
        <w:t xml:space="preserve">required </w:t>
      </w:r>
      <w:r w:rsidR="00AD65C8" w:rsidRPr="00AD65C8">
        <w:rPr>
          <w:lang w:val="en-US"/>
        </w:rPr>
        <w:t>until full plant resilience is re</w:t>
      </w:r>
      <w:r w:rsidR="00AD65C8">
        <w:rPr>
          <w:lang w:val="en-US"/>
        </w:rPr>
        <w:t xml:space="preserve">gained </w:t>
      </w:r>
      <w:r w:rsidR="00AD65C8" w:rsidRPr="00AD65C8">
        <w:rPr>
          <w:lang w:val="en-US"/>
        </w:rPr>
        <w:t>again</w:t>
      </w:r>
      <w:r w:rsidR="00AD65C8">
        <w:rPr>
          <w:lang w:val="en-US"/>
        </w:rPr>
        <w:t xml:space="preserve"> after an earthquake</w:t>
      </w:r>
      <w:r w:rsidR="008C134D">
        <w:rPr>
          <w:lang w:val="en-US"/>
        </w:rPr>
        <w:t>;</w:t>
      </w:r>
      <w:r w:rsidR="00AD65C8" w:rsidRPr="00AD65C8">
        <w:rPr>
          <w:lang w:val="en-US"/>
        </w:rPr>
        <w:t xml:space="preserve"> </w:t>
      </w:r>
      <w:r w:rsidR="008C134D">
        <w:rPr>
          <w:lang w:val="en-US"/>
        </w:rPr>
        <w:t>s</w:t>
      </w:r>
      <w:r w:rsidR="00B0314A">
        <w:rPr>
          <w:lang w:val="en-US"/>
        </w:rPr>
        <w:t>p</w:t>
      </w:r>
      <w:r w:rsidR="00B0314A">
        <w:rPr>
          <w:lang w:val="en-US"/>
        </w:rPr>
        <w:t>e</w:t>
      </w:r>
      <w:r w:rsidR="00B0314A">
        <w:rPr>
          <w:lang w:val="en-US"/>
        </w:rPr>
        <w:t>cial care should be taken to consider earthquake damage to SSCs which protect against other hazards and which are not designed to withstand seismic loads</w:t>
      </w:r>
      <w:r w:rsidR="008C134D">
        <w:rPr>
          <w:lang w:val="en-US"/>
        </w:rPr>
        <w:t>;</w:t>
      </w:r>
      <w:r w:rsidR="00B0314A">
        <w:rPr>
          <w:lang w:val="en-US"/>
        </w:rPr>
        <w:t xml:space="preserve"> </w:t>
      </w:r>
      <w:r w:rsidR="008C134D">
        <w:rPr>
          <w:lang w:val="en-US"/>
        </w:rPr>
        <w:t>e</w:t>
      </w:r>
      <w:r w:rsidR="00B0314A">
        <w:rPr>
          <w:lang w:val="en-US"/>
        </w:rPr>
        <w:t xml:space="preserve">xamples could be </w:t>
      </w:r>
      <w:r w:rsidR="0052660A">
        <w:rPr>
          <w:lang w:val="en-US"/>
        </w:rPr>
        <w:t xml:space="preserve">the </w:t>
      </w:r>
      <w:r w:rsidR="00B0314A">
        <w:rPr>
          <w:lang w:val="en-US"/>
        </w:rPr>
        <w:t>damage or bloc</w:t>
      </w:r>
      <w:r w:rsidR="00B0314A">
        <w:rPr>
          <w:lang w:val="en-US"/>
        </w:rPr>
        <w:t>k</w:t>
      </w:r>
      <w:r w:rsidR="0052660A">
        <w:rPr>
          <w:lang w:val="en-US"/>
        </w:rPr>
        <w:t>ing of</w:t>
      </w:r>
      <w:r w:rsidR="00B0314A">
        <w:rPr>
          <w:lang w:val="en-US"/>
        </w:rPr>
        <w:t xml:space="preserve"> parts of the sewer system </w:t>
      </w:r>
      <w:r w:rsidR="0052660A">
        <w:rPr>
          <w:lang w:val="en-US"/>
        </w:rPr>
        <w:t xml:space="preserve">leading to a loss of </w:t>
      </w:r>
      <w:r w:rsidR="00B0314A">
        <w:rPr>
          <w:lang w:val="en-US"/>
        </w:rPr>
        <w:t>protect</w:t>
      </w:r>
      <w:r w:rsidR="0052660A">
        <w:rPr>
          <w:lang w:val="en-US"/>
        </w:rPr>
        <w:t>ion</w:t>
      </w:r>
      <w:r w:rsidR="00B0314A">
        <w:rPr>
          <w:lang w:val="en-US"/>
        </w:rPr>
        <w:t xml:space="preserve"> against flash flooding</w:t>
      </w:r>
      <w:r w:rsidR="004C69FD">
        <w:rPr>
          <w:lang w:val="en-US"/>
        </w:rPr>
        <w:t xml:space="preserve"> [N8] or the unavail</w:t>
      </w:r>
      <w:r w:rsidR="004C69FD">
        <w:rPr>
          <w:lang w:val="en-US"/>
        </w:rPr>
        <w:t>a</w:t>
      </w:r>
      <w:r w:rsidR="004C69FD">
        <w:rPr>
          <w:lang w:val="en-US"/>
        </w:rPr>
        <w:t xml:space="preserve">bility of mobile equipment (e.g., for flood protection) due to damage </w:t>
      </w:r>
      <w:r w:rsidR="0052660A">
        <w:rPr>
          <w:lang w:val="en-US"/>
        </w:rPr>
        <w:t>of</w:t>
      </w:r>
      <w:r w:rsidR="004C69FD">
        <w:rPr>
          <w:lang w:val="en-US"/>
        </w:rPr>
        <w:t xml:space="preserve"> storage buildings</w:t>
      </w:r>
      <w:r w:rsidR="008C134D">
        <w:rPr>
          <w:lang w:val="en-US"/>
        </w:rPr>
        <w:t>;</w:t>
      </w:r>
    </w:p>
    <w:p w:rsidR="00DA6896" w:rsidRDefault="008C134D" w:rsidP="00647E8E">
      <w:pPr>
        <w:ind w:left="720"/>
        <w:rPr>
          <w:lang w:val="en-US"/>
        </w:rPr>
      </w:pPr>
      <w:r>
        <w:rPr>
          <w:lang w:val="en-US"/>
        </w:rPr>
        <w:t>s</w:t>
      </w:r>
      <w:r w:rsidR="00647E8E" w:rsidRPr="00647E8E">
        <w:rPr>
          <w:lang w:val="en-US"/>
        </w:rPr>
        <w:t xml:space="preserve">imilar considerations may be appropriate for the assessment of other hazards which </w:t>
      </w:r>
      <w:r w:rsidR="0052660A">
        <w:rPr>
          <w:lang w:val="en-US"/>
        </w:rPr>
        <w:t>causing</w:t>
      </w:r>
      <w:r w:rsidR="00647E8E" w:rsidRPr="00647E8E">
        <w:rPr>
          <w:lang w:val="en-US"/>
        </w:rPr>
        <w:t xml:space="preserve"> long-lasting consequences for the plants</w:t>
      </w:r>
      <w:r>
        <w:rPr>
          <w:lang w:val="en-US"/>
        </w:rPr>
        <w:t>;</w:t>
      </w:r>
      <w:r w:rsidR="0052660A">
        <w:rPr>
          <w:lang w:val="en-US"/>
        </w:rPr>
        <w:t xml:space="preserve"> </w:t>
      </w:r>
      <w:r>
        <w:rPr>
          <w:lang w:val="en-US"/>
        </w:rPr>
        <w:t>e</w:t>
      </w:r>
      <w:r w:rsidR="0052660A">
        <w:rPr>
          <w:lang w:val="en-US"/>
        </w:rPr>
        <w:t>xamples are H</w:t>
      </w:r>
      <w:r w:rsidR="00647E8E">
        <w:rPr>
          <w:lang w:val="en-US"/>
        </w:rPr>
        <w:t>igh wind</w:t>
      </w:r>
      <w:r w:rsidR="0052660A">
        <w:rPr>
          <w:lang w:val="en-US"/>
        </w:rPr>
        <w:t>, storm [N40]</w:t>
      </w:r>
      <w:r w:rsidR="00647E8E">
        <w:rPr>
          <w:lang w:val="en-US"/>
        </w:rPr>
        <w:t xml:space="preserve"> or icing</w:t>
      </w:r>
      <w:r w:rsidR="0052660A">
        <w:rPr>
          <w:lang w:val="en-US"/>
        </w:rPr>
        <w:t xml:space="preserve"> [N34]</w:t>
      </w:r>
      <w:r w:rsidR="00647E8E">
        <w:rPr>
          <w:lang w:val="en-US"/>
        </w:rPr>
        <w:t xml:space="preserve"> </w:t>
      </w:r>
      <w:r w:rsidR="0052660A">
        <w:rPr>
          <w:lang w:val="en-US"/>
        </w:rPr>
        <w:t xml:space="preserve">leading </w:t>
      </w:r>
      <w:r w:rsidR="00647E8E">
        <w:rPr>
          <w:lang w:val="en-US"/>
        </w:rPr>
        <w:t xml:space="preserve">to the damage of </w:t>
      </w:r>
      <w:r w:rsidR="0052660A">
        <w:rPr>
          <w:lang w:val="en-US"/>
        </w:rPr>
        <w:t>the electrical grid (LOOP)</w:t>
      </w:r>
      <w:r>
        <w:rPr>
          <w:lang w:val="en-US"/>
        </w:rPr>
        <w:t>;</w:t>
      </w:r>
      <w:r w:rsidR="0052660A">
        <w:rPr>
          <w:lang w:val="en-US"/>
        </w:rPr>
        <w:t xml:space="preserve"> </w:t>
      </w:r>
      <w:r>
        <w:rPr>
          <w:lang w:val="en-US"/>
        </w:rPr>
        <w:t>i</w:t>
      </w:r>
      <w:r w:rsidR="0052660A">
        <w:rPr>
          <w:lang w:val="en-US"/>
        </w:rPr>
        <w:t>n such cases the event duration should be defined by the repair time</w:t>
      </w:r>
      <w:r w:rsidR="00601EA7">
        <w:rPr>
          <w:lang w:val="en-US"/>
        </w:rPr>
        <w:t xml:space="preserve"> instead of the event duration.</w:t>
      </w:r>
    </w:p>
    <w:p w:rsidR="00EF7D4D" w:rsidRDefault="00DA6896" w:rsidP="00DA6896">
      <w:pPr>
        <w:pStyle w:val="Titre1"/>
      </w:pPr>
      <w:r>
        <w:rPr>
          <w:lang w:val="en-US"/>
        </w:rPr>
        <w:br w:type="page"/>
      </w:r>
      <w:bookmarkStart w:id="220" w:name="_Toc421719980"/>
      <w:bookmarkStart w:id="221" w:name="_Toc456011930"/>
      <w:r w:rsidR="00EF7D4D">
        <w:lastRenderedPageBreak/>
        <w:t>Conclusion and recommendations</w:t>
      </w:r>
      <w:bookmarkEnd w:id="220"/>
      <w:bookmarkEnd w:id="221"/>
    </w:p>
    <w:p w:rsidR="000D5D08" w:rsidRDefault="00942F8A" w:rsidP="00942F8A">
      <w:pPr>
        <w:rPr>
          <w:lang w:val="en-US"/>
        </w:rPr>
      </w:pPr>
      <w:r w:rsidRPr="00942F8A">
        <w:rPr>
          <w:lang w:val="en-US"/>
        </w:rPr>
        <w:t>T</w:t>
      </w:r>
      <w:r w:rsidR="003E6D52">
        <w:rPr>
          <w:lang w:val="en-US"/>
        </w:rPr>
        <w:t xml:space="preserve">his </w:t>
      </w:r>
      <w:r w:rsidRPr="00942F8A">
        <w:rPr>
          <w:lang w:val="en-US"/>
        </w:rPr>
        <w:t>report summarizes the collective experience of the partners involved in developing guidance on seismic ha</w:t>
      </w:r>
      <w:r w:rsidRPr="00942F8A">
        <w:rPr>
          <w:lang w:val="en-US"/>
        </w:rPr>
        <w:t>z</w:t>
      </w:r>
      <w:r w:rsidRPr="00942F8A">
        <w:rPr>
          <w:lang w:val="en-US"/>
        </w:rPr>
        <w:t>ard assessment. In order to stimulate progress in the reliability of hazard assessments the following recommend</w:t>
      </w:r>
      <w:r w:rsidRPr="00942F8A">
        <w:rPr>
          <w:lang w:val="en-US"/>
        </w:rPr>
        <w:t>a</w:t>
      </w:r>
      <w:r w:rsidR="00DA6896">
        <w:rPr>
          <w:lang w:val="en-US"/>
        </w:rPr>
        <w:t>tions are highlighted:</w:t>
      </w:r>
    </w:p>
    <w:p w:rsidR="00942F8A" w:rsidRDefault="00942F8A" w:rsidP="00942F8A">
      <w:pPr>
        <w:rPr>
          <w:lang w:val="en-US"/>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7762"/>
      </w:tblGrid>
      <w:tr w:rsidR="00942F8A" w:rsidRPr="00860D1D" w:rsidTr="00860D1D">
        <w:tc>
          <w:tcPr>
            <w:tcW w:w="9449" w:type="dxa"/>
            <w:gridSpan w:val="2"/>
            <w:shd w:val="clear" w:color="auto" w:fill="E7E6E6"/>
          </w:tcPr>
          <w:p w:rsidR="00942F8A" w:rsidRPr="00860D1D" w:rsidRDefault="00942F8A" w:rsidP="00860D1D">
            <w:pPr>
              <w:spacing w:before="120" w:after="240"/>
              <w:jc w:val="left"/>
              <w:rPr>
                <w:b/>
                <w:lang w:val="en-US"/>
              </w:rPr>
            </w:pPr>
            <w:r w:rsidRPr="00860D1D">
              <w:rPr>
                <w:b/>
                <w:lang w:val="en-US"/>
              </w:rPr>
              <w:t xml:space="preserve">Database and </w:t>
            </w:r>
            <w:r w:rsidR="00866D26" w:rsidRPr="00860D1D">
              <w:rPr>
                <w:b/>
                <w:lang w:val="en-US"/>
              </w:rPr>
              <w:t xml:space="preserve">key </w:t>
            </w:r>
            <w:r w:rsidRPr="00860D1D">
              <w:rPr>
                <w:b/>
                <w:lang w:val="en-US"/>
              </w:rPr>
              <w:t xml:space="preserve">input </w:t>
            </w:r>
            <w:r w:rsidR="00866D26" w:rsidRPr="00860D1D">
              <w:rPr>
                <w:b/>
                <w:lang w:val="en-US"/>
              </w:rPr>
              <w:t xml:space="preserve">parameters </w:t>
            </w:r>
            <w:r w:rsidRPr="00860D1D">
              <w:rPr>
                <w:b/>
                <w:lang w:val="en-US"/>
              </w:rPr>
              <w:t>for hazard assessment</w:t>
            </w:r>
          </w:p>
        </w:tc>
      </w:tr>
      <w:tr w:rsidR="00942F8A" w:rsidRPr="00860D1D" w:rsidTr="00860D1D">
        <w:tc>
          <w:tcPr>
            <w:tcW w:w="1687" w:type="dxa"/>
            <w:tcBorders>
              <w:bottom w:val="nil"/>
            </w:tcBorders>
            <w:shd w:val="clear" w:color="auto" w:fill="auto"/>
          </w:tcPr>
          <w:p w:rsidR="00942F8A" w:rsidRPr="00860D1D" w:rsidRDefault="00E453CA" w:rsidP="00860D1D">
            <w:pPr>
              <w:spacing w:before="60" w:after="60"/>
              <w:jc w:val="left"/>
              <w:rPr>
                <w:b/>
                <w:lang w:val="en-US"/>
              </w:rPr>
            </w:pPr>
            <w:r w:rsidRPr="00860D1D">
              <w:rPr>
                <w:b/>
                <w:lang w:val="en-US"/>
              </w:rPr>
              <w:t>Seismotectonic model</w:t>
            </w:r>
          </w:p>
        </w:tc>
        <w:tc>
          <w:tcPr>
            <w:tcW w:w="7762" w:type="dxa"/>
            <w:tcBorders>
              <w:bottom w:val="nil"/>
            </w:tcBorders>
            <w:shd w:val="clear" w:color="auto" w:fill="auto"/>
          </w:tcPr>
          <w:p w:rsidR="008C3EA0" w:rsidRPr="00860D1D" w:rsidRDefault="00E453CA" w:rsidP="00860D1D">
            <w:pPr>
              <w:spacing w:before="60" w:after="60"/>
              <w:rPr>
                <w:lang w:val="en-US"/>
              </w:rPr>
            </w:pPr>
            <w:r w:rsidRPr="00860D1D">
              <w:rPr>
                <w:lang w:val="en-US"/>
              </w:rPr>
              <w:t>The construction of a well supported seismotectonic model is re</w:t>
            </w:r>
            <w:r w:rsidR="00766742" w:rsidRPr="00860D1D">
              <w:rPr>
                <w:lang w:val="en-US"/>
              </w:rPr>
              <w:t>g</w:t>
            </w:r>
            <w:r w:rsidRPr="00860D1D">
              <w:rPr>
                <w:lang w:val="en-US"/>
              </w:rPr>
              <w:t>arded as a key step in the seismic hazard assessment</w:t>
            </w:r>
            <w:r w:rsidR="00866D26" w:rsidRPr="00860D1D">
              <w:rPr>
                <w:lang w:val="en-US"/>
              </w:rPr>
              <w:t xml:space="preserve"> procedure. D</w:t>
            </w:r>
            <w:r w:rsidRPr="00860D1D">
              <w:rPr>
                <w:lang w:val="en-US"/>
              </w:rPr>
              <w:t>ecision</w:t>
            </w:r>
            <w:r w:rsidR="00766742" w:rsidRPr="00860D1D">
              <w:rPr>
                <w:lang w:val="en-US"/>
              </w:rPr>
              <w:t>s</w:t>
            </w:r>
            <w:r w:rsidRPr="00860D1D">
              <w:rPr>
                <w:lang w:val="en-US"/>
              </w:rPr>
              <w:t xml:space="preserve"> such as the selection of seismic sources</w:t>
            </w:r>
            <w:r w:rsidR="00766742" w:rsidRPr="00860D1D">
              <w:rPr>
                <w:lang w:val="en-US"/>
              </w:rPr>
              <w:t xml:space="preserve">, </w:t>
            </w:r>
            <w:r w:rsidRPr="00860D1D">
              <w:rPr>
                <w:lang w:val="en-US"/>
              </w:rPr>
              <w:t>characteri</w:t>
            </w:r>
            <w:r w:rsidR="00866D26" w:rsidRPr="00860D1D">
              <w:rPr>
                <w:lang w:val="en-US"/>
              </w:rPr>
              <w:t xml:space="preserve">zation </w:t>
            </w:r>
            <w:r w:rsidRPr="00860D1D">
              <w:rPr>
                <w:lang w:val="en-US"/>
              </w:rPr>
              <w:t>of active faults</w:t>
            </w:r>
            <w:r w:rsidR="00766742" w:rsidRPr="00860D1D">
              <w:rPr>
                <w:lang w:val="en-US"/>
              </w:rPr>
              <w:t>, and assessment of seismicity rates</w:t>
            </w:r>
            <w:r w:rsidRPr="00860D1D">
              <w:rPr>
                <w:lang w:val="en-US"/>
              </w:rPr>
              <w:t xml:space="preserve"> depend on this model. </w:t>
            </w:r>
          </w:p>
        </w:tc>
      </w:tr>
      <w:tr w:rsidR="00860D1D" w:rsidRPr="00860D1D" w:rsidTr="00860D1D">
        <w:tc>
          <w:tcPr>
            <w:tcW w:w="1687" w:type="dxa"/>
            <w:tcBorders>
              <w:top w:val="nil"/>
              <w:bottom w:val="single" w:sz="4" w:space="0" w:color="auto"/>
            </w:tcBorders>
            <w:shd w:val="clear" w:color="auto" w:fill="auto"/>
          </w:tcPr>
          <w:p w:rsidR="00C70DDE" w:rsidRPr="00860D1D" w:rsidRDefault="00C70DDE" w:rsidP="00860D1D">
            <w:pPr>
              <w:spacing w:before="60" w:after="60"/>
              <w:jc w:val="left"/>
              <w:rPr>
                <w:b/>
                <w:lang w:val="en-US"/>
              </w:rPr>
            </w:pPr>
          </w:p>
        </w:tc>
        <w:tc>
          <w:tcPr>
            <w:tcW w:w="7762" w:type="dxa"/>
            <w:tcBorders>
              <w:top w:val="nil"/>
              <w:bottom w:val="single" w:sz="4" w:space="0" w:color="auto"/>
            </w:tcBorders>
            <w:shd w:val="clear" w:color="auto" w:fill="FFF2CC"/>
          </w:tcPr>
          <w:p w:rsidR="00C70DDE" w:rsidRPr="00860D1D" w:rsidRDefault="00C70DDE" w:rsidP="00860D1D">
            <w:pPr>
              <w:spacing w:before="60" w:after="60"/>
              <w:rPr>
                <w:lang w:val="en-US"/>
              </w:rPr>
            </w:pPr>
            <w:r w:rsidRPr="00860D1D">
              <w:rPr>
                <w:b/>
                <w:lang w:val="en-US"/>
              </w:rPr>
              <w:t>It is recommended to regard the seismotectonic model as a theory of the Pliocene to Quaternary tectonic evolution of the region under consideration. Seismotectonic models solely derived from seismological data are regarded as outdated. Instead, models should be based on all geoscience data available in the region of interest noting that research activities on active tectonics, earthquake geology, space geodecy</w:t>
            </w:r>
            <w:r w:rsidR="00766742" w:rsidRPr="00860D1D">
              <w:rPr>
                <w:b/>
                <w:lang w:val="en-US"/>
              </w:rPr>
              <w:t>,</w:t>
            </w:r>
            <w:r w:rsidRPr="00860D1D">
              <w:rPr>
                <w:b/>
                <w:lang w:val="en-US"/>
              </w:rPr>
              <w:t xml:space="preserve"> and seismology i</w:t>
            </w:r>
            <w:r w:rsidRPr="00860D1D">
              <w:rPr>
                <w:b/>
                <w:lang w:val="en-US"/>
              </w:rPr>
              <w:t>n</w:t>
            </w:r>
            <w:r w:rsidRPr="00860D1D">
              <w:rPr>
                <w:b/>
                <w:lang w:val="en-US"/>
              </w:rPr>
              <w:t>creased exponentially in the last decade.</w:t>
            </w:r>
          </w:p>
        </w:tc>
      </w:tr>
      <w:tr w:rsidR="00942F8A" w:rsidRPr="00860D1D" w:rsidTr="00860D1D">
        <w:tc>
          <w:tcPr>
            <w:tcW w:w="1687" w:type="dxa"/>
            <w:tcBorders>
              <w:bottom w:val="nil"/>
            </w:tcBorders>
            <w:shd w:val="clear" w:color="auto" w:fill="auto"/>
          </w:tcPr>
          <w:p w:rsidR="00942F8A" w:rsidRPr="00860D1D" w:rsidRDefault="00E453CA" w:rsidP="00860D1D">
            <w:pPr>
              <w:spacing w:before="60" w:after="60"/>
              <w:jc w:val="left"/>
              <w:rPr>
                <w:b/>
                <w:lang w:val="en-US"/>
              </w:rPr>
            </w:pPr>
            <w:r w:rsidRPr="00860D1D">
              <w:rPr>
                <w:b/>
                <w:lang w:val="en-US"/>
              </w:rPr>
              <w:t>Earthquake data</w:t>
            </w:r>
          </w:p>
        </w:tc>
        <w:tc>
          <w:tcPr>
            <w:tcW w:w="7762" w:type="dxa"/>
            <w:tcBorders>
              <w:bottom w:val="nil"/>
            </w:tcBorders>
            <w:shd w:val="clear" w:color="auto" w:fill="auto"/>
          </w:tcPr>
          <w:p w:rsidR="00942F8A" w:rsidRPr="00860D1D" w:rsidRDefault="00E453CA" w:rsidP="008C134D">
            <w:pPr>
              <w:spacing w:before="60" w:after="60"/>
              <w:rPr>
                <w:lang w:val="en-US"/>
              </w:rPr>
            </w:pPr>
            <w:r w:rsidRPr="00860D1D">
              <w:rPr>
                <w:lang w:val="en-US"/>
              </w:rPr>
              <w:t xml:space="preserve">Completeness assessments of typical European earthquake catalogues performed with the Stepp Test and the TCEF method show that </w:t>
            </w:r>
            <w:r w:rsidR="006E6A5E" w:rsidRPr="00860D1D">
              <w:rPr>
                <w:lang w:val="en-US"/>
              </w:rPr>
              <w:t xml:space="preserve">records for earthquakes (including strong ones) are only complete for the last 300 - 500 years. </w:t>
            </w:r>
            <w:r w:rsidR="00C70DDE" w:rsidRPr="00860D1D">
              <w:rPr>
                <w:lang w:val="en-US"/>
              </w:rPr>
              <w:t xml:space="preserve">This limitation </w:t>
            </w:r>
            <w:r w:rsidR="00C17C20" w:rsidRPr="00860D1D">
              <w:rPr>
                <w:lang w:val="en-US"/>
              </w:rPr>
              <w:t xml:space="preserve">will </w:t>
            </w:r>
            <w:r w:rsidR="00C70DDE" w:rsidRPr="00860D1D">
              <w:rPr>
                <w:lang w:val="en-US"/>
              </w:rPr>
              <w:t>remain in spite of exten</w:t>
            </w:r>
            <w:r w:rsidR="00C70DDE" w:rsidRPr="00860D1D">
              <w:rPr>
                <w:lang w:val="en-US"/>
              </w:rPr>
              <w:t>d</w:t>
            </w:r>
            <w:r w:rsidR="00C70DDE" w:rsidRPr="00860D1D">
              <w:rPr>
                <w:lang w:val="en-US"/>
              </w:rPr>
              <w:t xml:space="preserve">ed efforts of historical earthquake research. </w:t>
            </w:r>
            <w:r w:rsidR="00C17C20" w:rsidRPr="00860D1D">
              <w:rPr>
                <w:lang w:val="en-US"/>
              </w:rPr>
              <w:t>The data row is too short to establish r</w:t>
            </w:r>
            <w:r w:rsidRPr="00860D1D">
              <w:rPr>
                <w:lang w:val="en-US"/>
              </w:rPr>
              <w:t xml:space="preserve">eliable recurrence interval for the strongest </w:t>
            </w:r>
            <w:r w:rsidR="00C17C20" w:rsidRPr="00860D1D">
              <w:rPr>
                <w:lang w:val="en-US"/>
              </w:rPr>
              <w:t xml:space="preserve">earthquakes </w:t>
            </w:r>
            <w:r w:rsidRPr="00860D1D">
              <w:rPr>
                <w:lang w:val="en-US"/>
              </w:rPr>
              <w:t>due to the rareness of these events</w:t>
            </w:r>
            <w:r w:rsidR="006E6A5E" w:rsidRPr="00860D1D">
              <w:rPr>
                <w:lang w:val="en-US"/>
              </w:rPr>
              <w:t>.</w:t>
            </w:r>
          </w:p>
        </w:tc>
      </w:tr>
      <w:tr w:rsidR="00860D1D" w:rsidRPr="00860D1D" w:rsidTr="00860D1D">
        <w:tc>
          <w:tcPr>
            <w:tcW w:w="1687" w:type="dxa"/>
            <w:tcBorders>
              <w:top w:val="nil"/>
              <w:bottom w:val="single" w:sz="4" w:space="0" w:color="auto"/>
            </w:tcBorders>
            <w:shd w:val="clear" w:color="auto" w:fill="auto"/>
          </w:tcPr>
          <w:p w:rsidR="00C70DDE" w:rsidRPr="00860D1D" w:rsidRDefault="00C70DDE" w:rsidP="00860D1D">
            <w:pPr>
              <w:spacing w:before="60" w:after="60"/>
              <w:jc w:val="left"/>
              <w:rPr>
                <w:b/>
                <w:lang w:val="en-US"/>
              </w:rPr>
            </w:pPr>
          </w:p>
        </w:tc>
        <w:tc>
          <w:tcPr>
            <w:tcW w:w="7762" w:type="dxa"/>
            <w:tcBorders>
              <w:top w:val="nil"/>
              <w:bottom w:val="single" w:sz="4" w:space="0" w:color="auto"/>
            </w:tcBorders>
            <w:shd w:val="clear" w:color="auto" w:fill="FFF2CC"/>
          </w:tcPr>
          <w:p w:rsidR="00C70DDE" w:rsidRPr="00860D1D" w:rsidRDefault="00C70DDE" w:rsidP="00860D1D">
            <w:pPr>
              <w:spacing w:before="60" w:after="60"/>
              <w:rPr>
                <w:lang w:val="en-US"/>
              </w:rPr>
            </w:pPr>
            <w:r w:rsidRPr="00860D1D">
              <w:rPr>
                <w:b/>
                <w:lang w:val="en-US"/>
              </w:rPr>
              <w:t>It is recommended to mitigate the outlined shortcoming of earthquake catalogues by systematic paleoseismological investigations to constrain the magnitudes and recurrence intervals of strong prehistorical earthquakes.</w:t>
            </w:r>
          </w:p>
        </w:tc>
      </w:tr>
      <w:tr w:rsidR="00942F8A" w:rsidRPr="00860D1D" w:rsidTr="00860D1D">
        <w:tc>
          <w:tcPr>
            <w:tcW w:w="1687" w:type="dxa"/>
            <w:tcBorders>
              <w:bottom w:val="nil"/>
            </w:tcBorders>
            <w:shd w:val="clear" w:color="auto" w:fill="auto"/>
          </w:tcPr>
          <w:p w:rsidR="00942F8A" w:rsidRPr="00860D1D" w:rsidRDefault="00B6288F" w:rsidP="00860D1D">
            <w:pPr>
              <w:spacing w:before="60" w:after="60"/>
              <w:jc w:val="left"/>
              <w:rPr>
                <w:b/>
                <w:lang w:val="en-US"/>
              </w:rPr>
            </w:pPr>
            <w:r w:rsidRPr="00860D1D">
              <w:rPr>
                <w:b/>
                <w:lang w:val="en-US"/>
              </w:rPr>
              <w:t>Active faults</w:t>
            </w:r>
          </w:p>
        </w:tc>
        <w:tc>
          <w:tcPr>
            <w:tcW w:w="7762" w:type="dxa"/>
            <w:tcBorders>
              <w:bottom w:val="nil"/>
            </w:tcBorders>
            <w:shd w:val="clear" w:color="auto" w:fill="auto"/>
          </w:tcPr>
          <w:p w:rsidR="006E6A5E" w:rsidRPr="00860D1D" w:rsidRDefault="00B6288F" w:rsidP="00860D1D">
            <w:pPr>
              <w:spacing w:before="60" w:after="60"/>
              <w:rPr>
                <w:lang w:val="en-US"/>
              </w:rPr>
            </w:pPr>
            <w:r w:rsidRPr="00860D1D">
              <w:rPr>
                <w:lang w:val="en-US"/>
              </w:rPr>
              <w:t>Earthquakes occur on faults. Most parts of Europe are intra-plate areas with slow or very slow faults producing earthquakes at recurrence times of 10³ to 10</w:t>
            </w:r>
            <w:r w:rsidRPr="00860D1D">
              <w:rPr>
                <w:vertAlign w:val="superscript"/>
                <w:lang w:val="en-US"/>
              </w:rPr>
              <w:t>5</w:t>
            </w:r>
            <w:r w:rsidRPr="00860D1D">
              <w:rPr>
                <w:lang w:val="en-US"/>
              </w:rPr>
              <w:t xml:space="preserve"> years, which are signif</w:t>
            </w:r>
            <w:r w:rsidRPr="00860D1D">
              <w:rPr>
                <w:lang w:val="en-US"/>
              </w:rPr>
              <w:t>i</w:t>
            </w:r>
            <w:r w:rsidRPr="00860D1D">
              <w:rPr>
                <w:lang w:val="en-US"/>
              </w:rPr>
              <w:t xml:space="preserve">cantly longer than the time covered by earthquake records. It is therefore very unlikely that all faults, which pose a potential threat, </w:t>
            </w:r>
            <w:r w:rsidR="00866D26" w:rsidRPr="00860D1D">
              <w:rPr>
                <w:lang w:val="en-US"/>
              </w:rPr>
              <w:t xml:space="preserve">are </w:t>
            </w:r>
            <w:r w:rsidRPr="00860D1D">
              <w:rPr>
                <w:lang w:val="en-US"/>
              </w:rPr>
              <w:t>reco</w:t>
            </w:r>
            <w:r w:rsidRPr="00860D1D">
              <w:rPr>
                <w:lang w:val="en-US"/>
              </w:rPr>
              <w:t>g</w:t>
            </w:r>
            <w:r w:rsidRPr="00860D1D">
              <w:rPr>
                <w:lang w:val="en-US"/>
              </w:rPr>
              <w:t>nized from analyzing earthquake record</w:t>
            </w:r>
            <w:r w:rsidR="003E6D52" w:rsidRPr="00860D1D">
              <w:rPr>
                <w:lang w:val="en-US"/>
              </w:rPr>
              <w:t>s</w:t>
            </w:r>
            <w:r w:rsidR="00DA6896">
              <w:rPr>
                <w:lang w:val="en-US"/>
              </w:rPr>
              <w:t>.</w:t>
            </w:r>
          </w:p>
        </w:tc>
      </w:tr>
      <w:tr w:rsidR="00860D1D" w:rsidRPr="00860D1D" w:rsidTr="00860D1D">
        <w:tc>
          <w:tcPr>
            <w:tcW w:w="1687" w:type="dxa"/>
            <w:tcBorders>
              <w:top w:val="nil"/>
              <w:bottom w:val="single" w:sz="4" w:space="0" w:color="auto"/>
            </w:tcBorders>
            <w:shd w:val="clear" w:color="auto" w:fill="auto"/>
          </w:tcPr>
          <w:p w:rsidR="00C70DDE" w:rsidRPr="00860D1D" w:rsidRDefault="00C70DDE" w:rsidP="00860D1D">
            <w:pPr>
              <w:spacing w:before="60" w:after="60"/>
              <w:jc w:val="left"/>
              <w:rPr>
                <w:b/>
                <w:lang w:val="en-US"/>
              </w:rPr>
            </w:pPr>
          </w:p>
        </w:tc>
        <w:tc>
          <w:tcPr>
            <w:tcW w:w="7762" w:type="dxa"/>
            <w:tcBorders>
              <w:top w:val="nil"/>
              <w:bottom w:val="single" w:sz="4" w:space="0" w:color="auto"/>
            </w:tcBorders>
            <w:shd w:val="clear" w:color="auto" w:fill="FFF2CC"/>
          </w:tcPr>
          <w:p w:rsidR="00C70DDE" w:rsidRPr="00860D1D" w:rsidRDefault="00C70DDE" w:rsidP="00860D1D">
            <w:pPr>
              <w:spacing w:before="60" w:after="60"/>
              <w:rPr>
                <w:lang w:val="en-US"/>
              </w:rPr>
            </w:pPr>
            <w:r w:rsidRPr="00860D1D">
              <w:rPr>
                <w:b/>
                <w:lang w:val="en-US"/>
              </w:rPr>
              <w:t>The epistemic uncertainties resulting from the inadequate time coverage of earthquake catalogues should be reduced by systematic fault mapping and the collection of data to locate and characterize active faults. A work flow of a graded approach for the identif</w:t>
            </w:r>
            <w:r w:rsidRPr="00860D1D">
              <w:rPr>
                <w:b/>
                <w:lang w:val="en-US"/>
              </w:rPr>
              <w:t>i</w:t>
            </w:r>
            <w:r w:rsidRPr="00860D1D">
              <w:rPr>
                <w:b/>
                <w:lang w:val="en-US"/>
              </w:rPr>
              <w:t>cation and assessment of active / capable faults in the near-region and region of a site is introduced in the current report.</w:t>
            </w:r>
          </w:p>
        </w:tc>
      </w:tr>
      <w:tr w:rsidR="00942F8A" w:rsidRPr="00860D1D" w:rsidTr="00860D1D">
        <w:tc>
          <w:tcPr>
            <w:tcW w:w="1687" w:type="dxa"/>
            <w:tcBorders>
              <w:bottom w:val="nil"/>
            </w:tcBorders>
            <w:shd w:val="clear" w:color="auto" w:fill="auto"/>
          </w:tcPr>
          <w:p w:rsidR="00942F8A" w:rsidRPr="00860D1D" w:rsidRDefault="006E6A5E" w:rsidP="00860D1D">
            <w:pPr>
              <w:spacing w:before="60" w:after="60"/>
              <w:jc w:val="left"/>
              <w:rPr>
                <w:b/>
                <w:lang w:val="en-US"/>
              </w:rPr>
            </w:pPr>
            <w:r w:rsidRPr="00860D1D">
              <w:rPr>
                <w:b/>
                <w:lang w:val="en-US"/>
              </w:rPr>
              <w:t>Active fault cat</w:t>
            </w:r>
            <w:r w:rsidRPr="00860D1D">
              <w:rPr>
                <w:b/>
                <w:lang w:val="en-US"/>
              </w:rPr>
              <w:t>a</w:t>
            </w:r>
            <w:r w:rsidRPr="00860D1D">
              <w:rPr>
                <w:b/>
                <w:lang w:val="en-US"/>
              </w:rPr>
              <w:t>logues</w:t>
            </w:r>
          </w:p>
        </w:tc>
        <w:tc>
          <w:tcPr>
            <w:tcW w:w="7762" w:type="dxa"/>
            <w:tcBorders>
              <w:bottom w:val="nil"/>
            </w:tcBorders>
            <w:shd w:val="clear" w:color="auto" w:fill="auto"/>
          </w:tcPr>
          <w:p w:rsidR="00627432" w:rsidRPr="00860D1D" w:rsidRDefault="008C3EA0" w:rsidP="00860D1D">
            <w:pPr>
              <w:spacing w:before="60" w:after="60"/>
              <w:rPr>
                <w:lang w:val="en-US"/>
              </w:rPr>
            </w:pPr>
            <w:r w:rsidRPr="00860D1D">
              <w:rPr>
                <w:lang w:val="en-US"/>
              </w:rPr>
              <w:t>C</w:t>
            </w:r>
            <w:r w:rsidR="00627432" w:rsidRPr="00860D1D">
              <w:rPr>
                <w:lang w:val="en-US"/>
              </w:rPr>
              <w:t xml:space="preserve">omprehensive </w:t>
            </w:r>
            <w:r w:rsidRPr="00860D1D">
              <w:rPr>
                <w:lang w:val="en-US"/>
              </w:rPr>
              <w:t xml:space="preserve">active fault catalogues are currently neither available at a European scale nor for many EU member states. </w:t>
            </w:r>
            <w:r w:rsidR="00547BBE" w:rsidRPr="00860D1D">
              <w:rPr>
                <w:lang w:val="en-US"/>
              </w:rPr>
              <w:t>The a</w:t>
            </w:r>
            <w:r w:rsidRPr="00860D1D">
              <w:rPr>
                <w:lang w:val="en-US"/>
              </w:rPr>
              <w:t xml:space="preserve">vailable </w:t>
            </w:r>
            <w:r w:rsidR="00547BBE" w:rsidRPr="00860D1D">
              <w:rPr>
                <w:lang w:val="en-US"/>
              </w:rPr>
              <w:t>catalogu</w:t>
            </w:r>
            <w:r w:rsidRPr="00860D1D">
              <w:rPr>
                <w:lang w:val="en-US"/>
              </w:rPr>
              <w:t xml:space="preserve">es do not </w:t>
            </w:r>
            <w:r w:rsidR="00DA6896">
              <w:rPr>
                <w:lang w:val="en-US"/>
              </w:rPr>
              <w:t xml:space="preserve">share common quality </w:t>
            </w:r>
            <w:r w:rsidR="00DA6896">
              <w:rPr>
                <w:lang w:val="en-US"/>
              </w:rPr>
              <w:lastRenderedPageBreak/>
              <w:t>standards.</w:t>
            </w:r>
          </w:p>
          <w:p w:rsidR="00942F8A" w:rsidRPr="00860D1D" w:rsidRDefault="00627432" w:rsidP="00860D1D">
            <w:pPr>
              <w:spacing w:before="60" w:after="60"/>
              <w:rPr>
                <w:lang w:val="en-US"/>
              </w:rPr>
            </w:pPr>
            <w:r w:rsidRPr="00860D1D">
              <w:rPr>
                <w:lang w:val="en-US"/>
              </w:rPr>
              <w:t>Comparison</w:t>
            </w:r>
            <w:r w:rsidR="00547BBE" w:rsidRPr="00860D1D">
              <w:rPr>
                <w:lang w:val="en-US"/>
              </w:rPr>
              <w:t xml:space="preserve"> of the</w:t>
            </w:r>
            <w:r w:rsidRPr="00860D1D">
              <w:rPr>
                <w:lang w:val="en-US"/>
              </w:rPr>
              <w:t xml:space="preserve"> </w:t>
            </w:r>
            <w:r w:rsidR="00547BBE" w:rsidRPr="00860D1D">
              <w:rPr>
                <w:lang w:val="en-US"/>
              </w:rPr>
              <w:t>few available European datasets with</w:t>
            </w:r>
            <w:r w:rsidRPr="00860D1D">
              <w:rPr>
                <w:lang w:val="en-US"/>
              </w:rPr>
              <w:t xml:space="preserve"> active fault databases in the U.S. and Japan </w:t>
            </w:r>
            <w:r w:rsidR="008A139E">
              <w:rPr>
                <w:lang w:val="en-US"/>
              </w:rPr>
              <w:t xml:space="preserve">shows </w:t>
            </w:r>
            <w:r w:rsidR="00547BBE" w:rsidRPr="00860D1D">
              <w:rPr>
                <w:lang w:val="en-US"/>
              </w:rPr>
              <w:t>that the latter</w:t>
            </w:r>
            <w:r w:rsidRPr="00860D1D">
              <w:rPr>
                <w:lang w:val="en-US"/>
              </w:rPr>
              <w:t xml:space="preserve"> fulfill significantly higher quality standards with respect to co</w:t>
            </w:r>
            <w:r w:rsidRPr="00860D1D">
              <w:rPr>
                <w:lang w:val="en-US"/>
              </w:rPr>
              <w:t>m</w:t>
            </w:r>
            <w:r w:rsidRPr="00860D1D">
              <w:rPr>
                <w:lang w:val="en-US"/>
              </w:rPr>
              <w:t xml:space="preserve">pleteness and </w:t>
            </w:r>
            <w:r w:rsidR="00547BBE" w:rsidRPr="00860D1D">
              <w:rPr>
                <w:lang w:val="en-US"/>
              </w:rPr>
              <w:t>reliability</w:t>
            </w:r>
            <w:r w:rsidR="00DA6896">
              <w:rPr>
                <w:lang w:val="en-US"/>
              </w:rPr>
              <w:t>.</w:t>
            </w:r>
          </w:p>
        </w:tc>
      </w:tr>
      <w:tr w:rsidR="00860D1D" w:rsidRPr="00860D1D" w:rsidTr="00860D1D">
        <w:tc>
          <w:tcPr>
            <w:tcW w:w="1687" w:type="dxa"/>
            <w:tcBorders>
              <w:top w:val="nil"/>
            </w:tcBorders>
            <w:shd w:val="clear" w:color="auto" w:fill="auto"/>
          </w:tcPr>
          <w:p w:rsidR="00C70DDE" w:rsidRPr="00860D1D" w:rsidRDefault="00C70DDE" w:rsidP="00860D1D">
            <w:pPr>
              <w:spacing w:before="60" w:after="60"/>
              <w:jc w:val="left"/>
              <w:rPr>
                <w:b/>
                <w:lang w:val="en-US"/>
              </w:rPr>
            </w:pPr>
          </w:p>
        </w:tc>
        <w:tc>
          <w:tcPr>
            <w:tcW w:w="7762" w:type="dxa"/>
            <w:tcBorders>
              <w:top w:val="nil"/>
            </w:tcBorders>
            <w:shd w:val="clear" w:color="auto" w:fill="FFF2CC"/>
          </w:tcPr>
          <w:p w:rsidR="00C70DDE" w:rsidRPr="00860D1D" w:rsidRDefault="003E6D52" w:rsidP="00860D1D">
            <w:pPr>
              <w:spacing w:before="60" w:after="60"/>
              <w:rPr>
                <w:b/>
                <w:lang w:val="en-US"/>
              </w:rPr>
            </w:pPr>
            <w:r w:rsidRPr="00860D1D">
              <w:rPr>
                <w:b/>
                <w:lang w:val="en-US"/>
              </w:rPr>
              <w:t>The development of active fault data is a long-term perspective. The required time and research effords can hardly be reconciled with the schedules of a PSA. It is recommen</w:t>
            </w:r>
            <w:r w:rsidRPr="00860D1D">
              <w:rPr>
                <w:b/>
                <w:lang w:val="en-US"/>
              </w:rPr>
              <w:t>d</w:t>
            </w:r>
            <w:r w:rsidRPr="00860D1D">
              <w:rPr>
                <w:b/>
                <w:lang w:val="en-US"/>
              </w:rPr>
              <w:t xml:space="preserve">ed to implement research activities on international or European level to establish a comprehensive uniform </w:t>
            </w:r>
            <w:r w:rsidR="00C17C20" w:rsidRPr="00860D1D">
              <w:rPr>
                <w:b/>
                <w:lang w:val="en-US"/>
              </w:rPr>
              <w:t xml:space="preserve">active fault </w:t>
            </w:r>
            <w:r w:rsidRPr="00860D1D">
              <w:rPr>
                <w:b/>
                <w:lang w:val="en-US"/>
              </w:rPr>
              <w:t xml:space="preserve">database </w:t>
            </w:r>
            <w:r w:rsidR="00C17C20" w:rsidRPr="00860D1D">
              <w:rPr>
                <w:b/>
                <w:lang w:val="en-US"/>
              </w:rPr>
              <w:t xml:space="preserve">for regions around NPPs </w:t>
            </w:r>
            <w:r w:rsidRPr="00860D1D">
              <w:rPr>
                <w:b/>
                <w:lang w:val="en-US"/>
              </w:rPr>
              <w:t>to be used for seismic hazard assessment in the framework of PSA and periodic safety reviews (PSR) as required by WENRA (2014).</w:t>
            </w:r>
          </w:p>
        </w:tc>
      </w:tr>
      <w:tr w:rsidR="00942F8A" w:rsidRPr="00860D1D" w:rsidTr="00860D1D">
        <w:tc>
          <w:tcPr>
            <w:tcW w:w="1687" w:type="dxa"/>
            <w:tcBorders>
              <w:bottom w:val="single" w:sz="4" w:space="0" w:color="auto"/>
            </w:tcBorders>
            <w:shd w:val="clear" w:color="auto" w:fill="auto"/>
          </w:tcPr>
          <w:p w:rsidR="00942F8A" w:rsidRPr="00860D1D" w:rsidRDefault="00647733" w:rsidP="00860D1D">
            <w:pPr>
              <w:spacing w:before="60" w:after="60"/>
              <w:jc w:val="left"/>
              <w:rPr>
                <w:b/>
                <w:lang w:val="en-US"/>
              </w:rPr>
            </w:pPr>
            <w:r w:rsidRPr="00860D1D">
              <w:rPr>
                <w:b/>
                <w:lang w:val="en-US"/>
              </w:rPr>
              <w:t>Ground motion prediction equ</w:t>
            </w:r>
            <w:r w:rsidRPr="00860D1D">
              <w:rPr>
                <w:b/>
                <w:lang w:val="en-US"/>
              </w:rPr>
              <w:t>a</w:t>
            </w:r>
            <w:r w:rsidRPr="00860D1D">
              <w:rPr>
                <w:b/>
                <w:lang w:val="en-US"/>
              </w:rPr>
              <w:t>tions</w:t>
            </w:r>
          </w:p>
        </w:tc>
        <w:tc>
          <w:tcPr>
            <w:tcW w:w="7762" w:type="dxa"/>
            <w:tcBorders>
              <w:bottom w:val="single" w:sz="4" w:space="0" w:color="auto"/>
            </w:tcBorders>
            <w:shd w:val="clear" w:color="auto" w:fill="auto"/>
          </w:tcPr>
          <w:p w:rsidR="00647733" w:rsidRPr="00860D1D" w:rsidRDefault="00647733" w:rsidP="00860D1D">
            <w:pPr>
              <w:spacing w:before="60" w:after="60"/>
              <w:rPr>
                <w:lang w:val="en-US"/>
              </w:rPr>
            </w:pPr>
            <w:r w:rsidRPr="00860D1D">
              <w:rPr>
                <w:lang w:val="en-US"/>
              </w:rPr>
              <w:t xml:space="preserve">Ground motion prediction equations (GMPEs) are a very sensitive issue in seismic hazard assessment. Due to the sparsity of strong instrumental earthquakes in large parts of Europe virtually no ground motion records exist which can be used to derive empirical attenuation relations. These limitations may be overcome by the simulation of ground motion based on the modelling of fault rupture processes, seismic wave propagation, and site effects in the near future. </w:t>
            </w:r>
            <w:r w:rsidR="00C17C20" w:rsidRPr="00860D1D">
              <w:rPr>
                <w:lang w:val="en-US"/>
              </w:rPr>
              <w:t>Methods are currently developing.</w:t>
            </w:r>
          </w:p>
        </w:tc>
      </w:tr>
      <w:tr w:rsidR="00942F8A" w:rsidRPr="00860D1D" w:rsidTr="00860D1D">
        <w:tc>
          <w:tcPr>
            <w:tcW w:w="1687" w:type="dxa"/>
            <w:tcBorders>
              <w:bottom w:val="nil"/>
            </w:tcBorders>
            <w:shd w:val="clear" w:color="auto" w:fill="auto"/>
          </w:tcPr>
          <w:p w:rsidR="00942F8A" w:rsidRPr="00860D1D" w:rsidRDefault="00866D26" w:rsidP="00860D1D">
            <w:pPr>
              <w:spacing w:before="60" w:after="60"/>
              <w:jc w:val="left"/>
              <w:rPr>
                <w:b/>
                <w:lang w:val="en-US"/>
              </w:rPr>
            </w:pPr>
            <w:r w:rsidRPr="00860D1D">
              <w:rPr>
                <w:b/>
                <w:lang w:val="en-US"/>
              </w:rPr>
              <w:t>Maximum magn</w:t>
            </w:r>
            <w:r w:rsidRPr="00860D1D">
              <w:rPr>
                <w:b/>
                <w:lang w:val="en-US"/>
              </w:rPr>
              <w:t>i</w:t>
            </w:r>
            <w:r w:rsidRPr="00860D1D">
              <w:rPr>
                <w:b/>
                <w:lang w:val="en-US"/>
              </w:rPr>
              <w:t>tude M</w:t>
            </w:r>
            <w:r w:rsidRPr="00860D1D">
              <w:rPr>
                <w:b/>
                <w:vertAlign w:val="subscript"/>
                <w:lang w:val="en-US"/>
              </w:rPr>
              <w:t>max</w:t>
            </w:r>
          </w:p>
        </w:tc>
        <w:tc>
          <w:tcPr>
            <w:tcW w:w="7762" w:type="dxa"/>
            <w:tcBorders>
              <w:bottom w:val="nil"/>
            </w:tcBorders>
            <w:shd w:val="clear" w:color="auto" w:fill="auto"/>
          </w:tcPr>
          <w:p w:rsidR="00866D26" w:rsidRPr="00860D1D" w:rsidRDefault="00866D26" w:rsidP="00860D1D">
            <w:pPr>
              <w:spacing w:before="60" w:after="60"/>
              <w:rPr>
                <w:lang w:val="en-US"/>
              </w:rPr>
            </w:pPr>
            <w:r w:rsidRPr="00860D1D">
              <w:rPr>
                <w:lang w:val="en-US"/>
              </w:rPr>
              <w:t>Assessments of M</w:t>
            </w:r>
            <w:r w:rsidRPr="00860D1D">
              <w:rPr>
                <w:vertAlign w:val="subscript"/>
                <w:lang w:val="en-US"/>
              </w:rPr>
              <w:t>max</w:t>
            </w:r>
            <w:r w:rsidRPr="00860D1D">
              <w:rPr>
                <w:lang w:val="en-US"/>
              </w:rPr>
              <w:t xml:space="preserve"> are highly sensitive for ground motion hazard assessments. Recent r</w:t>
            </w:r>
            <w:r w:rsidRPr="00860D1D">
              <w:rPr>
                <w:lang w:val="en-US"/>
              </w:rPr>
              <w:t>e</w:t>
            </w:r>
            <w:r w:rsidRPr="00860D1D">
              <w:rPr>
                <w:lang w:val="en-US"/>
              </w:rPr>
              <w:t>search shows that it is not possible to derive reliable estimates of M</w:t>
            </w:r>
            <w:r w:rsidRPr="00860D1D">
              <w:rPr>
                <w:vertAlign w:val="subscript"/>
                <w:lang w:val="en-US"/>
              </w:rPr>
              <w:t>max</w:t>
            </w:r>
            <w:r w:rsidR="00DA6896">
              <w:rPr>
                <w:lang w:val="en-US"/>
              </w:rPr>
              <w:t xml:space="preserve"> from earthquake catalogues.</w:t>
            </w:r>
          </w:p>
        </w:tc>
      </w:tr>
      <w:tr w:rsidR="00860D1D" w:rsidRPr="00860D1D" w:rsidTr="00860D1D">
        <w:tc>
          <w:tcPr>
            <w:tcW w:w="1687" w:type="dxa"/>
            <w:tcBorders>
              <w:top w:val="nil"/>
            </w:tcBorders>
            <w:shd w:val="clear" w:color="auto" w:fill="auto"/>
          </w:tcPr>
          <w:p w:rsidR="00C70DDE" w:rsidRPr="00860D1D" w:rsidRDefault="00C70DDE" w:rsidP="00860D1D">
            <w:pPr>
              <w:spacing w:before="120" w:after="120"/>
              <w:jc w:val="left"/>
              <w:rPr>
                <w:b/>
                <w:lang w:val="en-US"/>
              </w:rPr>
            </w:pPr>
          </w:p>
        </w:tc>
        <w:tc>
          <w:tcPr>
            <w:tcW w:w="7762" w:type="dxa"/>
            <w:tcBorders>
              <w:top w:val="nil"/>
            </w:tcBorders>
            <w:shd w:val="clear" w:color="auto" w:fill="FFF2CC"/>
          </w:tcPr>
          <w:p w:rsidR="00C70DDE" w:rsidRPr="00860D1D" w:rsidRDefault="003E6D52" w:rsidP="00860D1D">
            <w:pPr>
              <w:spacing w:before="120" w:after="120"/>
              <w:rPr>
                <w:lang w:val="en-US"/>
              </w:rPr>
            </w:pPr>
            <w:r w:rsidRPr="00860D1D">
              <w:rPr>
                <w:b/>
                <w:lang w:val="en-US"/>
              </w:rPr>
              <w:t>It is recommended to derive estimates of M</w:t>
            </w:r>
            <w:r w:rsidRPr="00860D1D">
              <w:rPr>
                <w:b/>
                <w:vertAlign w:val="subscript"/>
                <w:lang w:val="en-US"/>
              </w:rPr>
              <w:t>max</w:t>
            </w:r>
            <w:r w:rsidRPr="00860D1D">
              <w:rPr>
                <w:b/>
                <w:lang w:val="en-US"/>
              </w:rPr>
              <w:t xml:space="preserve"> from geological data such as fault dime</w:t>
            </w:r>
            <w:r w:rsidRPr="00860D1D">
              <w:rPr>
                <w:b/>
                <w:lang w:val="en-US"/>
              </w:rPr>
              <w:t>n</w:t>
            </w:r>
            <w:r w:rsidRPr="00860D1D">
              <w:rPr>
                <w:b/>
                <w:lang w:val="en-US"/>
              </w:rPr>
              <w:t>sions and paleoseismological evidence.</w:t>
            </w:r>
          </w:p>
        </w:tc>
      </w:tr>
    </w:tbl>
    <w:p w:rsidR="00942F8A" w:rsidRDefault="00942F8A" w:rsidP="00942F8A">
      <w:pPr>
        <w:rPr>
          <w:lang w:val="en-US"/>
        </w:rPr>
      </w:pPr>
    </w:p>
    <w:p w:rsidR="00975D49" w:rsidRDefault="00975D49" w:rsidP="00942F8A">
      <w:pPr>
        <w:rPr>
          <w:lang w:val="en-US"/>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7762"/>
      </w:tblGrid>
      <w:tr w:rsidR="00866D26" w:rsidRPr="00860D1D" w:rsidTr="00860D1D">
        <w:tc>
          <w:tcPr>
            <w:tcW w:w="9449" w:type="dxa"/>
            <w:gridSpan w:val="2"/>
            <w:shd w:val="clear" w:color="auto" w:fill="E7E6E6"/>
          </w:tcPr>
          <w:p w:rsidR="00866D26" w:rsidRPr="00860D1D" w:rsidRDefault="00866D26" w:rsidP="00860D1D">
            <w:pPr>
              <w:spacing w:before="120" w:after="240"/>
              <w:jc w:val="left"/>
              <w:rPr>
                <w:b/>
                <w:lang w:val="en-US"/>
              </w:rPr>
            </w:pPr>
            <w:r w:rsidRPr="00860D1D">
              <w:rPr>
                <w:b/>
                <w:lang w:val="en-US"/>
              </w:rPr>
              <w:t>Methods commonly applied and key input parameters for hazard assessment</w:t>
            </w:r>
          </w:p>
        </w:tc>
      </w:tr>
      <w:tr w:rsidR="00866D26" w:rsidRPr="00860D1D" w:rsidTr="00860D1D">
        <w:tc>
          <w:tcPr>
            <w:tcW w:w="1687" w:type="dxa"/>
            <w:tcBorders>
              <w:bottom w:val="nil"/>
            </w:tcBorders>
            <w:shd w:val="clear" w:color="auto" w:fill="auto"/>
          </w:tcPr>
          <w:p w:rsidR="00866D26" w:rsidRPr="00860D1D" w:rsidRDefault="00866D26" w:rsidP="00860D1D">
            <w:pPr>
              <w:spacing w:before="120" w:after="120"/>
              <w:jc w:val="left"/>
              <w:rPr>
                <w:b/>
                <w:lang w:val="en-US"/>
              </w:rPr>
            </w:pPr>
            <w:r w:rsidRPr="00860D1D">
              <w:rPr>
                <w:b/>
                <w:lang w:val="en-US"/>
              </w:rPr>
              <w:t>PSHA</w:t>
            </w:r>
          </w:p>
          <w:p w:rsidR="00866D26" w:rsidRPr="00860D1D" w:rsidRDefault="00866D26" w:rsidP="00860D1D">
            <w:pPr>
              <w:spacing w:before="120" w:after="120"/>
              <w:jc w:val="left"/>
              <w:rPr>
                <w:b/>
                <w:lang w:val="en-US"/>
              </w:rPr>
            </w:pPr>
            <w:r w:rsidRPr="00860D1D">
              <w:rPr>
                <w:b/>
                <w:lang w:val="en-US"/>
              </w:rPr>
              <w:t>(Probabilistic Seismic Hazard Assessment)</w:t>
            </w:r>
          </w:p>
        </w:tc>
        <w:tc>
          <w:tcPr>
            <w:tcW w:w="7762" w:type="dxa"/>
            <w:tcBorders>
              <w:bottom w:val="nil"/>
            </w:tcBorders>
            <w:shd w:val="clear" w:color="auto" w:fill="auto"/>
          </w:tcPr>
          <w:p w:rsidR="00866D26" w:rsidRPr="00860D1D" w:rsidRDefault="0096643A" w:rsidP="00860D1D">
            <w:pPr>
              <w:spacing w:before="120" w:after="120"/>
              <w:rPr>
                <w:lang w:val="en-US"/>
              </w:rPr>
            </w:pPr>
            <w:r w:rsidRPr="00860D1D">
              <w:rPr>
                <w:lang w:val="en-US"/>
              </w:rPr>
              <w:t xml:space="preserve">PSHA is the most common method to assess vibratory ground motion hazards in Europe. </w:t>
            </w:r>
            <w:r w:rsidR="00CB4D11" w:rsidRPr="00860D1D">
              <w:rPr>
                <w:lang w:val="en-US"/>
              </w:rPr>
              <w:t xml:space="preserve">It is </w:t>
            </w:r>
            <w:r w:rsidRPr="00860D1D">
              <w:rPr>
                <w:lang w:val="en-US"/>
              </w:rPr>
              <w:t>well established and provides all input</w:t>
            </w:r>
            <w:r w:rsidR="000807DF" w:rsidRPr="00860D1D">
              <w:rPr>
                <w:lang w:val="en-US"/>
              </w:rPr>
              <w:t>s</w:t>
            </w:r>
            <w:r w:rsidRPr="00860D1D">
              <w:rPr>
                <w:lang w:val="en-US"/>
              </w:rPr>
              <w:t xml:space="preserve"> for PSA (i.e., </w:t>
            </w:r>
            <w:r w:rsidR="000807DF" w:rsidRPr="00860D1D">
              <w:rPr>
                <w:lang w:val="en-US"/>
              </w:rPr>
              <w:t>ground acceleration or spectral acce</w:t>
            </w:r>
            <w:r w:rsidR="000807DF" w:rsidRPr="00860D1D">
              <w:rPr>
                <w:lang w:val="en-US"/>
              </w:rPr>
              <w:t>l</w:t>
            </w:r>
            <w:r w:rsidR="000807DF" w:rsidRPr="00860D1D">
              <w:rPr>
                <w:lang w:val="en-US"/>
              </w:rPr>
              <w:t xml:space="preserve">eration values for </w:t>
            </w:r>
            <w:r w:rsidR="00FF4A34" w:rsidRPr="00860D1D">
              <w:rPr>
                <w:lang w:val="en-US"/>
              </w:rPr>
              <w:t xml:space="preserve">different annual </w:t>
            </w:r>
            <w:r w:rsidR="000807DF" w:rsidRPr="00860D1D">
              <w:rPr>
                <w:lang w:val="en-US"/>
              </w:rPr>
              <w:t xml:space="preserve">probabilities </w:t>
            </w:r>
            <w:r w:rsidR="00FF4A34" w:rsidRPr="00860D1D">
              <w:rPr>
                <w:lang w:val="en-US"/>
              </w:rPr>
              <w:t xml:space="preserve">and their </w:t>
            </w:r>
            <w:r w:rsidR="00CB4D11" w:rsidRPr="00860D1D">
              <w:rPr>
                <w:lang w:val="en-US"/>
              </w:rPr>
              <w:t>uncertainties</w:t>
            </w:r>
            <w:r w:rsidR="000807DF" w:rsidRPr="00860D1D">
              <w:rPr>
                <w:lang w:val="en-US"/>
              </w:rPr>
              <w:t xml:space="preserve">). </w:t>
            </w:r>
            <w:r w:rsidR="00CB4D11" w:rsidRPr="00860D1D">
              <w:rPr>
                <w:lang w:val="en-US"/>
              </w:rPr>
              <w:t>Formalized proc</w:t>
            </w:r>
            <w:r w:rsidR="00CB4D11" w:rsidRPr="00860D1D">
              <w:rPr>
                <w:lang w:val="en-US"/>
              </w:rPr>
              <w:t>e</w:t>
            </w:r>
            <w:r w:rsidR="00CB4D11" w:rsidRPr="00860D1D">
              <w:rPr>
                <w:lang w:val="en-US"/>
              </w:rPr>
              <w:t xml:space="preserve">dures exist for the </w:t>
            </w:r>
            <w:r w:rsidR="009A1423" w:rsidRPr="00860D1D">
              <w:rPr>
                <w:lang w:val="en-US"/>
              </w:rPr>
              <w:t>treatment</w:t>
            </w:r>
            <w:r w:rsidR="00CB4D11" w:rsidRPr="00860D1D">
              <w:rPr>
                <w:lang w:val="en-US"/>
              </w:rPr>
              <w:t xml:space="preserve"> of epistemic uncertainties (logic trees) and the use of expert judgement (“SSHAC levels”)</w:t>
            </w:r>
            <w:r w:rsidR="00DA6896">
              <w:rPr>
                <w:lang w:val="en-US"/>
              </w:rPr>
              <w:t>.</w:t>
            </w:r>
          </w:p>
          <w:p w:rsidR="009A1423" w:rsidRPr="00860D1D" w:rsidRDefault="009A1423" w:rsidP="00860D1D">
            <w:pPr>
              <w:spacing w:before="120" w:after="120"/>
              <w:rPr>
                <w:lang w:val="en-US"/>
              </w:rPr>
            </w:pPr>
            <w:r w:rsidRPr="00860D1D">
              <w:rPr>
                <w:lang w:val="en-US"/>
              </w:rPr>
              <w:t>For PSA some annual probabilities at 10</w:t>
            </w:r>
            <w:r w:rsidRPr="00860D1D">
              <w:rPr>
                <w:vertAlign w:val="superscript"/>
                <w:lang w:val="en-US"/>
              </w:rPr>
              <w:t>-4</w:t>
            </w:r>
            <w:r w:rsidR="00FF4A34" w:rsidRPr="00860D1D">
              <w:rPr>
                <w:lang w:val="en-US"/>
              </w:rPr>
              <w:t xml:space="preserve"> to 1</w:t>
            </w:r>
            <w:r w:rsidRPr="00860D1D">
              <w:rPr>
                <w:lang w:val="en-US"/>
              </w:rPr>
              <w:t>0</w:t>
            </w:r>
            <w:r w:rsidRPr="00860D1D">
              <w:rPr>
                <w:vertAlign w:val="superscript"/>
                <w:lang w:val="en-US"/>
              </w:rPr>
              <w:t>-6</w:t>
            </w:r>
            <w:r w:rsidRPr="00860D1D">
              <w:rPr>
                <w:lang w:val="en-US"/>
              </w:rPr>
              <w:t xml:space="preserve"> are needed (these values are consistent with LERF for internal events). Hazard estimates for such low exceedance probabilities are associated with large uncertainties, which is due to the fact that (a) the time coverage of earthquake records is short (</w:t>
            </w:r>
            <w:r w:rsidR="00C17C20" w:rsidRPr="00860D1D">
              <w:rPr>
                <w:lang w:val="en-US"/>
              </w:rPr>
              <w:t xml:space="preserve">few </w:t>
            </w:r>
            <w:r w:rsidRPr="00860D1D">
              <w:rPr>
                <w:lang w:val="en-US"/>
              </w:rPr>
              <w:t>10</w:t>
            </w:r>
            <w:r w:rsidR="00C17C20" w:rsidRPr="00860D1D">
              <w:rPr>
                <w:vertAlign w:val="superscript"/>
                <w:lang w:val="en-US"/>
              </w:rPr>
              <w:t>²</w:t>
            </w:r>
            <w:r w:rsidRPr="00860D1D">
              <w:rPr>
                <w:lang w:val="en-US"/>
              </w:rPr>
              <w:t xml:space="preserve"> years) and data need to be extrapolated over 2 to 4 orders of magnitude (10</w:t>
            </w:r>
            <w:r w:rsidR="00FF4A34" w:rsidRPr="00860D1D">
              <w:rPr>
                <w:vertAlign w:val="superscript"/>
                <w:lang w:val="en-US"/>
              </w:rPr>
              <w:t>4</w:t>
            </w:r>
            <w:r w:rsidRPr="00860D1D">
              <w:rPr>
                <w:lang w:val="en-US"/>
              </w:rPr>
              <w:t xml:space="preserve"> to 10</w:t>
            </w:r>
            <w:r w:rsidRPr="00860D1D">
              <w:rPr>
                <w:vertAlign w:val="superscript"/>
                <w:lang w:val="en-US"/>
              </w:rPr>
              <w:t>6</w:t>
            </w:r>
            <w:r w:rsidRPr="00860D1D">
              <w:rPr>
                <w:lang w:val="en-US"/>
              </w:rPr>
              <w:t xml:space="preserve"> years)</w:t>
            </w:r>
            <w:r w:rsidR="00FF4A34" w:rsidRPr="00860D1D">
              <w:rPr>
                <w:lang w:val="en-US"/>
              </w:rPr>
              <w:t>, and</w:t>
            </w:r>
            <w:r w:rsidRPr="00860D1D">
              <w:rPr>
                <w:lang w:val="en-US"/>
              </w:rPr>
              <w:t xml:space="preserve"> (b) complete and reliable data of active faults </w:t>
            </w:r>
            <w:r w:rsidR="00FF4A34" w:rsidRPr="00860D1D">
              <w:rPr>
                <w:lang w:val="en-US"/>
              </w:rPr>
              <w:lastRenderedPageBreak/>
              <w:t xml:space="preserve">and paleoseismicity </w:t>
            </w:r>
            <w:r w:rsidRPr="00860D1D">
              <w:rPr>
                <w:lang w:val="en-US"/>
              </w:rPr>
              <w:t>are only locally available and incomplete.</w:t>
            </w:r>
          </w:p>
        </w:tc>
      </w:tr>
      <w:tr w:rsidR="00860D1D" w:rsidRPr="00860D1D" w:rsidTr="00860D1D">
        <w:tc>
          <w:tcPr>
            <w:tcW w:w="1687" w:type="dxa"/>
            <w:tcBorders>
              <w:top w:val="nil"/>
            </w:tcBorders>
            <w:shd w:val="clear" w:color="auto" w:fill="auto"/>
          </w:tcPr>
          <w:p w:rsidR="00C70DDE" w:rsidRPr="00860D1D" w:rsidRDefault="00C70DDE" w:rsidP="00860D1D">
            <w:pPr>
              <w:spacing w:before="120" w:after="120"/>
              <w:jc w:val="left"/>
              <w:rPr>
                <w:b/>
                <w:lang w:val="en-US"/>
              </w:rPr>
            </w:pPr>
          </w:p>
        </w:tc>
        <w:tc>
          <w:tcPr>
            <w:tcW w:w="7762" w:type="dxa"/>
            <w:tcBorders>
              <w:top w:val="nil"/>
            </w:tcBorders>
            <w:shd w:val="clear" w:color="auto" w:fill="FFF2CC"/>
          </w:tcPr>
          <w:p w:rsidR="003E6D52" w:rsidRPr="00860D1D" w:rsidRDefault="003E6D52" w:rsidP="00860D1D">
            <w:pPr>
              <w:spacing w:before="120" w:after="120"/>
              <w:rPr>
                <w:b/>
                <w:lang w:val="en-US"/>
              </w:rPr>
            </w:pPr>
            <w:r w:rsidRPr="00860D1D">
              <w:rPr>
                <w:b/>
                <w:lang w:val="en-US"/>
              </w:rPr>
              <w:t xml:space="preserve">With respect to the reliability </w:t>
            </w:r>
            <w:r w:rsidR="00FE7EF6">
              <w:rPr>
                <w:b/>
                <w:lang w:val="en-US"/>
              </w:rPr>
              <w:t>of</w:t>
            </w:r>
            <w:r w:rsidRPr="00860D1D">
              <w:rPr>
                <w:b/>
                <w:lang w:val="en-US"/>
              </w:rPr>
              <w:t xml:space="preserve"> the assessment the following is recommended: </w:t>
            </w:r>
          </w:p>
          <w:p w:rsidR="003E6D52" w:rsidRPr="00860D1D" w:rsidRDefault="008C134D" w:rsidP="00860D1D">
            <w:pPr>
              <w:numPr>
                <w:ilvl w:val="0"/>
                <w:numId w:val="40"/>
              </w:numPr>
              <w:rPr>
                <w:b/>
                <w:lang w:val="en-US"/>
              </w:rPr>
            </w:pPr>
            <w:r>
              <w:rPr>
                <w:b/>
                <w:lang w:val="en-US"/>
              </w:rPr>
              <w:t>a</w:t>
            </w:r>
            <w:r w:rsidR="003E6D52" w:rsidRPr="00860D1D">
              <w:rPr>
                <w:b/>
                <w:lang w:val="en-US"/>
              </w:rPr>
              <w:t>ssessments should not be based on single expert opinions (SSHAC Level 1); i</w:t>
            </w:r>
            <w:r w:rsidR="003E6D52" w:rsidRPr="00860D1D">
              <w:rPr>
                <w:b/>
                <w:lang w:val="en-US"/>
              </w:rPr>
              <w:t>n</w:t>
            </w:r>
            <w:r w:rsidR="003E6D52" w:rsidRPr="00860D1D">
              <w:rPr>
                <w:b/>
                <w:lang w:val="en-US"/>
              </w:rPr>
              <w:t>dependence of experts (i.e., the ability of an expert to provide his/her own views and not those of their peers, sponsors, or agency) is a key issue;</w:t>
            </w:r>
          </w:p>
          <w:p w:rsidR="003E6D52" w:rsidRPr="00860D1D" w:rsidRDefault="003E6D52" w:rsidP="00860D1D">
            <w:pPr>
              <w:numPr>
                <w:ilvl w:val="0"/>
                <w:numId w:val="40"/>
              </w:numPr>
              <w:rPr>
                <w:b/>
                <w:lang w:val="en-US"/>
              </w:rPr>
            </w:pPr>
            <w:r w:rsidRPr="00860D1D">
              <w:rPr>
                <w:b/>
                <w:lang w:val="en-US"/>
              </w:rPr>
              <w:t>PSHA should be subjected to rigorous participatory peer review, including the period of data collection;</w:t>
            </w:r>
          </w:p>
          <w:p w:rsidR="003E6D52" w:rsidRPr="00860D1D" w:rsidRDefault="008C134D" w:rsidP="00860D1D">
            <w:pPr>
              <w:numPr>
                <w:ilvl w:val="0"/>
                <w:numId w:val="40"/>
              </w:numPr>
              <w:rPr>
                <w:b/>
                <w:lang w:val="en-US"/>
              </w:rPr>
            </w:pPr>
            <w:r>
              <w:rPr>
                <w:b/>
                <w:lang w:val="en-US"/>
              </w:rPr>
              <w:t>t</w:t>
            </w:r>
            <w:r w:rsidR="003E6D52" w:rsidRPr="00860D1D">
              <w:rPr>
                <w:b/>
                <w:lang w:val="en-US"/>
              </w:rPr>
              <w:t>he preferred approach should correspond to SSHAC Level 3 (application of SSHAC Level 4 in Swiss project PEGASOS turned ou</w:t>
            </w:r>
            <w:r w:rsidR="00C17C20" w:rsidRPr="00860D1D">
              <w:rPr>
                <w:b/>
                <w:lang w:val="en-US"/>
              </w:rPr>
              <w:t>t to be unduely time consu</w:t>
            </w:r>
            <w:r w:rsidR="00C17C20" w:rsidRPr="00860D1D">
              <w:rPr>
                <w:b/>
                <w:lang w:val="en-US"/>
              </w:rPr>
              <w:t>m</w:t>
            </w:r>
            <w:r w:rsidR="00C17C20" w:rsidRPr="00860D1D">
              <w:rPr>
                <w:b/>
                <w:lang w:val="en-US"/>
              </w:rPr>
              <w:t>ing).</w:t>
            </w:r>
          </w:p>
          <w:p w:rsidR="00C70DDE" w:rsidRPr="00860D1D" w:rsidRDefault="003E6D52" w:rsidP="00860D1D">
            <w:pPr>
              <w:spacing w:before="120" w:after="120"/>
              <w:rPr>
                <w:lang w:val="en-US"/>
              </w:rPr>
            </w:pPr>
            <w:r w:rsidRPr="00860D1D">
              <w:rPr>
                <w:b/>
                <w:lang w:val="en-US"/>
              </w:rPr>
              <w:t>The reliability of PSHA can only be increased by increasing the quality of input data</w:t>
            </w:r>
            <w:r w:rsidR="00C17C20" w:rsidRPr="00860D1D">
              <w:rPr>
                <w:b/>
                <w:lang w:val="en-US"/>
              </w:rPr>
              <w:t xml:space="preserve"> (see recommendations above)</w:t>
            </w:r>
            <w:r w:rsidR="00FE7EF6">
              <w:rPr>
                <w:b/>
                <w:lang w:val="en-US"/>
              </w:rPr>
              <w:t xml:space="preserve">. </w:t>
            </w:r>
            <w:r w:rsidRPr="00860D1D">
              <w:rPr>
                <w:b/>
                <w:lang w:val="en-US"/>
              </w:rPr>
              <w:t>SHA is therefore a long-term perspective requiring sufficient time for data collection.</w:t>
            </w:r>
          </w:p>
        </w:tc>
      </w:tr>
      <w:tr w:rsidR="00866D26" w:rsidRPr="00860D1D" w:rsidTr="00860D1D">
        <w:tc>
          <w:tcPr>
            <w:tcW w:w="1687" w:type="dxa"/>
            <w:shd w:val="clear" w:color="auto" w:fill="auto"/>
          </w:tcPr>
          <w:p w:rsidR="00FF4A34" w:rsidRPr="00860D1D" w:rsidRDefault="00FF4A34" w:rsidP="00860D1D">
            <w:pPr>
              <w:spacing w:before="120" w:after="120"/>
              <w:jc w:val="left"/>
              <w:rPr>
                <w:b/>
                <w:lang w:val="en-US"/>
              </w:rPr>
            </w:pPr>
            <w:r w:rsidRPr="00860D1D">
              <w:rPr>
                <w:b/>
                <w:lang w:val="en-US"/>
              </w:rPr>
              <w:t>DSHA</w:t>
            </w:r>
          </w:p>
          <w:p w:rsidR="00866D26" w:rsidRPr="00860D1D" w:rsidRDefault="00FF4A34" w:rsidP="00860D1D">
            <w:pPr>
              <w:spacing w:before="120" w:after="120"/>
              <w:jc w:val="left"/>
              <w:rPr>
                <w:b/>
                <w:lang w:val="en-US"/>
              </w:rPr>
            </w:pPr>
            <w:r w:rsidRPr="00860D1D">
              <w:rPr>
                <w:b/>
                <w:lang w:val="en-US"/>
              </w:rPr>
              <w:t>(Probabilistic Seismic Hazard Assessment)</w:t>
            </w:r>
          </w:p>
        </w:tc>
        <w:tc>
          <w:tcPr>
            <w:tcW w:w="7762" w:type="dxa"/>
            <w:shd w:val="clear" w:color="auto" w:fill="auto"/>
          </w:tcPr>
          <w:p w:rsidR="00866D26" w:rsidRPr="00860D1D" w:rsidRDefault="00FF4A34" w:rsidP="00860D1D">
            <w:pPr>
              <w:spacing w:before="120" w:after="120"/>
              <w:rPr>
                <w:lang w:val="en-US"/>
              </w:rPr>
            </w:pPr>
            <w:r w:rsidRPr="00860D1D">
              <w:rPr>
                <w:lang w:val="en-US"/>
              </w:rPr>
              <w:t>DSHA typically determines the maximum credible vibratory ground motion at a site. It does not provide annual probabilities of occurrences of ground motion amplitudes and the related uncertainties.</w:t>
            </w:r>
            <w:r w:rsidR="00F06059" w:rsidRPr="00860D1D">
              <w:rPr>
                <w:lang w:val="en-US"/>
              </w:rPr>
              <w:t xml:space="preserve"> However, DSHA can provide an estimate of the largest amplitude of vibratory ground motion to be expected at a site as an upper cutoff value for PSA and the assessment of DEC.</w:t>
            </w:r>
          </w:p>
        </w:tc>
      </w:tr>
    </w:tbl>
    <w:p w:rsidR="000D5D08" w:rsidRDefault="000D5D08" w:rsidP="000D5D08">
      <w:pPr>
        <w:rPr>
          <w:lang w:val="en-US"/>
        </w:rPr>
      </w:pPr>
    </w:p>
    <w:p w:rsidR="00975D49" w:rsidRDefault="00975D49" w:rsidP="000D5D08">
      <w:pPr>
        <w:rPr>
          <w:lang w:val="en-US"/>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7762"/>
      </w:tblGrid>
      <w:tr w:rsidR="005B6ECC" w:rsidRPr="00860D1D" w:rsidTr="00860D1D">
        <w:tc>
          <w:tcPr>
            <w:tcW w:w="9449" w:type="dxa"/>
            <w:gridSpan w:val="2"/>
            <w:shd w:val="clear" w:color="auto" w:fill="E7E6E6"/>
          </w:tcPr>
          <w:p w:rsidR="005B6ECC" w:rsidRPr="00860D1D" w:rsidRDefault="005B6ECC" w:rsidP="00860D1D">
            <w:pPr>
              <w:spacing w:before="120" w:after="240"/>
              <w:jc w:val="left"/>
              <w:rPr>
                <w:b/>
                <w:lang w:val="en-US"/>
              </w:rPr>
            </w:pPr>
            <w:r w:rsidRPr="00860D1D">
              <w:rPr>
                <w:b/>
                <w:lang w:val="en-US"/>
              </w:rPr>
              <w:t>Hazard combinations</w:t>
            </w:r>
          </w:p>
        </w:tc>
      </w:tr>
      <w:tr w:rsidR="005B6ECC" w:rsidRPr="00860D1D" w:rsidTr="00860D1D">
        <w:tc>
          <w:tcPr>
            <w:tcW w:w="1687" w:type="dxa"/>
            <w:shd w:val="clear" w:color="auto" w:fill="auto"/>
          </w:tcPr>
          <w:p w:rsidR="005B6ECC" w:rsidRPr="00860D1D" w:rsidRDefault="005B6ECC" w:rsidP="00860D1D">
            <w:pPr>
              <w:spacing w:before="120" w:after="120"/>
              <w:jc w:val="left"/>
              <w:rPr>
                <w:b/>
                <w:lang w:val="en-US"/>
              </w:rPr>
            </w:pPr>
            <w:r w:rsidRPr="00860D1D">
              <w:rPr>
                <w:b/>
                <w:lang w:val="en-US"/>
              </w:rPr>
              <w:t>Screening of correlated ha</w:t>
            </w:r>
            <w:r w:rsidRPr="00860D1D">
              <w:rPr>
                <w:b/>
                <w:lang w:val="en-US"/>
              </w:rPr>
              <w:t>z</w:t>
            </w:r>
            <w:r w:rsidRPr="00860D1D">
              <w:rPr>
                <w:b/>
                <w:lang w:val="en-US"/>
              </w:rPr>
              <w:t>ards</w:t>
            </w:r>
          </w:p>
        </w:tc>
        <w:tc>
          <w:tcPr>
            <w:tcW w:w="7762" w:type="dxa"/>
            <w:shd w:val="clear" w:color="auto" w:fill="auto"/>
          </w:tcPr>
          <w:p w:rsidR="005B6ECC" w:rsidRPr="00860D1D" w:rsidRDefault="005B6ECC" w:rsidP="00860D1D">
            <w:pPr>
              <w:spacing w:before="120" w:after="120"/>
              <w:rPr>
                <w:b/>
                <w:lang w:val="en-US"/>
              </w:rPr>
            </w:pPr>
            <w:r w:rsidRPr="00860D1D">
              <w:rPr>
                <w:lang w:val="en-US"/>
              </w:rPr>
              <w:t>Vibratory ground motion and fault capability are correlated with a large number of natural and man-made external hazards. The number of correlations can be significantly reduced by screening</w:t>
            </w:r>
            <w:r w:rsidR="00975D49" w:rsidRPr="00860D1D">
              <w:rPr>
                <w:lang w:val="en-US"/>
              </w:rPr>
              <w:t xml:space="preserve"> with screenin</w:t>
            </w:r>
            <w:r w:rsidR="008C134D">
              <w:rPr>
                <w:lang w:val="en-US"/>
              </w:rPr>
              <w:t>g</w:t>
            </w:r>
            <w:r w:rsidR="00975D49" w:rsidRPr="00860D1D">
              <w:rPr>
                <w:lang w:val="en-US"/>
              </w:rPr>
              <w:t>-out c</w:t>
            </w:r>
            <w:r w:rsidR="008C134D">
              <w:rPr>
                <w:lang w:val="en-US"/>
              </w:rPr>
              <w:t>r</w:t>
            </w:r>
            <w:r w:rsidR="00975D49" w:rsidRPr="00860D1D">
              <w:rPr>
                <w:lang w:val="en-US"/>
              </w:rPr>
              <w:t>iteria preferably based on demonstrating that incidents of certain types of hazards are physically impossible at the site.</w:t>
            </w:r>
          </w:p>
        </w:tc>
      </w:tr>
    </w:tbl>
    <w:p w:rsidR="00A12310" w:rsidRDefault="00A12310" w:rsidP="000D5D08">
      <w:pPr>
        <w:rPr>
          <w:lang w:val="en-US"/>
        </w:rPr>
      </w:pPr>
    </w:p>
    <w:p w:rsidR="00975D49" w:rsidRPr="00072F80" w:rsidRDefault="00975D49" w:rsidP="00072F80">
      <w:pPr>
        <w:rPr>
          <w:lang w:val="en-US"/>
        </w:rPr>
      </w:pPr>
    </w:p>
    <w:p w:rsidR="004B20F0" w:rsidRDefault="00C11B27" w:rsidP="004B20F0">
      <w:pPr>
        <w:pStyle w:val="Titre1"/>
      </w:pPr>
      <w:r>
        <w:br w:type="page"/>
      </w:r>
      <w:bookmarkStart w:id="222" w:name="_Toc456011931"/>
      <w:r w:rsidR="004B20F0">
        <w:lastRenderedPageBreak/>
        <w:t>List of tables</w:t>
      </w:r>
      <w:bookmarkEnd w:id="222"/>
    </w:p>
    <w:p w:rsidR="00C11B27" w:rsidRDefault="00C11B27" w:rsidP="00C11B27"/>
    <w:p w:rsidR="000E529B" w:rsidRDefault="00C11B27">
      <w:pPr>
        <w:pStyle w:val="Tabledesillustrations"/>
        <w:tabs>
          <w:tab w:val="left" w:pos="1080"/>
          <w:tab w:val="right" w:leader="dot" w:pos="9345"/>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56012025" w:history="1">
        <w:r w:rsidR="000E529B" w:rsidRPr="00DB6FF2">
          <w:rPr>
            <w:rStyle w:val="Lienhypertexte"/>
            <w:noProof/>
          </w:rPr>
          <w:t xml:space="preserve">Table 1. </w:t>
        </w:r>
        <w:r w:rsidR="000E529B">
          <w:rPr>
            <w:rFonts w:asciiTheme="minorHAnsi" w:eastAsiaTheme="minorEastAsia" w:hAnsiTheme="minorHAnsi" w:cstheme="minorBidi"/>
            <w:noProof/>
            <w:sz w:val="22"/>
            <w:szCs w:val="22"/>
          </w:rPr>
          <w:tab/>
        </w:r>
        <w:r w:rsidR="000E529B" w:rsidRPr="00DB6FF2">
          <w:rPr>
            <w:rStyle w:val="Lienhypertexte"/>
            <w:noProof/>
          </w:rPr>
          <w:t>List of seismotectonic hazards covered in the current document (from ASAMPSA_E D21.2). Explanation to columns: Dur.: duration of hazard phenomena classified as s-m (seconds to minutes), m-h (minutes to hours), h-d (hours to days), d-l (days and longer). P&amp;P: Hazard predictability and hazard progression: predictable (P), unpredictable (U), progressing rapidly (R) or gradually (G). Ref: references to international standards introducing the hazard type.</w:t>
        </w:r>
        <w:r w:rsidR="000E529B">
          <w:rPr>
            <w:noProof/>
            <w:webHidden/>
          </w:rPr>
          <w:tab/>
        </w:r>
        <w:r w:rsidR="000E529B">
          <w:rPr>
            <w:noProof/>
            <w:webHidden/>
          </w:rPr>
          <w:fldChar w:fldCharType="begin"/>
        </w:r>
        <w:r w:rsidR="000E529B">
          <w:rPr>
            <w:noProof/>
            <w:webHidden/>
          </w:rPr>
          <w:instrText xml:space="preserve"> PAGEREF _Toc456012025 \h </w:instrText>
        </w:r>
        <w:r w:rsidR="000E529B">
          <w:rPr>
            <w:noProof/>
            <w:webHidden/>
          </w:rPr>
        </w:r>
        <w:r w:rsidR="000E529B">
          <w:rPr>
            <w:noProof/>
            <w:webHidden/>
          </w:rPr>
          <w:fldChar w:fldCharType="separate"/>
        </w:r>
        <w:r w:rsidR="00173034">
          <w:rPr>
            <w:noProof/>
            <w:webHidden/>
          </w:rPr>
          <w:t>19</w:t>
        </w:r>
        <w:r w:rsidR="000E529B">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26" w:history="1">
        <w:r w:rsidRPr="00DB6FF2">
          <w:rPr>
            <w:rStyle w:val="Lienhypertexte"/>
            <w:noProof/>
          </w:rPr>
          <w:t>Table 2.  List of European earthquake catalogues with continent-wide coverage.</w:t>
        </w:r>
        <w:r>
          <w:rPr>
            <w:noProof/>
            <w:webHidden/>
          </w:rPr>
          <w:tab/>
        </w:r>
        <w:r>
          <w:rPr>
            <w:noProof/>
            <w:webHidden/>
          </w:rPr>
          <w:fldChar w:fldCharType="begin"/>
        </w:r>
        <w:r>
          <w:rPr>
            <w:noProof/>
            <w:webHidden/>
          </w:rPr>
          <w:instrText xml:space="preserve"> PAGEREF _Toc456012026 \h </w:instrText>
        </w:r>
        <w:r>
          <w:rPr>
            <w:noProof/>
            <w:webHidden/>
          </w:rPr>
        </w:r>
        <w:r>
          <w:rPr>
            <w:noProof/>
            <w:webHidden/>
          </w:rPr>
          <w:fldChar w:fldCharType="separate"/>
        </w:r>
        <w:r w:rsidR="00173034">
          <w:rPr>
            <w:noProof/>
            <w:webHidden/>
          </w:rPr>
          <w:t>42</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27" w:history="1">
        <w:r w:rsidRPr="00DB6FF2">
          <w:rPr>
            <w:rStyle w:val="Lienhypertexte"/>
            <w:noProof/>
          </w:rPr>
          <w:t>Table 3.  List of national earthquake catalogues of European countries.</w:t>
        </w:r>
        <w:r>
          <w:rPr>
            <w:noProof/>
            <w:webHidden/>
          </w:rPr>
          <w:tab/>
        </w:r>
        <w:r>
          <w:rPr>
            <w:noProof/>
            <w:webHidden/>
          </w:rPr>
          <w:fldChar w:fldCharType="begin"/>
        </w:r>
        <w:r>
          <w:rPr>
            <w:noProof/>
            <w:webHidden/>
          </w:rPr>
          <w:instrText xml:space="preserve"> PAGEREF _Toc456012027 \h </w:instrText>
        </w:r>
        <w:r>
          <w:rPr>
            <w:noProof/>
            <w:webHidden/>
          </w:rPr>
        </w:r>
        <w:r>
          <w:rPr>
            <w:noProof/>
            <w:webHidden/>
          </w:rPr>
          <w:fldChar w:fldCharType="separate"/>
        </w:r>
        <w:r w:rsidR="00173034">
          <w:rPr>
            <w:noProof/>
            <w:webHidden/>
          </w:rPr>
          <w:t>44</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28" w:history="1">
        <w:r w:rsidRPr="00DB6FF2">
          <w:rPr>
            <w:rStyle w:val="Lienhypertexte"/>
            <w:noProof/>
          </w:rPr>
          <w:t>Table 4.  List of earthquake catalogues focused on historical earthquake data.</w:t>
        </w:r>
        <w:r>
          <w:rPr>
            <w:noProof/>
            <w:webHidden/>
          </w:rPr>
          <w:tab/>
        </w:r>
        <w:r>
          <w:rPr>
            <w:noProof/>
            <w:webHidden/>
          </w:rPr>
          <w:fldChar w:fldCharType="begin"/>
        </w:r>
        <w:r>
          <w:rPr>
            <w:noProof/>
            <w:webHidden/>
          </w:rPr>
          <w:instrText xml:space="preserve"> PAGEREF _Toc456012028 \h </w:instrText>
        </w:r>
        <w:r>
          <w:rPr>
            <w:noProof/>
            <w:webHidden/>
          </w:rPr>
        </w:r>
        <w:r>
          <w:rPr>
            <w:noProof/>
            <w:webHidden/>
          </w:rPr>
          <w:fldChar w:fldCharType="separate"/>
        </w:r>
        <w:r w:rsidR="00173034">
          <w:rPr>
            <w:noProof/>
            <w:webHidden/>
          </w:rPr>
          <w:t>46</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29" w:history="1">
        <w:r w:rsidRPr="00DB6FF2">
          <w:rPr>
            <w:rStyle w:val="Lienhypertexte"/>
            <w:noProof/>
          </w:rPr>
          <w:t>Table 5.  List of moment tensor, earthquake mechanism and stress databases.</w:t>
        </w:r>
        <w:r>
          <w:rPr>
            <w:noProof/>
            <w:webHidden/>
          </w:rPr>
          <w:tab/>
        </w:r>
        <w:r>
          <w:rPr>
            <w:noProof/>
            <w:webHidden/>
          </w:rPr>
          <w:fldChar w:fldCharType="begin"/>
        </w:r>
        <w:r>
          <w:rPr>
            <w:noProof/>
            <w:webHidden/>
          </w:rPr>
          <w:instrText xml:space="preserve"> PAGEREF _Toc456012029 \h </w:instrText>
        </w:r>
        <w:r>
          <w:rPr>
            <w:noProof/>
            <w:webHidden/>
          </w:rPr>
        </w:r>
        <w:r>
          <w:rPr>
            <w:noProof/>
            <w:webHidden/>
          </w:rPr>
          <w:fldChar w:fldCharType="separate"/>
        </w:r>
        <w:r w:rsidR="00173034">
          <w:rPr>
            <w:noProof/>
            <w:webHidden/>
          </w:rPr>
          <w:t>49</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0" w:history="1">
        <w:r w:rsidRPr="00DB6FF2">
          <w:rPr>
            <w:rStyle w:val="Lienhypertexte"/>
            <w:noProof/>
          </w:rPr>
          <w:t>Table 6.  List of active and capable fault databases available for European countries.</w:t>
        </w:r>
        <w:r>
          <w:rPr>
            <w:noProof/>
            <w:webHidden/>
          </w:rPr>
          <w:tab/>
        </w:r>
        <w:r>
          <w:rPr>
            <w:noProof/>
            <w:webHidden/>
          </w:rPr>
          <w:fldChar w:fldCharType="begin"/>
        </w:r>
        <w:r>
          <w:rPr>
            <w:noProof/>
            <w:webHidden/>
          </w:rPr>
          <w:instrText xml:space="preserve"> PAGEREF _Toc456012030 \h </w:instrText>
        </w:r>
        <w:r>
          <w:rPr>
            <w:noProof/>
            <w:webHidden/>
          </w:rPr>
        </w:r>
        <w:r>
          <w:rPr>
            <w:noProof/>
            <w:webHidden/>
          </w:rPr>
          <w:fldChar w:fldCharType="separate"/>
        </w:r>
        <w:r w:rsidR="00173034">
          <w:rPr>
            <w:noProof/>
            <w:webHidden/>
          </w:rPr>
          <w:t>51</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1" w:history="1">
        <w:r w:rsidRPr="00DB6FF2">
          <w:rPr>
            <w:rStyle w:val="Lienhypertexte"/>
            <w:noProof/>
          </w:rPr>
          <w:t>Table 7.  Completeness intervals estimated from European earthquake catalogues using the Step Test and the TCEF method.  Data sources: EU: Grünthal et al., 2009; FI: and ES: see Table 3and Table 4 for reference (magnitude-intesnsity conversion after Mezcua et al., 2011); FR: Baumont &amp; Scotti, 2011; DE: Leydecker, 2011.</w:t>
        </w:r>
        <w:r>
          <w:rPr>
            <w:noProof/>
            <w:webHidden/>
          </w:rPr>
          <w:tab/>
        </w:r>
        <w:r>
          <w:rPr>
            <w:noProof/>
            <w:webHidden/>
          </w:rPr>
          <w:fldChar w:fldCharType="begin"/>
        </w:r>
        <w:r>
          <w:rPr>
            <w:noProof/>
            <w:webHidden/>
          </w:rPr>
          <w:instrText xml:space="preserve"> PAGEREF _Toc456012031 \h </w:instrText>
        </w:r>
        <w:r>
          <w:rPr>
            <w:noProof/>
            <w:webHidden/>
          </w:rPr>
        </w:r>
        <w:r>
          <w:rPr>
            <w:noProof/>
            <w:webHidden/>
          </w:rPr>
          <w:fldChar w:fldCharType="separate"/>
        </w:r>
        <w:r w:rsidR="00173034">
          <w:rPr>
            <w:noProof/>
            <w:webHidden/>
          </w:rPr>
          <w:t>57</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2" w:history="1">
        <w:r w:rsidRPr="00DB6FF2">
          <w:rPr>
            <w:rStyle w:val="Lienhypertexte"/>
            <w:noProof/>
          </w:rPr>
          <w:t>Table 8.  Examples of tectonic geomorphology studies using quantitative geomorphic indices to identify active and capable faults in non-aride regions.</w:t>
        </w:r>
        <w:r>
          <w:rPr>
            <w:noProof/>
            <w:webHidden/>
          </w:rPr>
          <w:tab/>
        </w:r>
        <w:r>
          <w:rPr>
            <w:noProof/>
            <w:webHidden/>
          </w:rPr>
          <w:fldChar w:fldCharType="begin"/>
        </w:r>
        <w:r>
          <w:rPr>
            <w:noProof/>
            <w:webHidden/>
          </w:rPr>
          <w:instrText xml:space="preserve"> PAGEREF _Toc456012032 \h </w:instrText>
        </w:r>
        <w:r>
          <w:rPr>
            <w:noProof/>
            <w:webHidden/>
          </w:rPr>
        </w:r>
        <w:r>
          <w:rPr>
            <w:noProof/>
            <w:webHidden/>
          </w:rPr>
          <w:fldChar w:fldCharType="separate"/>
        </w:r>
        <w:r w:rsidR="00173034">
          <w:rPr>
            <w:noProof/>
            <w:webHidden/>
          </w:rPr>
          <w:t>71</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3" w:history="1">
        <w:r w:rsidRPr="00DB6FF2">
          <w:rPr>
            <w:rStyle w:val="Lienhypertexte"/>
            <w:noProof/>
          </w:rPr>
          <w:t>Table 9.  Criteria for assessing faults as “active” or “extinct” (Mallard, 1991)</w:t>
        </w:r>
        <w:r>
          <w:rPr>
            <w:noProof/>
            <w:webHidden/>
          </w:rPr>
          <w:tab/>
        </w:r>
        <w:r>
          <w:rPr>
            <w:noProof/>
            <w:webHidden/>
          </w:rPr>
          <w:fldChar w:fldCharType="begin"/>
        </w:r>
        <w:r>
          <w:rPr>
            <w:noProof/>
            <w:webHidden/>
          </w:rPr>
          <w:instrText xml:space="preserve"> PAGEREF _Toc456012033 \h </w:instrText>
        </w:r>
        <w:r>
          <w:rPr>
            <w:noProof/>
            <w:webHidden/>
          </w:rPr>
        </w:r>
        <w:r>
          <w:rPr>
            <w:noProof/>
            <w:webHidden/>
          </w:rPr>
          <w:fldChar w:fldCharType="separate"/>
        </w:r>
        <w:r w:rsidR="00173034">
          <w:rPr>
            <w:noProof/>
            <w:webHidden/>
          </w:rPr>
          <w:t>73</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4" w:history="1">
        <w:r w:rsidRPr="00DB6FF2">
          <w:rPr>
            <w:rStyle w:val="Lienhypertexte"/>
            <w:noProof/>
          </w:rPr>
          <w:t>Table 10.  Definitions of the roles of experts in a PSHA project according to SSHAC Guidelines.</w:t>
        </w:r>
        <w:r>
          <w:rPr>
            <w:noProof/>
            <w:webHidden/>
          </w:rPr>
          <w:tab/>
        </w:r>
        <w:r>
          <w:rPr>
            <w:noProof/>
            <w:webHidden/>
          </w:rPr>
          <w:fldChar w:fldCharType="begin"/>
        </w:r>
        <w:r>
          <w:rPr>
            <w:noProof/>
            <w:webHidden/>
          </w:rPr>
          <w:instrText xml:space="preserve"> PAGEREF _Toc456012034 \h </w:instrText>
        </w:r>
        <w:r>
          <w:rPr>
            <w:noProof/>
            <w:webHidden/>
          </w:rPr>
        </w:r>
        <w:r>
          <w:rPr>
            <w:noProof/>
            <w:webHidden/>
          </w:rPr>
          <w:fldChar w:fldCharType="separate"/>
        </w:r>
        <w:r w:rsidR="00173034">
          <w:rPr>
            <w:noProof/>
            <w:webHidden/>
          </w:rPr>
          <w:t>101</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5" w:history="1">
        <w:r w:rsidRPr="00DB6FF2">
          <w:rPr>
            <w:rStyle w:val="Lienhypertexte"/>
            <w:noProof/>
          </w:rPr>
          <w:t>Table 11.  Summaries of the struture and content of SSHAC Level 1 to Level 4 PSHAs</w:t>
        </w:r>
        <w:r>
          <w:rPr>
            <w:noProof/>
            <w:webHidden/>
          </w:rPr>
          <w:tab/>
        </w:r>
        <w:r>
          <w:rPr>
            <w:noProof/>
            <w:webHidden/>
          </w:rPr>
          <w:fldChar w:fldCharType="begin"/>
        </w:r>
        <w:r>
          <w:rPr>
            <w:noProof/>
            <w:webHidden/>
          </w:rPr>
          <w:instrText xml:space="preserve"> PAGEREF _Toc456012035 \h </w:instrText>
        </w:r>
        <w:r>
          <w:rPr>
            <w:noProof/>
            <w:webHidden/>
          </w:rPr>
        </w:r>
        <w:r>
          <w:rPr>
            <w:noProof/>
            <w:webHidden/>
          </w:rPr>
          <w:fldChar w:fldCharType="separate"/>
        </w:r>
        <w:r w:rsidR="00173034">
          <w:rPr>
            <w:noProof/>
            <w:webHidden/>
          </w:rPr>
          <w:t>102</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6" w:history="1">
        <w:r w:rsidRPr="00DB6FF2">
          <w:rPr>
            <w:rStyle w:val="Lienhypertexte"/>
            <w:noProof/>
          </w:rPr>
          <w:t>Table 12.  Non-comprehensive list of typical and abundant combinations of seismotectonic hazards to be considered in extended PSA</w:t>
        </w:r>
        <w:r>
          <w:rPr>
            <w:noProof/>
            <w:webHidden/>
          </w:rPr>
          <w:tab/>
        </w:r>
        <w:r>
          <w:rPr>
            <w:noProof/>
            <w:webHidden/>
          </w:rPr>
          <w:fldChar w:fldCharType="begin"/>
        </w:r>
        <w:r>
          <w:rPr>
            <w:noProof/>
            <w:webHidden/>
          </w:rPr>
          <w:instrText xml:space="preserve"> PAGEREF _Toc456012036 \h </w:instrText>
        </w:r>
        <w:r>
          <w:rPr>
            <w:noProof/>
            <w:webHidden/>
          </w:rPr>
        </w:r>
        <w:r>
          <w:rPr>
            <w:noProof/>
            <w:webHidden/>
          </w:rPr>
          <w:fldChar w:fldCharType="separate"/>
        </w:r>
        <w:r w:rsidR="00173034">
          <w:rPr>
            <w:noProof/>
            <w:webHidden/>
          </w:rPr>
          <w:t>116</w:t>
        </w:r>
        <w:r>
          <w:rPr>
            <w:noProof/>
            <w:webHidden/>
          </w:rPr>
          <w:fldChar w:fldCharType="end"/>
        </w:r>
      </w:hyperlink>
    </w:p>
    <w:p w:rsidR="00C11B27" w:rsidRPr="00C11B27" w:rsidRDefault="00C11B27" w:rsidP="008F0D06">
      <w:pPr>
        <w:jc w:val="left"/>
      </w:pPr>
      <w:r>
        <w:fldChar w:fldCharType="end"/>
      </w:r>
    </w:p>
    <w:p w:rsidR="004B20F0" w:rsidRDefault="00C11B27" w:rsidP="004B20F0">
      <w:pPr>
        <w:pStyle w:val="Titre1"/>
      </w:pPr>
      <w:r>
        <w:br w:type="page"/>
      </w:r>
      <w:bookmarkStart w:id="223" w:name="_Toc456011932"/>
      <w:r w:rsidR="00A84E42">
        <w:lastRenderedPageBreak/>
        <w:t>List of figures</w:t>
      </w:r>
      <w:bookmarkEnd w:id="223"/>
    </w:p>
    <w:p w:rsidR="00C11B27" w:rsidRDefault="00C11B27" w:rsidP="00C11B27"/>
    <w:p w:rsidR="000E529B" w:rsidRDefault="009C74C3">
      <w:pPr>
        <w:pStyle w:val="Tabledesillustrations"/>
        <w:tabs>
          <w:tab w:val="right" w:leader="dot" w:pos="9345"/>
        </w:tabs>
        <w:rPr>
          <w:rFonts w:asciiTheme="minorHAnsi" w:eastAsiaTheme="minorEastAsia" w:hAnsiTheme="minorHAnsi" w:cstheme="minorBidi"/>
          <w:noProof/>
          <w:sz w:val="22"/>
          <w:szCs w:val="22"/>
        </w:rPr>
      </w:pPr>
      <w:r>
        <w:rPr>
          <w:lang w:eastAsia="ko-KR"/>
        </w:rPr>
        <w:fldChar w:fldCharType="begin"/>
      </w:r>
      <w:r>
        <w:rPr>
          <w:lang w:eastAsia="ko-KR"/>
        </w:rPr>
        <w:instrText xml:space="preserve"> TOC \h \z \c "Figure" </w:instrText>
      </w:r>
      <w:r>
        <w:rPr>
          <w:lang w:eastAsia="ko-KR"/>
        </w:rPr>
        <w:fldChar w:fldCharType="separate"/>
      </w:r>
      <w:hyperlink w:anchor="_Toc456012037" w:history="1">
        <w:r w:rsidR="000E529B" w:rsidRPr="00AC750A">
          <w:rPr>
            <w:rStyle w:val="Lienhypertexte"/>
            <w:noProof/>
          </w:rPr>
          <w:t xml:space="preserve">Figure 1: Terminology of capable faults: master fault, secondary fault, splay fault. </w:t>
        </w:r>
        <w:r w:rsidR="000E529B" w:rsidRPr="00AC750A">
          <w:rPr>
            <w:rStyle w:val="Lienhypertexte"/>
            <w:i/>
            <w:noProof/>
          </w:rPr>
          <w:t>[Fig_Secondary_Faults.JPG]</w:t>
        </w:r>
        <w:r w:rsidR="000E529B">
          <w:rPr>
            <w:noProof/>
            <w:webHidden/>
          </w:rPr>
          <w:tab/>
        </w:r>
        <w:r w:rsidR="000E529B">
          <w:rPr>
            <w:noProof/>
            <w:webHidden/>
          </w:rPr>
          <w:fldChar w:fldCharType="begin"/>
        </w:r>
        <w:r w:rsidR="000E529B">
          <w:rPr>
            <w:noProof/>
            <w:webHidden/>
          </w:rPr>
          <w:instrText xml:space="preserve"> PAGEREF _Toc456012037 \h </w:instrText>
        </w:r>
        <w:r w:rsidR="000E529B">
          <w:rPr>
            <w:noProof/>
            <w:webHidden/>
          </w:rPr>
        </w:r>
        <w:r w:rsidR="000E529B">
          <w:rPr>
            <w:noProof/>
            <w:webHidden/>
          </w:rPr>
          <w:fldChar w:fldCharType="separate"/>
        </w:r>
        <w:r w:rsidR="00173034">
          <w:rPr>
            <w:noProof/>
            <w:webHidden/>
          </w:rPr>
          <w:t>31</w:t>
        </w:r>
        <w:r w:rsidR="000E529B">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8" w:history="1">
        <w:r w:rsidRPr="00AC750A">
          <w:rPr>
            <w:rStyle w:val="Lienhypertexte"/>
            <w:noProof/>
          </w:rPr>
          <w:t xml:space="preserve">Figure 2. Coverage of the database of historical earthquakes AHEAD (2015) </w:t>
        </w:r>
        <w:r w:rsidRPr="00AC750A">
          <w:rPr>
            <w:rStyle w:val="Lienhypertexte"/>
            <w:i/>
            <w:noProof/>
          </w:rPr>
          <w:t>[Fig_AHEAD_historical_earthquake_data.JPG]</w:t>
        </w:r>
        <w:r>
          <w:rPr>
            <w:noProof/>
            <w:webHidden/>
          </w:rPr>
          <w:tab/>
        </w:r>
        <w:r>
          <w:rPr>
            <w:noProof/>
            <w:webHidden/>
          </w:rPr>
          <w:fldChar w:fldCharType="begin"/>
        </w:r>
        <w:r>
          <w:rPr>
            <w:noProof/>
            <w:webHidden/>
          </w:rPr>
          <w:instrText xml:space="preserve"> PAGEREF _Toc456012038 \h </w:instrText>
        </w:r>
        <w:r>
          <w:rPr>
            <w:noProof/>
            <w:webHidden/>
          </w:rPr>
        </w:r>
        <w:r>
          <w:rPr>
            <w:noProof/>
            <w:webHidden/>
          </w:rPr>
          <w:fldChar w:fldCharType="separate"/>
        </w:r>
        <w:r w:rsidR="00173034">
          <w:rPr>
            <w:noProof/>
            <w:webHidden/>
          </w:rPr>
          <w:t>45</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39" w:history="1">
        <w:r w:rsidRPr="00AC750A">
          <w:rPr>
            <w:rStyle w:val="Lienhypertexte"/>
            <w:noProof/>
          </w:rPr>
          <w:t xml:space="preserve">Figure 3. European stress data of the Wolrld Stress Map (WSM) database (release 2008) </w:t>
        </w:r>
        <w:r w:rsidRPr="00AC750A">
          <w:rPr>
            <w:rStyle w:val="Lienhypertexte"/>
            <w:i/>
            <w:noProof/>
          </w:rPr>
          <w:t>[Fig_WSM_Database.JPG]</w:t>
        </w:r>
        <w:r>
          <w:rPr>
            <w:noProof/>
            <w:webHidden/>
          </w:rPr>
          <w:tab/>
        </w:r>
        <w:r>
          <w:rPr>
            <w:noProof/>
            <w:webHidden/>
          </w:rPr>
          <w:fldChar w:fldCharType="begin"/>
        </w:r>
        <w:r>
          <w:rPr>
            <w:noProof/>
            <w:webHidden/>
          </w:rPr>
          <w:instrText xml:space="preserve"> PAGEREF _Toc456012039 \h </w:instrText>
        </w:r>
        <w:r>
          <w:rPr>
            <w:noProof/>
            <w:webHidden/>
          </w:rPr>
        </w:r>
        <w:r>
          <w:rPr>
            <w:noProof/>
            <w:webHidden/>
          </w:rPr>
          <w:fldChar w:fldCharType="separate"/>
        </w:r>
        <w:r w:rsidR="00173034">
          <w:rPr>
            <w:noProof/>
            <w:webHidden/>
          </w:rPr>
          <w:t>48</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0" w:history="1">
        <w:r w:rsidRPr="00AC750A">
          <w:rPr>
            <w:rStyle w:val="Lienhypertexte"/>
            <w:noProof/>
          </w:rPr>
          <w:t xml:space="preserve">Figure 4. Active and capable fault data: coverage of the SHARE database (SHARE, 2012) </w:t>
        </w:r>
        <w:r w:rsidRPr="00AC750A">
          <w:rPr>
            <w:rStyle w:val="Lienhypertexte"/>
            <w:i/>
            <w:noProof/>
          </w:rPr>
          <w:t>[Fig_SHARE_overview_map.JPG]</w:t>
        </w:r>
        <w:r>
          <w:rPr>
            <w:noProof/>
            <w:webHidden/>
          </w:rPr>
          <w:tab/>
        </w:r>
        <w:r>
          <w:rPr>
            <w:noProof/>
            <w:webHidden/>
          </w:rPr>
          <w:fldChar w:fldCharType="begin"/>
        </w:r>
        <w:r>
          <w:rPr>
            <w:noProof/>
            <w:webHidden/>
          </w:rPr>
          <w:instrText xml:space="preserve"> PAGEREF _Toc456012040 \h </w:instrText>
        </w:r>
        <w:r>
          <w:rPr>
            <w:noProof/>
            <w:webHidden/>
          </w:rPr>
        </w:r>
        <w:r>
          <w:rPr>
            <w:noProof/>
            <w:webHidden/>
          </w:rPr>
          <w:fldChar w:fldCharType="separate"/>
        </w:r>
        <w:r w:rsidR="00173034">
          <w:rPr>
            <w:noProof/>
            <w:webHidden/>
          </w:rPr>
          <w:t>50</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1" w:history="1">
        <w:r w:rsidRPr="00AC750A">
          <w:rPr>
            <w:rStyle w:val="Lienhypertexte"/>
            <w:noProof/>
          </w:rPr>
          <w:t xml:space="preserve">Figure 5. Explanation of completeness assessments of earthquake catalogues using the Stepp Test and the TCEF method for a single magnitude or intensity class. “Minimum observation period” in the Step Plot designates the time required for establishing reliable average recurrence intervals.   </w:t>
        </w:r>
        <w:r w:rsidRPr="00AC750A">
          <w:rPr>
            <w:rStyle w:val="Lienhypertexte"/>
            <w:i/>
            <w:noProof/>
          </w:rPr>
          <w:t>[Stepp_TCEF_explanation.JPG]</w:t>
        </w:r>
        <w:r>
          <w:rPr>
            <w:noProof/>
            <w:webHidden/>
          </w:rPr>
          <w:tab/>
        </w:r>
        <w:r>
          <w:rPr>
            <w:noProof/>
            <w:webHidden/>
          </w:rPr>
          <w:fldChar w:fldCharType="begin"/>
        </w:r>
        <w:r>
          <w:rPr>
            <w:noProof/>
            <w:webHidden/>
          </w:rPr>
          <w:instrText xml:space="preserve"> PAGEREF _Toc456012041 \h </w:instrText>
        </w:r>
        <w:r>
          <w:rPr>
            <w:noProof/>
            <w:webHidden/>
          </w:rPr>
        </w:r>
        <w:r>
          <w:rPr>
            <w:noProof/>
            <w:webHidden/>
          </w:rPr>
          <w:fldChar w:fldCharType="separate"/>
        </w:r>
        <w:r w:rsidR="00173034">
          <w:rPr>
            <w:noProof/>
            <w:webHidden/>
          </w:rPr>
          <w:t>55</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2" w:history="1">
        <w:r w:rsidRPr="00AC750A">
          <w:rPr>
            <w:rStyle w:val="Lienhypertexte"/>
            <w:noProof/>
          </w:rPr>
          <w:t>Figure 6. Completeness assessment of the earthquake catalogue for Central, Western and NorthWestern Europe (CENEC, 2009; Günthal et al., 2009) using the Stepp Test and the TCEF method.</w:t>
        </w:r>
        <w:r w:rsidRPr="00AC750A">
          <w:rPr>
            <w:rStyle w:val="Lienhypertexte"/>
            <w:i/>
            <w:noProof/>
          </w:rPr>
          <w:t>[CENEC_Stepp.JPG  CENEC_Tcef.JPG]</w:t>
        </w:r>
        <w:r>
          <w:rPr>
            <w:noProof/>
            <w:webHidden/>
          </w:rPr>
          <w:tab/>
        </w:r>
        <w:r>
          <w:rPr>
            <w:noProof/>
            <w:webHidden/>
          </w:rPr>
          <w:fldChar w:fldCharType="begin"/>
        </w:r>
        <w:r>
          <w:rPr>
            <w:noProof/>
            <w:webHidden/>
          </w:rPr>
          <w:instrText xml:space="preserve"> PAGEREF _Toc456012042 \h </w:instrText>
        </w:r>
        <w:r>
          <w:rPr>
            <w:noProof/>
            <w:webHidden/>
          </w:rPr>
        </w:r>
        <w:r>
          <w:rPr>
            <w:noProof/>
            <w:webHidden/>
          </w:rPr>
          <w:fldChar w:fldCharType="separate"/>
        </w:r>
        <w:r w:rsidR="00173034">
          <w:rPr>
            <w:noProof/>
            <w:webHidden/>
          </w:rPr>
          <w:t>58</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3" w:history="1">
        <w:r w:rsidRPr="00AC750A">
          <w:rPr>
            <w:rStyle w:val="Lienhypertexte"/>
            <w:noProof/>
          </w:rPr>
          <w:t xml:space="preserve">Figure 7. Completeness assessment of the Spanish earthquake catalogue (see Table 3and Table 4 for reference) using the Stepp Test and TCEF method.    </w:t>
        </w:r>
        <w:r w:rsidRPr="00AC750A">
          <w:rPr>
            <w:rStyle w:val="Lienhypertexte"/>
            <w:i/>
            <w:noProof/>
          </w:rPr>
          <w:t>[ES_Stepp.JPG  ES_Tcef.JPG]</w:t>
        </w:r>
        <w:r>
          <w:rPr>
            <w:noProof/>
            <w:webHidden/>
          </w:rPr>
          <w:tab/>
        </w:r>
        <w:r>
          <w:rPr>
            <w:noProof/>
            <w:webHidden/>
          </w:rPr>
          <w:fldChar w:fldCharType="begin"/>
        </w:r>
        <w:r>
          <w:rPr>
            <w:noProof/>
            <w:webHidden/>
          </w:rPr>
          <w:instrText xml:space="preserve"> PAGEREF _Toc456012043 \h </w:instrText>
        </w:r>
        <w:r>
          <w:rPr>
            <w:noProof/>
            <w:webHidden/>
          </w:rPr>
        </w:r>
        <w:r>
          <w:rPr>
            <w:noProof/>
            <w:webHidden/>
          </w:rPr>
          <w:fldChar w:fldCharType="separate"/>
        </w:r>
        <w:r w:rsidR="00173034">
          <w:rPr>
            <w:noProof/>
            <w:webHidden/>
          </w:rPr>
          <w:t>59</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4" w:history="1">
        <w:r w:rsidRPr="00AC750A">
          <w:rPr>
            <w:rStyle w:val="Lienhypertexte"/>
            <w:noProof/>
          </w:rPr>
          <w:t xml:space="preserve">Figure 8. Completeness assessment of the Finnish earthquake catalogues (see Table 3 Table 4 for reference) using the Stepp Test and TCEF method.    </w:t>
        </w:r>
        <w:r w:rsidRPr="00AC750A">
          <w:rPr>
            <w:rStyle w:val="Lienhypertexte"/>
            <w:i/>
            <w:noProof/>
          </w:rPr>
          <w:t>[FI_Stepp.JPG  FI_Tcef.JPG]</w:t>
        </w:r>
        <w:r>
          <w:rPr>
            <w:noProof/>
            <w:webHidden/>
          </w:rPr>
          <w:tab/>
        </w:r>
        <w:r>
          <w:rPr>
            <w:noProof/>
            <w:webHidden/>
          </w:rPr>
          <w:fldChar w:fldCharType="begin"/>
        </w:r>
        <w:r>
          <w:rPr>
            <w:noProof/>
            <w:webHidden/>
          </w:rPr>
          <w:instrText xml:space="preserve"> PAGEREF _Toc456012044 \h </w:instrText>
        </w:r>
        <w:r>
          <w:rPr>
            <w:noProof/>
            <w:webHidden/>
          </w:rPr>
        </w:r>
        <w:r>
          <w:rPr>
            <w:noProof/>
            <w:webHidden/>
          </w:rPr>
          <w:fldChar w:fldCharType="separate"/>
        </w:r>
        <w:r w:rsidR="00173034">
          <w:rPr>
            <w:noProof/>
            <w:webHidden/>
          </w:rPr>
          <w:t>60</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5" w:history="1">
        <w:r w:rsidRPr="00AC750A">
          <w:rPr>
            <w:rStyle w:val="Lienhypertexte"/>
            <w:noProof/>
          </w:rPr>
          <w:t xml:space="preserve">Figure 9. Completeness assessment of the French earthquake catalogues (see Table 3 and Table 4 for reference) using the Stepp Test and TCEF method.    </w:t>
        </w:r>
        <w:r w:rsidRPr="00AC750A">
          <w:rPr>
            <w:rStyle w:val="Lienhypertexte"/>
            <w:i/>
            <w:noProof/>
          </w:rPr>
          <w:t>[FR_Stepp.JPG  FR_Tcef.JPG]</w:t>
        </w:r>
        <w:r>
          <w:rPr>
            <w:noProof/>
            <w:webHidden/>
          </w:rPr>
          <w:tab/>
        </w:r>
        <w:r>
          <w:rPr>
            <w:noProof/>
            <w:webHidden/>
          </w:rPr>
          <w:fldChar w:fldCharType="begin"/>
        </w:r>
        <w:r>
          <w:rPr>
            <w:noProof/>
            <w:webHidden/>
          </w:rPr>
          <w:instrText xml:space="preserve"> PAGEREF _Toc456012045 \h </w:instrText>
        </w:r>
        <w:r>
          <w:rPr>
            <w:noProof/>
            <w:webHidden/>
          </w:rPr>
        </w:r>
        <w:r>
          <w:rPr>
            <w:noProof/>
            <w:webHidden/>
          </w:rPr>
          <w:fldChar w:fldCharType="separate"/>
        </w:r>
        <w:r w:rsidR="00173034">
          <w:rPr>
            <w:noProof/>
            <w:webHidden/>
          </w:rPr>
          <w:t>61</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6" w:history="1">
        <w:r w:rsidRPr="00AC750A">
          <w:rPr>
            <w:rStyle w:val="Lienhypertexte"/>
            <w:noProof/>
          </w:rPr>
          <w:t xml:space="preserve">Figure 10. Completeness assessment of the German earthquake catalogues (see Table 3 and Table 4 for reference) using the Stepp Test and TCEF method.    </w:t>
        </w:r>
        <w:r w:rsidRPr="00AC750A">
          <w:rPr>
            <w:rStyle w:val="Lienhypertexte"/>
            <w:i/>
            <w:noProof/>
          </w:rPr>
          <w:t>[DE_Stepp.JPG  DE_Tcef.JPG]</w:t>
        </w:r>
        <w:r>
          <w:rPr>
            <w:noProof/>
            <w:webHidden/>
          </w:rPr>
          <w:tab/>
        </w:r>
        <w:r>
          <w:rPr>
            <w:noProof/>
            <w:webHidden/>
          </w:rPr>
          <w:fldChar w:fldCharType="begin"/>
        </w:r>
        <w:r>
          <w:rPr>
            <w:noProof/>
            <w:webHidden/>
          </w:rPr>
          <w:instrText xml:space="preserve"> PAGEREF _Toc456012046 \h </w:instrText>
        </w:r>
        <w:r>
          <w:rPr>
            <w:noProof/>
            <w:webHidden/>
          </w:rPr>
        </w:r>
        <w:r>
          <w:rPr>
            <w:noProof/>
            <w:webHidden/>
          </w:rPr>
          <w:fldChar w:fldCharType="separate"/>
        </w:r>
        <w:r w:rsidR="00173034">
          <w:rPr>
            <w:noProof/>
            <w:webHidden/>
          </w:rPr>
          <w:t>62</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7" w:history="1">
        <w:r w:rsidRPr="00AC750A">
          <w:rPr>
            <w:rStyle w:val="Lienhypertexte"/>
            <w:noProof/>
          </w:rPr>
          <w:t xml:space="preserve">Figure 11. Examples of hazard curves: annual probability of exceedance of peak ground acceleration. Curves are plotted for mean hazard value, median, and the 0.05, 0.16, 0.84 and 0.95 percentiles of confidence.    </w:t>
        </w:r>
        <w:r w:rsidRPr="00AC750A">
          <w:rPr>
            <w:rStyle w:val="Lienhypertexte"/>
            <w:i/>
            <w:noProof/>
          </w:rPr>
          <w:t>[Hazard_curve_examples.JPG]</w:t>
        </w:r>
        <w:r>
          <w:rPr>
            <w:noProof/>
            <w:webHidden/>
          </w:rPr>
          <w:tab/>
        </w:r>
        <w:r>
          <w:rPr>
            <w:noProof/>
            <w:webHidden/>
          </w:rPr>
          <w:fldChar w:fldCharType="begin"/>
        </w:r>
        <w:r>
          <w:rPr>
            <w:noProof/>
            <w:webHidden/>
          </w:rPr>
          <w:instrText xml:space="preserve"> PAGEREF _Toc456012047 \h </w:instrText>
        </w:r>
        <w:r>
          <w:rPr>
            <w:noProof/>
            <w:webHidden/>
          </w:rPr>
        </w:r>
        <w:r>
          <w:rPr>
            <w:noProof/>
            <w:webHidden/>
          </w:rPr>
          <w:fldChar w:fldCharType="separate"/>
        </w:r>
        <w:r w:rsidR="00173034">
          <w:rPr>
            <w:noProof/>
            <w:webHidden/>
          </w:rPr>
          <w:t>65</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8" w:history="1">
        <w:r w:rsidRPr="00AC750A">
          <w:rPr>
            <w:rStyle w:val="Lienhypertexte"/>
            <w:noProof/>
          </w:rPr>
          <w:t xml:space="preserve">Figure 12. Examples of hazard curves: probability of exceedance of spectral acceleration for differen oscilation frequencies (1 Hz, 10 Hz, 20 Hz, 50 Hz) and a selected degree of damping (commonly 5%). Curves are plotted for mean hazard value, median, and the 0.05, 0.16, 0.84 and 0.95 percentiles of confidence.  </w:t>
        </w:r>
        <w:r w:rsidRPr="00AC750A">
          <w:rPr>
            <w:rStyle w:val="Lienhypertexte"/>
            <w:i/>
            <w:noProof/>
          </w:rPr>
          <w:t>[Spectral_acceleration_examples.JPG]</w:t>
        </w:r>
        <w:r>
          <w:rPr>
            <w:noProof/>
            <w:webHidden/>
          </w:rPr>
          <w:tab/>
        </w:r>
        <w:r>
          <w:rPr>
            <w:noProof/>
            <w:webHidden/>
          </w:rPr>
          <w:fldChar w:fldCharType="begin"/>
        </w:r>
        <w:r>
          <w:rPr>
            <w:noProof/>
            <w:webHidden/>
          </w:rPr>
          <w:instrText xml:space="preserve"> PAGEREF _Toc456012048 \h </w:instrText>
        </w:r>
        <w:r>
          <w:rPr>
            <w:noProof/>
            <w:webHidden/>
          </w:rPr>
        </w:r>
        <w:r>
          <w:rPr>
            <w:noProof/>
            <w:webHidden/>
          </w:rPr>
          <w:fldChar w:fldCharType="separate"/>
        </w:r>
        <w:r w:rsidR="00173034">
          <w:rPr>
            <w:noProof/>
            <w:webHidden/>
          </w:rPr>
          <w:t>66</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49" w:history="1">
        <w:r w:rsidRPr="00AC750A">
          <w:rPr>
            <w:rStyle w:val="Lienhypertexte"/>
            <w:noProof/>
          </w:rPr>
          <w:t>Figure 13. Uniform Hazard Spectra (UHS) plotted for different annual probabilities of exceedance (10</w:t>
        </w:r>
        <w:r w:rsidRPr="00AC750A">
          <w:rPr>
            <w:rStyle w:val="Lienhypertexte"/>
            <w:noProof/>
            <w:vertAlign w:val="superscript"/>
          </w:rPr>
          <w:t>-4</w:t>
        </w:r>
        <w:r w:rsidRPr="00AC750A">
          <w:rPr>
            <w:rStyle w:val="Lienhypertexte"/>
            <w:noProof/>
          </w:rPr>
          <w:t xml:space="preserve"> to 10</w:t>
        </w:r>
        <w:r w:rsidRPr="00AC750A">
          <w:rPr>
            <w:rStyle w:val="Lienhypertexte"/>
            <w:noProof/>
            <w:vertAlign w:val="superscript"/>
          </w:rPr>
          <w:t>-7</w:t>
        </w:r>
        <w:r w:rsidRPr="00AC750A">
          <w:rPr>
            <w:rStyle w:val="Lienhypertexte"/>
            <w:noProof/>
          </w:rPr>
          <w:t xml:space="preserve"> per year) and a selected degree of damping (commonly 5%). Curves are plotted for mean hazard value, median, and the 0.05, 0.16, 0.84 and 0.95 percentiles of confidence.</w:t>
        </w:r>
        <w:r>
          <w:rPr>
            <w:noProof/>
            <w:webHidden/>
          </w:rPr>
          <w:tab/>
        </w:r>
        <w:r>
          <w:rPr>
            <w:noProof/>
            <w:webHidden/>
          </w:rPr>
          <w:fldChar w:fldCharType="begin"/>
        </w:r>
        <w:r>
          <w:rPr>
            <w:noProof/>
            <w:webHidden/>
          </w:rPr>
          <w:instrText xml:space="preserve"> PAGEREF _Toc456012049 \h </w:instrText>
        </w:r>
        <w:r>
          <w:rPr>
            <w:noProof/>
            <w:webHidden/>
          </w:rPr>
        </w:r>
        <w:r>
          <w:rPr>
            <w:noProof/>
            <w:webHidden/>
          </w:rPr>
          <w:fldChar w:fldCharType="separate"/>
        </w:r>
        <w:r w:rsidR="00173034">
          <w:rPr>
            <w:noProof/>
            <w:webHidden/>
          </w:rPr>
          <w:t>67</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0" w:history="1">
        <w:r w:rsidRPr="00AC750A">
          <w:rPr>
            <w:rStyle w:val="Lienhypertexte"/>
            <w:noProof/>
          </w:rPr>
          <w:t xml:space="preserve">Figure 14. Flow chart of the suggested graded approach for the identification and assessment of active / capable faults in the near-region and region of a site.    </w:t>
        </w:r>
        <w:r w:rsidRPr="00AC750A">
          <w:rPr>
            <w:rStyle w:val="Lienhypertexte"/>
            <w:i/>
            <w:noProof/>
          </w:rPr>
          <w:t>[Fig_Fault_Identification_Flow_Chart.JPG]</w:t>
        </w:r>
        <w:r>
          <w:rPr>
            <w:noProof/>
            <w:webHidden/>
          </w:rPr>
          <w:tab/>
        </w:r>
        <w:r>
          <w:rPr>
            <w:noProof/>
            <w:webHidden/>
          </w:rPr>
          <w:fldChar w:fldCharType="begin"/>
        </w:r>
        <w:r>
          <w:rPr>
            <w:noProof/>
            <w:webHidden/>
          </w:rPr>
          <w:instrText xml:space="preserve"> PAGEREF _Toc456012050 \h </w:instrText>
        </w:r>
        <w:r>
          <w:rPr>
            <w:noProof/>
            <w:webHidden/>
          </w:rPr>
        </w:r>
        <w:r>
          <w:rPr>
            <w:noProof/>
            <w:webHidden/>
          </w:rPr>
          <w:fldChar w:fldCharType="separate"/>
        </w:r>
        <w:r w:rsidR="00173034">
          <w:rPr>
            <w:noProof/>
            <w:webHidden/>
          </w:rPr>
          <w:t>70</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1" w:history="1">
        <w:r w:rsidRPr="00AC750A">
          <w:rPr>
            <w:rStyle w:val="Lienhypertexte"/>
            <w:noProof/>
          </w:rPr>
          <w:t xml:space="preserve">Figure 15. Examples of unreasonable seismic source zone definitions. (1) Source zones B and C divide a continuous fault zone. (2) High seismicity in source zone C (probably related to a seismic swarm) is unduely spread over a </w:t>
        </w:r>
        <w:r w:rsidRPr="00AC750A">
          <w:rPr>
            <w:rStyle w:val="Lienhypertexte"/>
            <w:noProof/>
          </w:rPr>
          <w:lastRenderedPageBreak/>
          <w:t xml:space="preserve">large area. (3) Source zone C “fences” a facility from other source zones with higher seismicity.   </w:t>
        </w:r>
        <w:r w:rsidRPr="00AC750A">
          <w:rPr>
            <w:rStyle w:val="Lienhypertexte"/>
            <w:i/>
            <w:noProof/>
          </w:rPr>
          <w:t>[Fig_Source_Zones.JPG]</w:t>
        </w:r>
        <w:r>
          <w:rPr>
            <w:noProof/>
            <w:webHidden/>
          </w:rPr>
          <w:tab/>
        </w:r>
        <w:r>
          <w:rPr>
            <w:noProof/>
            <w:webHidden/>
          </w:rPr>
          <w:fldChar w:fldCharType="begin"/>
        </w:r>
        <w:r>
          <w:rPr>
            <w:noProof/>
            <w:webHidden/>
          </w:rPr>
          <w:instrText xml:space="preserve"> PAGEREF _Toc456012051 \h </w:instrText>
        </w:r>
        <w:r>
          <w:rPr>
            <w:noProof/>
            <w:webHidden/>
          </w:rPr>
        </w:r>
        <w:r>
          <w:rPr>
            <w:noProof/>
            <w:webHidden/>
          </w:rPr>
          <w:fldChar w:fldCharType="separate"/>
        </w:r>
        <w:r w:rsidR="00173034">
          <w:rPr>
            <w:noProof/>
            <w:webHidden/>
          </w:rPr>
          <w:t>75</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2" w:history="1">
        <w:r w:rsidRPr="00AC750A">
          <w:rPr>
            <w:rStyle w:val="Lienhypertexte"/>
            <w:noProof/>
          </w:rPr>
          <w:t>Figure 16. Example of different GMPEs relating PGA</w:t>
        </w:r>
        <w:r w:rsidRPr="00AC750A">
          <w:rPr>
            <w:rStyle w:val="Lienhypertexte"/>
            <w:noProof/>
            <w:vertAlign w:val="subscript"/>
          </w:rPr>
          <w:t>H</w:t>
        </w:r>
        <w:r w:rsidRPr="00AC750A">
          <w:rPr>
            <w:rStyle w:val="Lienhypertexte"/>
            <w:noProof/>
          </w:rPr>
          <w:t xml:space="preserve"> with distance for an earthquake with M = 6. Note the large spread of predicted ground motion at, e.g., 10 km distance. GMPEs from:</w:t>
        </w:r>
        <w:r>
          <w:rPr>
            <w:noProof/>
            <w:webHidden/>
          </w:rPr>
          <w:tab/>
        </w:r>
        <w:r>
          <w:rPr>
            <w:noProof/>
            <w:webHidden/>
          </w:rPr>
          <w:fldChar w:fldCharType="begin"/>
        </w:r>
        <w:r>
          <w:rPr>
            <w:noProof/>
            <w:webHidden/>
          </w:rPr>
          <w:instrText xml:space="preserve"> PAGEREF _Toc456012052 \h </w:instrText>
        </w:r>
        <w:r>
          <w:rPr>
            <w:noProof/>
            <w:webHidden/>
          </w:rPr>
        </w:r>
        <w:r>
          <w:rPr>
            <w:noProof/>
            <w:webHidden/>
          </w:rPr>
          <w:fldChar w:fldCharType="separate"/>
        </w:r>
        <w:r w:rsidR="00173034">
          <w:rPr>
            <w:noProof/>
            <w:webHidden/>
          </w:rPr>
          <w:t>78</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3" w:history="1">
        <w:r w:rsidRPr="00AC750A">
          <w:rPr>
            <w:rStyle w:val="Lienhypertexte"/>
            <w:noProof/>
          </w:rPr>
          <w:t>Figure 17. Maximum magnitude: (a) cuttoff Gutenberg-Richter exponential distribution (Cornell &amp; Van Marke, 1969), (b) truncated exponential distribution, and (c) characteristic earthquake model (Youngs &amp; Coppersmith, 1985). Modified from NAGRA (2004 Pegasos Volume 1)</w:t>
        </w:r>
        <w:r>
          <w:rPr>
            <w:noProof/>
            <w:webHidden/>
          </w:rPr>
          <w:tab/>
        </w:r>
        <w:r>
          <w:rPr>
            <w:noProof/>
            <w:webHidden/>
          </w:rPr>
          <w:fldChar w:fldCharType="begin"/>
        </w:r>
        <w:r>
          <w:rPr>
            <w:noProof/>
            <w:webHidden/>
          </w:rPr>
          <w:instrText xml:space="preserve"> PAGEREF _Toc456012053 \h </w:instrText>
        </w:r>
        <w:r>
          <w:rPr>
            <w:noProof/>
            <w:webHidden/>
          </w:rPr>
        </w:r>
        <w:r>
          <w:rPr>
            <w:noProof/>
            <w:webHidden/>
          </w:rPr>
          <w:fldChar w:fldCharType="separate"/>
        </w:r>
        <w:r w:rsidR="00173034">
          <w:rPr>
            <w:noProof/>
            <w:webHidden/>
          </w:rPr>
          <w:t>79</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4" w:history="1">
        <w:r w:rsidRPr="00AC750A">
          <w:rPr>
            <w:rStyle w:val="Lienhypertexte"/>
            <w:noProof/>
          </w:rPr>
          <w:t xml:space="preserve">Figure 18. Probability of surface rupture as a function of earthquake magnitude (Takao et al., 2015) </w:t>
        </w:r>
        <w:r w:rsidRPr="00AC750A">
          <w:rPr>
            <w:rStyle w:val="Lienhypertexte"/>
            <w:i/>
            <w:noProof/>
          </w:rPr>
          <w:t>[Takao_probability_surface_rupture.JPG]</w:t>
        </w:r>
        <w:r>
          <w:rPr>
            <w:noProof/>
            <w:webHidden/>
          </w:rPr>
          <w:tab/>
        </w:r>
        <w:r>
          <w:rPr>
            <w:noProof/>
            <w:webHidden/>
          </w:rPr>
          <w:fldChar w:fldCharType="begin"/>
        </w:r>
        <w:r>
          <w:rPr>
            <w:noProof/>
            <w:webHidden/>
          </w:rPr>
          <w:instrText xml:space="preserve"> PAGEREF _Toc456012054 \h </w:instrText>
        </w:r>
        <w:r>
          <w:rPr>
            <w:noProof/>
            <w:webHidden/>
          </w:rPr>
        </w:r>
        <w:r>
          <w:rPr>
            <w:noProof/>
            <w:webHidden/>
          </w:rPr>
          <w:fldChar w:fldCharType="separate"/>
        </w:r>
        <w:r w:rsidR="00173034">
          <w:rPr>
            <w:noProof/>
            <w:webHidden/>
          </w:rPr>
          <w:t>89</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5" w:history="1">
        <w:r w:rsidRPr="00AC750A">
          <w:rPr>
            <w:rStyle w:val="Lienhypertexte"/>
            <w:noProof/>
          </w:rPr>
          <w:t>Figure 19. Example of fault displacement hazard curves of secondary fault with fractile values</w:t>
        </w:r>
        <w:r>
          <w:rPr>
            <w:noProof/>
            <w:webHidden/>
          </w:rPr>
          <w:tab/>
        </w:r>
        <w:r>
          <w:rPr>
            <w:noProof/>
            <w:webHidden/>
          </w:rPr>
          <w:fldChar w:fldCharType="begin"/>
        </w:r>
        <w:r>
          <w:rPr>
            <w:noProof/>
            <w:webHidden/>
          </w:rPr>
          <w:instrText xml:space="preserve"> PAGEREF _Toc456012055 \h </w:instrText>
        </w:r>
        <w:r>
          <w:rPr>
            <w:noProof/>
            <w:webHidden/>
          </w:rPr>
        </w:r>
        <w:r>
          <w:rPr>
            <w:noProof/>
            <w:webHidden/>
          </w:rPr>
          <w:fldChar w:fldCharType="separate"/>
        </w:r>
        <w:r w:rsidR="00173034">
          <w:rPr>
            <w:noProof/>
            <w:webHidden/>
          </w:rPr>
          <w:t>90</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6" w:history="1">
        <w:r w:rsidRPr="00AC750A">
          <w:rPr>
            <w:rStyle w:val="Lienhypertexte"/>
            <w:noProof/>
          </w:rPr>
          <w:t xml:space="preserve">Figure 20. Example of fault displacement hazard curves of secondary fault. Annual reate of ex ceedence is plotted against distance from master fault as parameter assuming an earthquake with Mw = 6.5 at the master fault. By courtesy of Y. Suzuki (2015).   </w:t>
        </w:r>
        <w:r w:rsidRPr="00AC750A">
          <w:rPr>
            <w:rStyle w:val="Lienhypertexte"/>
            <w:i/>
            <w:noProof/>
          </w:rPr>
          <w:t>[PFDHA_example_2.JPG]</w:t>
        </w:r>
        <w:r>
          <w:rPr>
            <w:noProof/>
            <w:webHidden/>
          </w:rPr>
          <w:tab/>
        </w:r>
        <w:r>
          <w:rPr>
            <w:noProof/>
            <w:webHidden/>
          </w:rPr>
          <w:fldChar w:fldCharType="begin"/>
        </w:r>
        <w:r>
          <w:rPr>
            <w:noProof/>
            <w:webHidden/>
          </w:rPr>
          <w:instrText xml:space="preserve"> PAGEREF _Toc456012056 \h </w:instrText>
        </w:r>
        <w:r>
          <w:rPr>
            <w:noProof/>
            <w:webHidden/>
          </w:rPr>
        </w:r>
        <w:r>
          <w:rPr>
            <w:noProof/>
            <w:webHidden/>
          </w:rPr>
          <w:fldChar w:fldCharType="separate"/>
        </w:r>
        <w:r w:rsidR="00173034">
          <w:rPr>
            <w:noProof/>
            <w:webHidden/>
          </w:rPr>
          <w:t>90</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7" w:history="1">
        <w:r w:rsidRPr="00AC750A">
          <w:rPr>
            <w:rStyle w:val="Lienhypertexte"/>
            <w:noProof/>
          </w:rPr>
          <w:t>Figure 21. (a) Example of a logic tree for assessing fault geometry as a characteristic of seismic sources. (b) Example of a logic tree to assess maximum magnitude for a seismic source with uncertain kinematics (strike-slip, reverse) and fault length. The proability of the magnitude on the right of the tree is the product of the probabilities of the branches leading to the result. The final result is a distribution of Mmax to be used as input for PSHA (redrawn from USNRG, 1997).</w:t>
        </w:r>
        <w:r>
          <w:rPr>
            <w:noProof/>
            <w:webHidden/>
          </w:rPr>
          <w:tab/>
        </w:r>
        <w:r>
          <w:rPr>
            <w:noProof/>
            <w:webHidden/>
          </w:rPr>
          <w:fldChar w:fldCharType="begin"/>
        </w:r>
        <w:r>
          <w:rPr>
            <w:noProof/>
            <w:webHidden/>
          </w:rPr>
          <w:instrText xml:space="preserve"> PAGEREF _Toc456012057 \h </w:instrText>
        </w:r>
        <w:r>
          <w:rPr>
            <w:noProof/>
            <w:webHidden/>
          </w:rPr>
        </w:r>
        <w:r>
          <w:rPr>
            <w:noProof/>
            <w:webHidden/>
          </w:rPr>
          <w:fldChar w:fldCharType="separate"/>
        </w:r>
        <w:r w:rsidR="00173034">
          <w:rPr>
            <w:noProof/>
            <w:webHidden/>
          </w:rPr>
          <w:t>93</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8" w:history="1">
        <w:r w:rsidRPr="00AC750A">
          <w:rPr>
            <w:rStyle w:val="Lienhypertexte"/>
            <w:noProof/>
          </w:rPr>
          <w:t>Figure 22. (a) Comparison of the time coverage of the European CENEC earthquake catalogue with a 10.000 years time interval illustrating the extent of extrapolation required to assess events with occurrence probabilities of 10</w:t>
        </w:r>
        <w:r w:rsidRPr="00AC750A">
          <w:rPr>
            <w:rStyle w:val="Lienhypertexte"/>
            <w:noProof/>
            <w:vertAlign w:val="superscript"/>
          </w:rPr>
          <w:t>-4</w:t>
        </w:r>
        <w:r w:rsidRPr="00AC750A">
          <w:rPr>
            <w:rStyle w:val="Lienhypertexte"/>
            <w:noProof/>
          </w:rPr>
          <w:t xml:space="preserve"> per year (“once in 10.000 years”). (b) Regional coverage of the CENEC catalogue. (c) Cumulative number of earthquakes for single magnitude classes of the CENEC Earthquake Catalogue (Grünthal et al., 2009) plotting versus time. See chapter 3.3.1 for detailed explanation.   </w:t>
        </w:r>
        <w:r w:rsidRPr="00AC750A">
          <w:rPr>
            <w:rStyle w:val="Lienhypertexte"/>
            <w:i/>
            <w:noProof/>
          </w:rPr>
          <w:t>[CENEC_vs_10000_years.JPG]</w:t>
        </w:r>
        <w:r>
          <w:rPr>
            <w:noProof/>
            <w:webHidden/>
          </w:rPr>
          <w:tab/>
        </w:r>
        <w:r>
          <w:rPr>
            <w:noProof/>
            <w:webHidden/>
          </w:rPr>
          <w:fldChar w:fldCharType="begin"/>
        </w:r>
        <w:r>
          <w:rPr>
            <w:noProof/>
            <w:webHidden/>
          </w:rPr>
          <w:instrText xml:space="preserve"> PAGEREF _Toc456012058 \h </w:instrText>
        </w:r>
        <w:r>
          <w:rPr>
            <w:noProof/>
            <w:webHidden/>
          </w:rPr>
        </w:r>
        <w:r>
          <w:rPr>
            <w:noProof/>
            <w:webHidden/>
          </w:rPr>
          <w:fldChar w:fldCharType="separate"/>
        </w:r>
        <w:r w:rsidR="00173034">
          <w:rPr>
            <w:noProof/>
            <w:webHidden/>
          </w:rPr>
          <w:t>96</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59" w:history="1">
        <w:r w:rsidRPr="00AC750A">
          <w:rPr>
            <w:rStyle w:val="Lienhypertexte"/>
            <w:noProof/>
          </w:rPr>
          <w:t>Figure 23. Number of hazards correlated with seismotectonic hazards</w:t>
        </w:r>
        <w:r>
          <w:rPr>
            <w:noProof/>
            <w:webHidden/>
          </w:rPr>
          <w:tab/>
        </w:r>
        <w:r>
          <w:rPr>
            <w:noProof/>
            <w:webHidden/>
          </w:rPr>
          <w:fldChar w:fldCharType="begin"/>
        </w:r>
        <w:r>
          <w:rPr>
            <w:noProof/>
            <w:webHidden/>
          </w:rPr>
          <w:instrText xml:space="preserve"> PAGEREF _Toc456012059 \h </w:instrText>
        </w:r>
        <w:r>
          <w:rPr>
            <w:noProof/>
            <w:webHidden/>
          </w:rPr>
        </w:r>
        <w:r>
          <w:rPr>
            <w:noProof/>
            <w:webHidden/>
          </w:rPr>
          <w:fldChar w:fldCharType="separate"/>
        </w:r>
        <w:r w:rsidR="00173034">
          <w:rPr>
            <w:noProof/>
            <w:webHidden/>
          </w:rPr>
          <w:t>106</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60" w:history="1">
        <w:r w:rsidRPr="00AC750A">
          <w:rPr>
            <w:rStyle w:val="Lienhypertexte"/>
            <w:noProof/>
          </w:rPr>
          <w:t xml:space="preserve">Figure 24. List of hazards correlated with seismotectonic hazards. Only direct consequences of individual hazards are listed. Causal chains are not considered. Combinations of independent phenomena with low severity which cause potential hazards by their contemporaneous occurrence are not identified.   </w:t>
        </w:r>
        <w:r w:rsidRPr="00AC750A">
          <w:rPr>
            <w:rStyle w:val="Lienhypertexte"/>
            <w:i/>
            <w:noProof/>
          </w:rPr>
          <w:t>[Seismic_hazard_correlation_list_2015_07_08.JPG]</w:t>
        </w:r>
        <w:r>
          <w:rPr>
            <w:noProof/>
            <w:webHidden/>
          </w:rPr>
          <w:tab/>
        </w:r>
        <w:r>
          <w:rPr>
            <w:noProof/>
            <w:webHidden/>
          </w:rPr>
          <w:fldChar w:fldCharType="begin"/>
        </w:r>
        <w:r>
          <w:rPr>
            <w:noProof/>
            <w:webHidden/>
          </w:rPr>
          <w:instrText xml:space="preserve"> PAGEREF _Toc456012060 \h </w:instrText>
        </w:r>
        <w:r>
          <w:rPr>
            <w:noProof/>
            <w:webHidden/>
          </w:rPr>
        </w:r>
        <w:r>
          <w:rPr>
            <w:noProof/>
            <w:webHidden/>
          </w:rPr>
          <w:fldChar w:fldCharType="separate"/>
        </w:r>
        <w:r w:rsidR="00173034">
          <w:rPr>
            <w:noProof/>
            <w:webHidden/>
          </w:rPr>
          <w:t>107</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61" w:history="1">
        <w:r w:rsidRPr="00AC750A">
          <w:rPr>
            <w:rStyle w:val="Lienhypertexte"/>
            <w:noProof/>
          </w:rPr>
          <w:t xml:space="preserve">Figure 25. Graph showing surface wave magnitude (Ms) – distance relations for liquefaction phenomena based on empirical data.   </w:t>
        </w:r>
        <w:r w:rsidRPr="00AC750A">
          <w:rPr>
            <w:rStyle w:val="Lienhypertexte"/>
            <w:i/>
            <w:noProof/>
          </w:rPr>
          <w:t>[Liquefaction_seismic_criteria.JPG]</w:t>
        </w:r>
        <w:r>
          <w:rPr>
            <w:noProof/>
            <w:webHidden/>
          </w:rPr>
          <w:tab/>
        </w:r>
        <w:r>
          <w:rPr>
            <w:noProof/>
            <w:webHidden/>
          </w:rPr>
          <w:fldChar w:fldCharType="begin"/>
        </w:r>
        <w:r>
          <w:rPr>
            <w:noProof/>
            <w:webHidden/>
          </w:rPr>
          <w:instrText xml:space="preserve"> PAGEREF _Toc456012061 \h </w:instrText>
        </w:r>
        <w:r>
          <w:rPr>
            <w:noProof/>
            <w:webHidden/>
          </w:rPr>
        </w:r>
        <w:r>
          <w:rPr>
            <w:noProof/>
            <w:webHidden/>
          </w:rPr>
          <w:fldChar w:fldCharType="separate"/>
        </w:r>
        <w:r w:rsidR="00173034">
          <w:rPr>
            <w:noProof/>
            <w:webHidden/>
          </w:rPr>
          <w:t>111</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62" w:history="1">
        <w:r w:rsidRPr="00AC750A">
          <w:rPr>
            <w:rStyle w:val="Lienhypertexte"/>
            <w:noProof/>
          </w:rPr>
          <w:t xml:space="preserve">Figure 26. Empirical magnitude-distance criteria for earthquake-induced slope instability for Japan (redrawn from Tamura, 1978). Graphs show the distance from fault or epicenter to the outer boundaries of the zone where many (red line) or few (broken line) slope failures occur  </w:t>
        </w:r>
        <w:r w:rsidRPr="00AC750A">
          <w:rPr>
            <w:rStyle w:val="Lienhypertexte"/>
            <w:i/>
            <w:noProof/>
          </w:rPr>
          <w:t>[Slope_instability_Japan.JPG]</w:t>
        </w:r>
        <w:r>
          <w:rPr>
            <w:noProof/>
            <w:webHidden/>
          </w:rPr>
          <w:tab/>
        </w:r>
        <w:r>
          <w:rPr>
            <w:noProof/>
            <w:webHidden/>
          </w:rPr>
          <w:fldChar w:fldCharType="begin"/>
        </w:r>
        <w:r>
          <w:rPr>
            <w:noProof/>
            <w:webHidden/>
          </w:rPr>
          <w:instrText xml:space="preserve"> PAGEREF _Toc456012062 \h </w:instrText>
        </w:r>
        <w:r>
          <w:rPr>
            <w:noProof/>
            <w:webHidden/>
          </w:rPr>
        </w:r>
        <w:r>
          <w:rPr>
            <w:noProof/>
            <w:webHidden/>
          </w:rPr>
          <w:fldChar w:fldCharType="separate"/>
        </w:r>
        <w:r w:rsidR="00173034">
          <w:rPr>
            <w:noProof/>
            <w:webHidden/>
          </w:rPr>
          <w:t>113</w:t>
        </w:r>
        <w:r>
          <w:rPr>
            <w:noProof/>
            <w:webHidden/>
          </w:rPr>
          <w:fldChar w:fldCharType="end"/>
        </w:r>
      </w:hyperlink>
    </w:p>
    <w:p w:rsidR="000E529B" w:rsidRDefault="000E529B">
      <w:pPr>
        <w:pStyle w:val="Tabledesillustrations"/>
        <w:tabs>
          <w:tab w:val="right" w:leader="dot" w:pos="9345"/>
        </w:tabs>
        <w:rPr>
          <w:rFonts w:asciiTheme="minorHAnsi" w:eastAsiaTheme="minorEastAsia" w:hAnsiTheme="minorHAnsi" w:cstheme="minorBidi"/>
          <w:noProof/>
          <w:sz w:val="22"/>
          <w:szCs w:val="22"/>
        </w:rPr>
      </w:pPr>
      <w:hyperlink w:anchor="_Toc456012063" w:history="1">
        <w:r w:rsidRPr="00AC750A">
          <w:rPr>
            <w:rStyle w:val="Lienhypertexte"/>
            <w:noProof/>
          </w:rPr>
          <w:t xml:space="preserve">Figure 27. Empirical correlations between the area affected by landslides and magnitude (redrawn from Keefer, 1984; Rodriguez, 2006).   </w:t>
        </w:r>
        <w:r w:rsidRPr="00AC750A">
          <w:rPr>
            <w:rStyle w:val="Lienhypertexte"/>
            <w:i/>
            <w:noProof/>
          </w:rPr>
          <w:t>[Slope_instability_Keefer_Rodriguez.JPG]</w:t>
        </w:r>
        <w:r>
          <w:rPr>
            <w:noProof/>
            <w:webHidden/>
          </w:rPr>
          <w:tab/>
        </w:r>
        <w:r>
          <w:rPr>
            <w:noProof/>
            <w:webHidden/>
          </w:rPr>
          <w:fldChar w:fldCharType="begin"/>
        </w:r>
        <w:r>
          <w:rPr>
            <w:noProof/>
            <w:webHidden/>
          </w:rPr>
          <w:instrText xml:space="preserve"> PAGEREF _Toc456012063 \h </w:instrText>
        </w:r>
        <w:r>
          <w:rPr>
            <w:noProof/>
            <w:webHidden/>
          </w:rPr>
        </w:r>
        <w:r>
          <w:rPr>
            <w:noProof/>
            <w:webHidden/>
          </w:rPr>
          <w:fldChar w:fldCharType="separate"/>
        </w:r>
        <w:r w:rsidR="00173034">
          <w:rPr>
            <w:noProof/>
            <w:webHidden/>
          </w:rPr>
          <w:t>114</w:t>
        </w:r>
        <w:r>
          <w:rPr>
            <w:noProof/>
            <w:webHidden/>
          </w:rPr>
          <w:fldChar w:fldCharType="end"/>
        </w:r>
      </w:hyperlink>
    </w:p>
    <w:p w:rsidR="00C11B27" w:rsidRPr="00C11B27" w:rsidRDefault="009C74C3" w:rsidP="008F0D06">
      <w:pPr>
        <w:jc w:val="left"/>
      </w:pPr>
      <w:r>
        <w:rPr>
          <w:lang w:eastAsia="ko-KR"/>
        </w:rPr>
        <w:fldChar w:fldCharType="end"/>
      </w:r>
    </w:p>
    <w:p w:rsidR="00EF7D4D" w:rsidRDefault="00C11B27" w:rsidP="00EF7D4D">
      <w:pPr>
        <w:pStyle w:val="Titre1"/>
      </w:pPr>
      <w:bookmarkStart w:id="224" w:name="_Toc421719983"/>
      <w:r>
        <w:br w:type="page"/>
      </w:r>
      <w:bookmarkStart w:id="225" w:name="_Toc456011933"/>
      <w:r w:rsidR="00EF7D4D" w:rsidRPr="00E055C6">
        <w:lastRenderedPageBreak/>
        <w:t>List of References</w:t>
      </w:r>
      <w:bookmarkEnd w:id="224"/>
      <w:bookmarkEnd w:id="225"/>
    </w:p>
    <w:p w:rsidR="00947444" w:rsidRDefault="00947444" w:rsidP="00947444"/>
    <w:p w:rsidR="00791666" w:rsidRDefault="00791666" w:rsidP="00791666">
      <w:pPr>
        <w:spacing w:after="240"/>
      </w:pPr>
      <w:r>
        <w:t>Abrahamson, N., 2015. Current and planned uses of finite-fault numerical simulations for seismic hazard studies at teh Diablo Canyon Power Plant. Conference Paper, Best Pratices in Physics-based Fault Rupture Models for Seismic Hazard Assessment of Nuclear Installations, IAEA, November 18-20, 2015, Vienna, 9pp.</w:t>
      </w:r>
    </w:p>
    <w:p w:rsidR="00791666" w:rsidRDefault="00791666" w:rsidP="00791666">
      <w:pPr>
        <w:spacing w:after="240"/>
      </w:pPr>
      <w:r>
        <w:t>Abrahamson, N.A. &amp; Silva, W.J. 1997. Empirical response spectral attenuation relations for shallow crustal eart</w:t>
      </w:r>
      <w:r>
        <w:t>h</w:t>
      </w:r>
      <w:r>
        <w:t>quakes. Seism. Res. Lett. 68: 94–127."</w:t>
      </w:r>
    </w:p>
    <w:p w:rsidR="00791666" w:rsidRDefault="00791666" w:rsidP="00791666">
      <w:pPr>
        <w:spacing w:after="240"/>
      </w:pPr>
      <w:r>
        <w:t>Abrahamson, N.A. &amp; Silva, W.J. 2008. Summary of the Abrahamson and Silva NGA ground-motion relations. Eart</w:t>
      </w:r>
      <w:r>
        <w:t>h</w:t>
      </w:r>
      <w:r>
        <w:t>quake Spectra, 24: 67-97.</w:t>
      </w:r>
    </w:p>
    <w:p w:rsidR="00791666" w:rsidRDefault="00791666" w:rsidP="00791666">
      <w:pPr>
        <w:spacing w:after="240"/>
      </w:pPr>
      <w:r>
        <w:t>ACORN, 2004. Catalogue of Earthquakes in the Region of the Alps - Western Carpathians – Bohemian Massif for the period from 1267 to 2004. Computer File, Vienna (Central Institute for Meteorology and Geodynamics, Department of Geophysics) – Brno (Institute of Physics</w:t>
      </w:r>
      <w:r w:rsidR="00DA6896">
        <w:t xml:space="preserve"> of the Earth, University Brno.</w:t>
      </w:r>
    </w:p>
    <w:p w:rsidR="00791666" w:rsidRDefault="00791666" w:rsidP="00791666">
      <w:pPr>
        <w:spacing w:after="240"/>
      </w:pPr>
      <w:r>
        <w:t>AEC, 2015. Earthquake catalogue of felt earthquakes 1200 – 2014 A.D. (Austria). Computer File. Central Institute of Meteorology and Geodynamics (ZAMG), Vienna, Austria.</w:t>
      </w:r>
    </w:p>
    <w:p w:rsidR="00791666" w:rsidRDefault="00791666" w:rsidP="00791666">
      <w:pPr>
        <w:spacing w:after="240"/>
      </w:pPr>
      <w:r>
        <w:t>Ahmad, S., Bhat, M.I., 2012. Tectonic geomorphology of the Rambiara basin, SW Kashmir Valley reveals emergent out-of-sequence active fault system. Himalayan Geology, 33 (2), 162-172.</w:t>
      </w:r>
    </w:p>
    <w:p w:rsidR="00791666" w:rsidRDefault="00791666" w:rsidP="00791666">
      <w:pPr>
        <w:spacing w:after="240"/>
      </w:pPr>
      <w:r>
        <w:t>AIST, 2015. GSJ / AIST / Institute of Earthquake and Volcano Geology, Active fault database of Japan. accessed 2015-10-12, from web site:</w:t>
      </w:r>
      <w:r w:rsidR="00DA6896">
        <w:tab/>
        <w:t xml:space="preserve"> </w:t>
      </w:r>
      <w:r>
        <w:t>https://gbank.gsj.jp/activefault/index_e_usual.html?search_no=e001&amp;version_no=1&amp;search_mode=0</w:t>
      </w:r>
    </w:p>
    <w:p w:rsidR="00791666" w:rsidRDefault="00791666" w:rsidP="00791666">
      <w:pPr>
        <w:spacing w:after="240"/>
      </w:pPr>
      <w:r>
        <w:t>AIST, 2015. GSJ / AIST / Institute of Earthquake and Volcano Geology, Active fault database of Japan. accessed 2015-10-12, from web site:</w:t>
      </w:r>
      <w:r w:rsidR="00DA6896">
        <w:tab/>
      </w:r>
      <w:r>
        <w:t xml:space="preserve"> https://gbank.gsj.jp/activefault/index_e_usual.html?search_no=e001&amp;version_no=1&amp;search_mode=0</w:t>
      </w:r>
    </w:p>
    <w:p w:rsidR="00791666" w:rsidRDefault="00791666" w:rsidP="00791666">
      <w:pPr>
        <w:spacing w:after="240"/>
      </w:pPr>
      <w:r>
        <w:t>Ake, J., Mahrer, K., O’Connell, D. &amp; Block. L., 2005. Deep-injection and closely monitored induced seismicity at Paradox Valley, Colorado. SSA Bulletin, 95/2: 664-683.</w:t>
      </w:r>
    </w:p>
    <w:p w:rsidR="00791666" w:rsidRDefault="00791666" w:rsidP="00791666">
      <w:pPr>
        <w:spacing w:after="240"/>
      </w:pPr>
      <w:r>
        <w:t>Akkar, S. &amp; Bommer, J.J. 2007. Empirical prediction equations for peak ground velocity derived from strong-motion records from Europe and the Middle East. Bull. Seismol. Soc. Am. 97: 511–530.</w:t>
      </w:r>
    </w:p>
    <w:p w:rsidR="00791666" w:rsidRDefault="00791666" w:rsidP="00791666">
      <w:pPr>
        <w:spacing w:after="240"/>
      </w:pPr>
      <w:r>
        <w:t>Akkar, S., Sandikkaya, M.A. &amp; Bommer, J.J., 2013. Empirical ground-motion models for point- and extended source crustal earthquake scenarios in Europe and the Middle East. Bull. Earth</w:t>
      </w:r>
      <w:r w:rsidR="00DA6896">
        <w:t>quake Engineering, 12: 359-387.</w:t>
      </w:r>
    </w:p>
    <w:p w:rsidR="00791666" w:rsidRDefault="00791666" w:rsidP="00791666">
      <w:pPr>
        <w:spacing w:after="240"/>
      </w:pPr>
      <w:r>
        <w:lastRenderedPageBreak/>
        <w:t>Ambraseys, N. N., J. Douglas, S. K. Sarma &amp; Smit, P.M., 2005. Equation for the Estimation of Strong Ground M</w:t>
      </w:r>
      <w:r>
        <w:t>o</w:t>
      </w:r>
      <w:r>
        <w:t>tions from Shallow Crustal Earthquakes Using Data from Europe and the Middle East: Horizontal Peak Ground A</w:t>
      </w:r>
      <w:r>
        <w:t>c</w:t>
      </w:r>
      <w:r>
        <w:t>celeration and Spectral Acceleration. Bull. Earthquake Eng. 3, 1-53.</w:t>
      </w:r>
    </w:p>
    <w:p w:rsidR="00791666" w:rsidRDefault="00791666" w:rsidP="00791666">
      <w:pPr>
        <w:spacing w:after="240"/>
      </w:pPr>
      <w:r>
        <w:t>Ambraseys, N.N., 1988. Engineering seismology, Earthquake Engineering and Structural Dynamics, 17, 1-105.</w:t>
      </w:r>
    </w:p>
    <w:p w:rsidR="00791666" w:rsidRDefault="00791666" w:rsidP="00791666">
      <w:pPr>
        <w:spacing w:after="240"/>
      </w:pPr>
      <w:r>
        <w:t>Ambraseys, N.N.,Simpson,  K.A. &amp; Bommer, J.J. 1996. Prediction of horizontal response spectra in Europe. Earthq. Eng. Struct. Dyn. 25: 371–400.</w:t>
      </w:r>
    </w:p>
    <w:p w:rsidR="00791666" w:rsidRDefault="00791666" w:rsidP="00791666">
      <w:pPr>
        <w:spacing w:after="240"/>
      </w:pPr>
      <w:r>
        <w:t>Ambrasseys, N.N. &amp; Douglas, J., 2003. Near-field horizontal and vertical ground motion relations. Soil Dynamics and Earthquake Engeneering, 23: 1-18.</w:t>
      </w:r>
    </w:p>
    <w:p w:rsidR="00791666" w:rsidRDefault="00791666" w:rsidP="00791666">
      <w:pPr>
        <w:spacing w:after="240"/>
      </w:pPr>
      <w:r>
        <w:t>ANS, 2015. Criteria for Assessing Tectonic Surface Fault Rupture and Deformation at Nuclear Facilities. ANSI/ANS-2.30-2015, 60pp.</w:t>
      </w:r>
    </w:p>
    <w:p w:rsidR="00791666" w:rsidRDefault="00791666" w:rsidP="00791666">
      <w:pPr>
        <w:spacing w:after="240"/>
      </w:pPr>
      <w:r>
        <w:t>Armenian Nuclear Regulatory Authority, 2015. National Report. The Stress Test for Armenian Nuclear Power Plant. http://www.ensreg.eu/armenia-stress-test</w:t>
      </w:r>
    </w:p>
    <w:p w:rsidR="00791666" w:rsidRDefault="00791666" w:rsidP="00791666">
      <w:pPr>
        <w:spacing w:after="240"/>
      </w:pPr>
      <w:r>
        <w:t>Atkinson, G. M. &amp; Boore, D.M., 2006. Earthquake Ground-Motion Prediction Equations for Eastern North America. Bull. Seism. Soc. Am. 96, 2181-2205.</w:t>
      </w:r>
    </w:p>
    <w:p w:rsidR="00791666" w:rsidRDefault="00791666" w:rsidP="00791666">
      <w:pPr>
        <w:spacing w:after="240"/>
      </w:pPr>
      <w:r>
        <w:t>Azor, A., Keller, E.A., Yeats, R.S., 2002. Geomorphic indicators of active fold growth: South Mountain-Oak Ridge Ventura basin, Southern California. Geological Society of America Bulletin 114, 745-753.</w:t>
      </w:r>
    </w:p>
    <w:p w:rsidR="00791666" w:rsidRDefault="00791666" w:rsidP="00791666">
      <w:pPr>
        <w:spacing w:after="240"/>
      </w:pPr>
      <w:r>
        <w:t>Baisch, S., Martin, C. &amp; SERIANEX group, 2010. Seismc risk analysis of the Basel Geothermal (EGS) Project.  Eur</w:t>
      </w:r>
      <w:r>
        <w:t>o</w:t>
      </w:r>
      <w:r>
        <w:t>pean Seismological Commission, 32nd General Assembly, Abstract Volume: 33.</w:t>
      </w:r>
    </w:p>
    <w:p w:rsidR="00791666" w:rsidRDefault="00791666" w:rsidP="00791666">
      <w:pPr>
        <w:spacing w:after="240"/>
      </w:pPr>
      <w:r>
        <w:t>Bán, Z., Györi, E., Katona, T. &amp; Tóth, L. (2015). Characterisation of Liquefaction Effects for Beyond-Design Basis Safety Assessment of Nuclear Power Plants. Geophysical Research Abstracts, 17: EGU2015-4152.</w:t>
      </w:r>
    </w:p>
    <w:p w:rsidR="00791666" w:rsidRDefault="00791666" w:rsidP="00791666">
      <w:pPr>
        <w:spacing w:after="240"/>
      </w:pPr>
      <w:r>
        <w:t>Basili, R., et al., 2007. The Database of Individual Seismogenic Sources (DISS), version 3: Summarizing 20 Years of Research on Italy's Earthquake Geology, Tectonophysics, 453: 20–43.</w:t>
      </w:r>
    </w:p>
    <w:p w:rsidR="00791666" w:rsidRDefault="00791666" w:rsidP="00791666">
      <w:pPr>
        <w:spacing w:after="240"/>
      </w:pPr>
      <w:r>
        <w:t>Baum, R.L., Godt, J.W. &amp; Coe, J.A., 2011. Assessing susceptibility and timing of shallow landslide and debris flow initiation in the Oregon Coast Range, USA. Italian Journal of Engineering Geology and Environment - www.ijege.uniroma1.it, 2011 Casa Editrice Università La Sapienza, DOI: 10.4408/IJEGE.2011-03.B-090, p. 825-834.</w:t>
      </w:r>
    </w:p>
    <w:p w:rsidR="00791666" w:rsidRDefault="00791666" w:rsidP="00791666">
      <w:pPr>
        <w:spacing w:after="240"/>
      </w:pPr>
      <w:r>
        <w:t>Baumont D. and Scotti O., 2011. The French Parametric Earthquake Catalogue (FPEC) based on the best events of the Sisfrance macroseismic database - Version 1.1</w:t>
      </w:r>
      <w:r w:rsidR="00DA6896">
        <w:t>. IRSN/DEI/2011-012.</w:t>
      </w:r>
    </w:p>
    <w:p w:rsidR="00791666" w:rsidRDefault="00791666" w:rsidP="00791666">
      <w:pPr>
        <w:spacing w:after="240"/>
      </w:pPr>
      <w:r>
        <w:t>Bayliss, T., Burton, P. W., (2007) A new earthquake catalogue for Bulgaria and the conterminous Balkan high r</w:t>
      </w:r>
      <w:r>
        <w:t>e</w:t>
      </w:r>
      <w:r>
        <w:t>gion. Nat. Hazazrds Earth Syst. Sci., 7: 345-359.</w:t>
      </w:r>
    </w:p>
    <w:p w:rsidR="00791666" w:rsidRDefault="00791666" w:rsidP="00791666">
      <w:pPr>
        <w:spacing w:after="240"/>
      </w:pPr>
      <w:r>
        <w:lastRenderedPageBreak/>
        <w:t>Beidinger, A. &amp; Decker, K., 2011. Seismic mapping and kinematics of the Lassee segment of the active Vienna Basin transfer fault system. Tectonophysics, 499: 22-40.</w:t>
      </w:r>
    </w:p>
    <w:p w:rsidR="00791666" w:rsidRDefault="00791666" w:rsidP="00791666">
      <w:pPr>
        <w:spacing w:after="240"/>
      </w:pPr>
      <w:r>
        <w:t>Bell, F.G., 2004. Engineering Geology and Construction. Spon Press, New York.</w:t>
      </w:r>
    </w:p>
    <w:p w:rsidR="00791666" w:rsidRDefault="00791666" w:rsidP="00791666">
      <w:pPr>
        <w:spacing w:after="240"/>
      </w:pPr>
      <w:r>
        <w:t>Berge-Thierry, C., F. Cotton, O. Scotti, D. A. Griot-Pommera &amp; Fukushima, Y., 2003. New empirical response spe</w:t>
      </w:r>
      <w:r>
        <w:t>c</w:t>
      </w:r>
      <w:r>
        <w:t>tral attenuation laws for moderate European earthquakes. J. Earthquake Eng. 7: 193-222.</w:t>
      </w:r>
    </w:p>
    <w:p w:rsidR="00791666" w:rsidRDefault="00791666" w:rsidP="00791666">
      <w:pPr>
        <w:spacing w:after="240"/>
      </w:pPr>
      <w:r>
        <w:t>Bhatt, C.M., Chopra, R., Sharma, P.K., 2007. Morphotectonic Analysis in Anandpur Sahib Area, Punjab (India) using Remote Sensing and GIS Approach. Journal of the Indian Society of Remote Sensing 35 (2), 129-139.</w:t>
      </w:r>
    </w:p>
    <w:p w:rsidR="00791666" w:rsidRDefault="00791666" w:rsidP="00791666">
      <w:pPr>
        <w:spacing w:after="240"/>
      </w:pPr>
      <w:r>
        <w:t>Biswas, S., Grasemann, B., 2005. Quantitative morphotectonics of the southern Shillong Plateau (Bangl</w:t>
      </w:r>
      <w:r>
        <w:t>a</w:t>
      </w:r>
      <w:r>
        <w:t>desh/India). Austrian Journal of Earth Sciences 97, 82-93.</w:t>
      </w:r>
    </w:p>
    <w:p w:rsidR="00791666" w:rsidRDefault="00791666" w:rsidP="00791666">
      <w:pPr>
        <w:spacing w:after="240"/>
      </w:pPr>
      <w:r>
        <w:t>BNRA, 2011. European “Stress Tests” for NPPs, National Report of Bulgaria, December 2011. http://www.bnsa.bas.bg/en/documents-en/conventions-en/report-en/finalstresstests-kozloduy-en.pdf</w:t>
      </w:r>
    </w:p>
    <w:p w:rsidR="00791666" w:rsidRDefault="00791666" w:rsidP="00791666">
      <w:pPr>
        <w:spacing w:after="240"/>
      </w:pPr>
      <w:r>
        <w:t>BNRA, 2012. Republic of Bulgaria, National Report, Second Extraordinary Meeting under the Convention of Nucle-ar Safety, Sofia, May 2012. http://www.bnsa.bas.bg/en/documents-en/conventions-en/report-en/cns-extra-bulgaria.pdf</w:t>
      </w:r>
    </w:p>
    <w:p w:rsidR="00791666" w:rsidRDefault="00791666" w:rsidP="00791666">
      <w:pPr>
        <w:spacing w:after="240"/>
      </w:pPr>
      <w:r w:rsidRPr="00791666">
        <w:rPr>
          <w:lang w:val="de-AT"/>
        </w:rPr>
        <w:t xml:space="preserve">Bondevik, S., Lovhot, F., Harbitz, C., Mangerud J., Dawsin A.&amp; Svendsen J. I., 2005. </w:t>
      </w:r>
      <w:r>
        <w:t>The Storegga Slide tsunami – comparing field observations with numerical observations. Marine and Petroleum Geology 22: 195–208.</w:t>
      </w:r>
    </w:p>
    <w:p w:rsidR="00791666" w:rsidRDefault="00791666" w:rsidP="00791666">
      <w:pPr>
        <w:spacing w:after="240"/>
      </w:pPr>
      <w:r>
        <w:t>Boore, D. M., &amp; Atkinson, G. M., 2007. Boore-Atkinson NGA ground motion relations for the geometric mean hor</w:t>
      </w:r>
      <w:r>
        <w:t>i</w:t>
      </w:r>
      <w:r>
        <w:t>zontal component of peak and spectral ground motion parameters. PEER Report 2007/01. Pacific Earthquake Eng</w:t>
      </w:r>
      <w:r>
        <w:t>i</w:t>
      </w:r>
      <w:r>
        <w:t>neering Research Center, College of Engineering, University of California, Berkeley.</w:t>
      </w:r>
    </w:p>
    <w:p w:rsidR="00791666" w:rsidRDefault="00791666" w:rsidP="00791666">
      <w:pPr>
        <w:spacing w:after="240"/>
      </w:pPr>
      <w:r>
        <w:t>Boore, D. M., Joyner, W. B. &amp; Fumal, T.E. 1997. Equations for estimating horizontal response spectra and peak acceleration from western North American earthquakes; a summary of recent work. Seism. Res. Lett. 68: 128–153.</w:t>
      </w:r>
    </w:p>
    <w:p w:rsidR="00791666" w:rsidRDefault="00791666" w:rsidP="00791666">
      <w:pPr>
        <w:spacing w:after="240"/>
      </w:pPr>
      <w:r>
        <w:t>Boore, D. M., Joyner, W. B., &amp; Fumal, T. E., 1993. Estimation of response spectra and peak accelerations from western North American earthquakes: An interim report. USGS Open-File Report 93-509. U.S. Geological Survey. 70 pp.</w:t>
      </w:r>
    </w:p>
    <w:p w:rsidR="00791666" w:rsidRDefault="00791666" w:rsidP="00791666">
      <w:pPr>
        <w:spacing w:after="240"/>
      </w:pPr>
      <w:r>
        <w:t>Brown, P., Spalding, R., ReVelle, D., Tagliaferri, E &amp; Worden, P., 2002. The flux of small near-Earth objects colli</w:t>
      </w:r>
      <w:r>
        <w:t>d</w:t>
      </w:r>
      <w:r>
        <w:t>ing with the Earth. Nature 420: 294-296.</w:t>
      </w:r>
    </w:p>
    <w:p w:rsidR="00791666" w:rsidRDefault="00791666" w:rsidP="00791666">
      <w:pPr>
        <w:spacing w:after="240"/>
      </w:pPr>
      <w:r>
        <w:t>Bull, W.B., 2007. Tectonic geomorphology of mountains: A new approach to paleoseismology. Blackwell, Malden.</w:t>
      </w:r>
    </w:p>
    <w:p w:rsidR="00791666" w:rsidRDefault="00791666" w:rsidP="00791666">
      <w:pPr>
        <w:spacing w:after="240"/>
      </w:pPr>
      <w:r>
        <w:t>Bull, W.B., 2009. Tectonically Active Landscapes. Wiley-Blackwell, New Jersey.</w:t>
      </w:r>
    </w:p>
    <w:p w:rsidR="00791666" w:rsidRDefault="00791666" w:rsidP="00791666">
      <w:pPr>
        <w:spacing w:after="240"/>
      </w:pPr>
      <w:r>
        <w:lastRenderedPageBreak/>
        <w:t>Bull, W.B., McFadden, L.D., 1977. Tectonic geomorphology north and south of the Garlock fault, California. Ge</w:t>
      </w:r>
      <w:r>
        <w:t>o</w:t>
      </w:r>
      <w:r>
        <w:t>morphology in Arid Regions: In: Doehring, D.O. (Ed.), Proceedings of the Eighth Annual Geomorphology Symposia, State University of New York, Binghampton, pp. 115–138.</w:t>
      </w:r>
    </w:p>
    <w:p w:rsidR="00791666" w:rsidRDefault="00791666" w:rsidP="00791666">
      <w:pPr>
        <w:spacing w:after="240"/>
      </w:pPr>
      <w:r>
        <w:t>Bull, W.B., McFadden, L.D., 1977. Tectonic geomorphology north and south of the Garlock fault, California. In: Doehring, D.O. (Ed.), Geomorphology in Arid Regions. Proceedings of the Eighth Annual Geomorphology Symposia. State University of New York, Binghampton, 115-138.</w:t>
      </w:r>
    </w:p>
    <w:p w:rsidR="00791666" w:rsidRDefault="00791666" w:rsidP="00791666">
      <w:pPr>
        <w:spacing w:after="240"/>
      </w:pPr>
      <w:r>
        <w:t>Burbank, D.W. &amp; Anderson, R.S., 2011. Tectonic Ggeomorphology, 2nd Edition, 468 pp. (Wiley-Blackwell)</w:t>
      </w:r>
      <w:r w:rsidR="00DA6896">
        <w:t>.</w:t>
      </w:r>
    </w:p>
    <w:p w:rsidR="00791666" w:rsidRDefault="00791666" w:rsidP="00791666">
      <w:pPr>
        <w:spacing w:after="240"/>
      </w:pPr>
      <w:r>
        <w:t>Burbank, D.W., Anderson, R.S., 2001. Tectonic Geomorphology. Blackwell Science, Malden.</w:t>
      </w:r>
    </w:p>
    <w:p w:rsidR="00791666" w:rsidRDefault="00791666" w:rsidP="00791666">
      <w:pPr>
        <w:spacing w:after="240"/>
      </w:pPr>
      <w:r>
        <w:t>Camelbeeck, T., &amp; Meghraoui, M., 1998, Geological and geophysical evidence for large palaeo-earthquakes with surface faulting in the Roer Graben (northwest Europe): Geophysical Journal International, v. 132, p. 347-362.</w:t>
      </w:r>
    </w:p>
    <w:p w:rsidR="00791666" w:rsidRDefault="00791666" w:rsidP="00791666">
      <w:pPr>
        <w:spacing w:after="240"/>
      </w:pPr>
      <w:r>
        <w:t>Campbel, KW. &amp; Bozorgnia, Y., 2008. NGA ground motion model for the geomewtric mean horizontal component of PGA, PGV, PGD and 5%-damped linear elastic response spectra at periods ranging from 0.1 s to 10.0 s. Earthquake Spectra, 24: 139-171.</w:t>
      </w:r>
    </w:p>
    <w:p w:rsidR="00791666" w:rsidRDefault="00791666" w:rsidP="00791666">
      <w:pPr>
        <w:spacing w:after="240"/>
      </w:pPr>
      <w:r>
        <w:t>Campbell, K. W., 1997. Empirical near-source attenuation relationships for horizontal and vertical components of peak ground acceleration, peak ground velocity, and pseudo-absolute acceleration response spectra. Seismological Research Letters, 68(1): 154–179.</w:t>
      </w:r>
    </w:p>
    <w:p w:rsidR="00791666" w:rsidRDefault="00791666" w:rsidP="00791666">
      <w:pPr>
        <w:spacing w:after="240"/>
      </w:pPr>
      <w:r>
        <w:t>Cecić, I., 2016. Recent re-evaluations of historical earthquakes in Slovenian catalogue. Abstract, 4th International Colloquium on Historical Earthquakes and Macroseismology, 2.-3. May 2016, Vienna, Austria</w:t>
      </w:r>
      <w:r w:rsidR="00DA6896">
        <w:t>.</w:t>
      </w:r>
    </w:p>
    <w:p w:rsidR="00791666" w:rsidRDefault="00791666" w:rsidP="00791666">
      <w:pPr>
        <w:spacing w:after="240"/>
      </w:pPr>
      <w:r w:rsidRPr="00791666">
        <w:rPr>
          <w:lang w:val="de-AT"/>
        </w:rPr>
        <w:t xml:space="preserve">Chapman, N., Berryman, K., Epstein, W., Kato, H., Lichtfield, N. &amp; Okomura, K., 2004. </w:t>
      </w:r>
      <w:r>
        <w:t>Evaluation of Faults Near the Tsuruga Nuclear Power Plant. Third Party Review Meeing and International Review Group, Summary of Ind</w:t>
      </w:r>
      <w:r>
        <w:t>e</w:t>
      </w:r>
      <w:r>
        <w:t>pendent Findings of the 2nd Review June 3rd - 5th  2014-</w:t>
      </w:r>
      <w:r w:rsidR="00DA6896">
        <w:tab/>
      </w:r>
      <w:r>
        <w:t xml:space="preserve"> http://www.japc.co.jp/news/press/2014/pdf/260605_2e.pdf</w:t>
      </w:r>
    </w:p>
    <w:p w:rsidR="00791666" w:rsidRDefault="00791666" w:rsidP="00791666">
      <w:pPr>
        <w:spacing w:after="240"/>
      </w:pPr>
      <w:r>
        <w:t>Cline, C.M., Cline, M.L., Blanco, J., Quitmeyer, R., Kimball, J., Rizzo, P.C. &amp; Bavec, M., 2015. Probabilistic fault discplacement hazard analysis for regulatory desicion-making: a case study using ste-of-the-practice fault chara</w:t>
      </w:r>
      <w:r>
        <w:t>c</w:t>
      </w:r>
      <w:r>
        <w:t>terization methods. Conference Paper, Best Pratices in Physics-based Fault Rupture Models for Seismic Hazard Assessment of Nuclear Installations, IAEA, November 18-20, 2015, Vienna.</w:t>
      </w:r>
    </w:p>
    <w:p w:rsidR="00791666" w:rsidRDefault="00791666" w:rsidP="00791666">
      <w:pPr>
        <w:spacing w:after="240"/>
      </w:pPr>
      <w:r>
        <w:t>Coppersmith, K.J., &amp; Youngs, R.R., 1986. Capturing Uncertainty in Probabilistic Seismic Hazard Assessment Within Intraplate Tectonic Environments. In: Proceedings of the Third U.S. National Conference on Earthquake Enginee</w:t>
      </w:r>
      <w:r>
        <w:t>r</w:t>
      </w:r>
      <w:r>
        <w:t>ing, Earthquake Engineering Research Institute, 1:301-312.</w:t>
      </w:r>
    </w:p>
    <w:p w:rsidR="00791666" w:rsidRDefault="00791666" w:rsidP="00791666">
      <w:pPr>
        <w:spacing w:after="240"/>
      </w:pPr>
      <w:r>
        <w:t>Cornell, C.A., 1968. Engineering seismic risk analysis. Bull. Seism. Soc. Amer. 58: 1583-1606.</w:t>
      </w:r>
    </w:p>
    <w:p w:rsidR="00791666" w:rsidRDefault="00791666" w:rsidP="00791666">
      <w:pPr>
        <w:spacing w:after="240"/>
      </w:pPr>
      <w:r>
        <w:lastRenderedPageBreak/>
        <w:t>Cornell, C.A., 1971. A probabilitic analysis of damage to structures under seismic loads. In: D.A Howells et al. (eds), Dynamic waves in civil engineering, Chapter 27 (London, John Wiley &amp; Sons)</w:t>
      </w:r>
      <w:r w:rsidR="00DA6896">
        <w:t>.</w:t>
      </w:r>
    </w:p>
    <w:p w:rsidR="00791666" w:rsidRDefault="00791666" w:rsidP="00791666">
      <w:pPr>
        <w:spacing w:after="240"/>
      </w:pPr>
      <w:r>
        <w:t>CPTI Working Group, 2004. Catalogo Parametrico dei Terremoti Italiani, versione 2004 (CPTI04). INGV, Bologna.</w:t>
      </w:r>
    </w:p>
    <w:p w:rsidR="00791666" w:rsidRDefault="00791666" w:rsidP="00791666">
      <w:pPr>
        <w:spacing w:after="240"/>
      </w:pPr>
      <w:r>
        <w:t>CRWMS M&amp;O, 1996, Probabilistic Volcanic Hazard Analysis for Yucca Mountain, Nevada: Las Vegas, Nevada BA0000000-01717-2200-00082 REV 0.</w:t>
      </w:r>
    </w:p>
    <w:p w:rsidR="00791666" w:rsidRDefault="00791666" w:rsidP="00791666">
      <w:pPr>
        <w:spacing w:after="240"/>
      </w:pPr>
      <w:r>
        <w:t>CRWMS M&amp;O, 1998, Probabilistic Seismic Hazard Analyses for Fault Displacement and Vibratory Ground Motion at Yucca Mountain, Nevada, Vols. 1-3: Las Vegas, Nevada, Milestone SP32IM3</w:t>
      </w:r>
      <w:r w:rsidR="00DA6896">
        <w:t>.</w:t>
      </w:r>
    </w:p>
    <w:p w:rsidR="00791666" w:rsidRDefault="00791666" w:rsidP="00791666">
      <w:pPr>
        <w:spacing w:after="240"/>
      </w:pPr>
      <w:r>
        <w:t>Cuong, N.Q., Zuchiewicz, W.A., 2001. Morphotectonic properties of the Lo River Fault near Tam Dao in North V</w:t>
      </w:r>
      <w:r>
        <w:t>i</w:t>
      </w:r>
      <w:r>
        <w:t>etnam. Natural Hazards and Earth System Sciences 1, 15-22.</w:t>
      </w:r>
    </w:p>
    <w:p w:rsidR="004A72BC" w:rsidRDefault="004A72BC" w:rsidP="004A72BC">
      <w:pPr>
        <w:spacing w:after="240"/>
      </w:pPr>
      <w:r>
        <w:t xml:space="preserve">Decker, K., </w:t>
      </w:r>
      <w:r w:rsidRPr="004A72BC">
        <w:t>Bibliography – Existing Guidance for External Hazard Modelling</w:t>
      </w:r>
      <w:r>
        <w:t>, Technical report ASAMPSA_E / WP21 / D21.1 / 2015-09, reference IRSN PSN-RES/SAG/2015-00082</w:t>
      </w:r>
    </w:p>
    <w:p w:rsidR="00791666" w:rsidRDefault="00791666" w:rsidP="00791666">
      <w:pPr>
        <w:spacing w:after="240"/>
      </w:pPr>
      <w:r>
        <w:t>Decker, K. &amp; Brinkman, H., 2014. List of external hazards to be considered in ASAMPSA_E. Technical report ASAMPSA_E / WP21 / D21.2 / 2014-12, 43 pp.</w:t>
      </w:r>
    </w:p>
    <w:p w:rsidR="00791666" w:rsidRDefault="00791666" w:rsidP="00791666">
      <w:pPr>
        <w:spacing w:after="240"/>
      </w:pPr>
      <w:r>
        <w:t>Deichmann, N., 2010. Injection-induced seismicity: placing the problem in perspective. European Seismological Commission, 32nd General Assembly, Abstract Volume: 36-37.</w:t>
      </w:r>
    </w:p>
    <w:p w:rsidR="00791666" w:rsidRDefault="00791666" w:rsidP="00791666">
      <w:pPr>
        <w:spacing w:after="240"/>
      </w:pPr>
      <w:r>
        <w:t>Delavaud, E., Cotton, F., Akkar, S. et al., 2012. Toward a ground-motion logic tree for probabilistic seismic hazard assessment in Europe. Journal of Seismology, 16: 451-473.</w:t>
      </w:r>
    </w:p>
    <w:p w:rsidR="00791666" w:rsidRDefault="00791666" w:rsidP="00791666">
      <w:pPr>
        <w:spacing w:after="240"/>
      </w:pPr>
      <w:r>
        <w:t>Der Kiureghian, A. &amp; Ang, A.H.S., 1975. A line source model for sesimic risk analysis. Univ. Illinois Technological Report, UILU-ENG-75-2023, Ureana, 134pp.</w:t>
      </w:r>
    </w:p>
    <w:p w:rsidR="00791666" w:rsidRDefault="00791666" w:rsidP="00791666">
      <w:pPr>
        <w:spacing w:after="240"/>
      </w:pPr>
      <w:r>
        <w:t>Douglas, J., 2011. Ground-motion prediction equatiuons 1964-2010. Final Report BRGM/RP-59356-FR, February 2011.</w:t>
      </w:r>
    </w:p>
    <w:p w:rsidR="00791666" w:rsidRDefault="00791666" w:rsidP="00791666">
      <w:pPr>
        <w:spacing w:after="240"/>
      </w:pPr>
      <w:r>
        <w:t>Dziewonski, A. M., T.-A. Chou and J. H. Woodhouse, Determination of earthquake source parameters from wav</w:t>
      </w:r>
      <w:r>
        <w:t>e</w:t>
      </w:r>
      <w:r>
        <w:t>form data for studies of global and regional seismicity, J. Geophys. Res., 86, 2825-2852, 1981. doi:10.1029/JB086iB04p02825</w:t>
      </w:r>
      <w:r w:rsidR="00DA6896">
        <w:t>.</w:t>
      </w:r>
    </w:p>
    <w:p w:rsidR="00791666" w:rsidRDefault="00791666" w:rsidP="00791666">
      <w:pPr>
        <w:spacing w:after="240"/>
      </w:pPr>
      <w:r>
        <w:t>Ekström, G., M. Nettles, and A. M. Dziewonski, The global CMT project 2004-2010: Centroid-moment tensors for 13,017 earthquakes, Phys. Earth Planet. Inter., 200-201, 1-9, 2012. doi:10.1016/j.pepi.2012.04.002</w:t>
      </w:r>
      <w:r w:rsidR="00DA6896">
        <w:t>.</w:t>
      </w:r>
    </w:p>
    <w:p w:rsidR="00791666" w:rsidRDefault="00791666" w:rsidP="00791666">
      <w:pPr>
        <w:spacing w:after="240"/>
      </w:pPr>
      <w:r>
        <w:t>El Hamdouni, R., Irigaray, C., Fernández, T., Chacón, J., Keller, E.A., 2008. Assessment of relative active tecto</w:t>
      </w:r>
      <w:r>
        <w:t>n</w:t>
      </w:r>
      <w:r>
        <w:t>ics, southwest border of the Sierra Nevada (southern Spain). Geomorphology 96, 150-173.</w:t>
      </w:r>
    </w:p>
    <w:p w:rsidR="00791666" w:rsidRDefault="00791666" w:rsidP="00791666">
      <w:pPr>
        <w:spacing w:after="240"/>
      </w:pPr>
      <w:r>
        <w:lastRenderedPageBreak/>
        <w:t>ENSI, 2011. EU Stress Test Swiss National Report. ENSI Review of the Operators’ Reports. http://static.ensi.ch/1326182677/swiss-national-report_eu-stress-test_20111231_final.pdf</w:t>
      </w:r>
    </w:p>
    <w:p w:rsidR="00791666" w:rsidRDefault="00791666" w:rsidP="00791666">
      <w:pPr>
        <w:spacing w:after="240"/>
      </w:pPr>
      <w:r>
        <w:t>ENSREG, 2012a. Peer review report. Stress tests performed on European nuclear power plants. http://www.ensreg.eu/node/407</w:t>
      </w:r>
    </w:p>
    <w:p w:rsidR="00791666" w:rsidRDefault="00791666" w:rsidP="00791666">
      <w:pPr>
        <w:spacing w:after="240"/>
      </w:pPr>
      <w:r>
        <w:t>ENSREG, 2012b. Compilation of recommendations and suggestions. Peer review of stress tests performed on Eur</w:t>
      </w:r>
      <w:r>
        <w:t>o</w:t>
      </w:r>
      <w:r>
        <w:t>pean nuclear ower plants. http://www.ensreg.eu/node/512</w:t>
      </w:r>
    </w:p>
    <w:p w:rsidR="00791666" w:rsidRDefault="00791666" w:rsidP="00791666">
      <w:pPr>
        <w:spacing w:after="240"/>
      </w:pPr>
      <w:r>
        <w:t>ENSREG, 2012c. Czech Republic. Peer review country report, Stress tests performed on European nuclear power plants. http://www.ensreg.eu/node/393</w:t>
      </w:r>
    </w:p>
    <w:p w:rsidR="00791666" w:rsidRDefault="00791666" w:rsidP="00791666">
      <w:pPr>
        <w:spacing w:after="240"/>
      </w:pPr>
      <w:r>
        <w:t>Ezati, M., Agh-Atabai, M., 2013. Active tectonic analysis of Atrak river subbasin located in NE Iran (East Alborz). Journal of Tethys 1 (3), 177-188.</w:t>
      </w:r>
    </w:p>
    <w:p w:rsidR="00791666" w:rsidRDefault="00791666" w:rsidP="00791666">
      <w:pPr>
        <w:spacing w:after="240"/>
      </w:pPr>
      <w:r>
        <w:t>Fäh, D., Gassner-Stamm, G., Strasser, M., Grolimund, R &amp; Wirth, S., 2016. Large earthquakes in historical and prehistorical times in Switzerland: An overview of earthquake induced ffects. Abstract, 4th International Colloqu</w:t>
      </w:r>
      <w:r>
        <w:t>i</w:t>
      </w:r>
      <w:r>
        <w:t>um on Historical Earthquakes and Macroseismology, 2.-3. May 2016, Vienna, Austria</w:t>
      </w:r>
      <w:r w:rsidR="00DA6896">
        <w:t>.</w:t>
      </w:r>
    </w:p>
    <w:p w:rsidR="00791666" w:rsidRDefault="00791666" w:rsidP="00791666">
      <w:pPr>
        <w:spacing w:after="240"/>
      </w:pPr>
      <w:r>
        <w:t>Folger, P. &amp; Tiemann, M., 2015. Human-induced earthquakes from deep-well injection: a brief overview. Congre</w:t>
      </w:r>
      <w:r>
        <w:t>s</w:t>
      </w:r>
      <w:r>
        <w:t>sional Research Se</w:t>
      </w:r>
      <w:r w:rsidR="00DA6896">
        <w:t>rvice, CRS Report 7-5700, 29 pp.</w:t>
      </w:r>
    </w:p>
    <w:p w:rsidR="00791666" w:rsidRDefault="00791666" w:rsidP="00791666">
      <w:pPr>
        <w:spacing w:after="240"/>
      </w:pPr>
      <w:r>
        <w:t>Font, M., Amorese, D., Lagarde, J.L., 2010. DEM and GIS analysis of the stream gradient index to evaluate effects of tectonics: The Normandy intraplate area (NW France). Geomorphology 119, 172-180.</w:t>
      </w:r>
    </w:p>
    <w:p w:rsidR="00791666" w:rsidRDefault="00791666" w:rsidP="00791666">
      <w:pPr>
        <w:spacing w:after="240"/>
      </w:pPr>
      <w:r>
        <w:t>Fortunato, C., Martino, S., Prestinizi, A., Romeo, R.W., 2012. New release of the Italian catalogue of earthquake-induced ground failures (CEDIT), Italien Journal of Engineering Geology and Environment 2: 63–74, (with map), Doi: 10.4408/IJEGE.2012-02.O-05</w:t>
      </w:r>
      <w:r w:rsidR="00DA6896">
        <w:t>.</w:t>
      </w:r>
    </w:p>
    <w:p w:rsidR="00791666" w:rsidRDefault="00791666" w:rsidP="00791666">
      <w:pPr>
        <w:spacing w:after="240"/>
      </w:pPr>
      <w:r w:rsidRPr="006628F7">
        <w:rPr>
          <w:lang w:val="fr-FR"/>
        </w:rPr>
        <w:t xml:space="preserve">Garcia-Mayordomo, J., et al., 2012. </w:t>
      </w:r>
      <w:r>
        <w:t>The Quaternary active faults database of Iberia (QAFI v.2.0), Journal of Iber</w:t>
      </w:r>
      <w:r>
        <w:t>i</w:t>
      </w:r>
      <w:r>
        <w:t>an Geology, 38: 285–302.</w:t>
      </w:r>
    </w:p>
    <w:p w:rsidR="00791666" w:rsidRDefault="00791666" w:rsidP="00791666">
      <w:pPr>
        <w:spacing w:after="240"/>
      </w:pPr>
      <w:r>
        <w:t>García-Tortosa, F.J., Alfaro, P., Galindo-Zaldivar, J., Gubert, L., López-Garrido, A.C., Sanz de Galdeano, C., Ur</w:t>
      </w:r>
      <w:r>
        <w:t>e</w:t>
      </w:r>
      <w:r>
        <w:t>ña, M., 2008. Geomorphologic evidence of the active Baza Fault (Betic Cordillera, South Spain). Geomorphology 97, 374-391.</w:t>
      </w:r>
    </w:p>
    <w:p w:rsidR="00791666" w:rsidRDefault="00791666" w:rsidP="00791666">
      <w:pPr>
        <w:spacing w:after="240"/>
      </w:pPr>
      <w:r>
        <w:t>Garrote, R., Cox, R.T., Swann, C., Ellis, M.A., 2006. Tectonic geomorphology of the southeastern Mississippi E</w:t>
      </w:r>
      <w:r>
        <w:t>m</w:t>
      </w:r>
      <w:r>
        <w:t>bayment in northern Mississippi, USA. Geological Society of America Bulletin 118 (9/10), 1160-1170.</w:t>
      </w:r>
    </w:p>
    <w:p w:rsidR="00791666" w:rsidRDefault="00791666" w:rsidP="00791666">
      <w:pPr>
        <w:spacing w:after="240"/>
      </w:pPr>
      <w:r>
        <w:t>Geller, R.J., 2011. Shake-up time for Japanese seismology. Nature 472, 407–409.</w:t>
      </w:r>
    </w:p>
    <w:p w:rsidR="00791666" w:rsidRDefault="00791666" w:rsidP="00791666">
      <w:pPr>
        <w:spacing w:after="240"/>
      </w:pPr>
      <w:r>
        <w:lastRenderedPageBreak/>
        <w:t>Ghanat, Y., Hashimoto, P.S., Zuchuat, O. &amp; Kennedy, R.P. (2011). Seismic fragility of Mühleberg dam using nonli</w:t>
      </w:r>
      <w:r>
        <w:t>n</w:t>
      </w:r>
      <w:r>
        <w:t>ear analysis with latin hypercube simulation. U.S. Society on Dams, 31st Annual USSD Conference, San Diego, Cal</w:t>
      </w:r>
      <w:r>
        <w:t>i</w:t>
      </w:r>
      <w:r>
        <w:t>fornia, April 11-15, 2011, p 1197-1212.</w:t>
      </w:r>
    </w:p>
    <w:p w:rsidR="00791666" w:rsidRDefault="00791666" w:rsidP="00791666">
      <w:pPr>
        <w:spacing w:after="240"/>
      </w:pPr>
      <w:r>
        <w:t>Giaconia, F., Booth-Rea, G., Martínez-Martínez, J., Azañón, J.M., Pérez-Peña, J.V., Pérez-Romero, J., Villegas, I., 2012. Geomorphic evidence of active tectonics in the Sierra Alhamilla (eastern Betics, SE Spain). Geomorphology 145-146, 90-106.</w:t>
      </w:r>
    </w:p>
    <w:p w:rsidR="00791666" w:rsidRDefault="00791666" w:rsidP="00791666">
      <w:pPr>
        <w:spacing w:after="240"/>
      </w:pPr>
      <w:r>
        <w:t>Green, R.A. &amp; Hall, W.J., 1994. An overview of selected seismic hazard analysis methodologies. University of Ill</w:t>
      </w:r>
      <w:r>
        <w:t>i</w:t>
      </w:r>
      <w:r>
        <w:t>nois at Urbana-Champaign, August 1994.</w:t>
      </w:r>
    </w:p>
    <w:p w:rsidR="00791666" w:rsidRPr="00791666" w:rsidRDefault="00791666" w:rsidP="00791666">
      <w:pPr>
        <w:spacing w:after="240"/>
        <w:rPr>
          <w:lang w:val="de-AT"/>
        </w:rPr>
      </w:pPr>
      <w:r>
        <w:t xml:space="preserve">Grigorova E., Christoskov L., Sokerova D., Rizhikova S. and Roglinov A., 1978. Catalogue of earthquakes in Bulgaria and the nearby territories during the period 1st cent. </w:t>
      </w:r>
      <w:r w:rsidRPr="00791666">
        <w:rPr>
          <w:lang w:val="de-AT"/>
        </w:rPr>
        <w:t>BC - 1977. Geophys. Inst., Bulg. Acad. Sci., Sofia (unpubli</w:t>
      </w:r>
      <w:r w:rsidRPr="00791666">
        <w:rPr>
          <w:lang w:val="de-AT"/>
        </w:rPr>
        <w:t>s</w:t>
      </w:r>
      <w:r w:rsidRPr="00791666">
        <w:rPr>
          <w:lang w:val="de-AT"/>
        </w:rPr>
        <w:t>hed).</w:t>
      </w:r>
    </w:p>
    <w:p w:rsidR="00791666" w:rsidRPr="00791666" w:rsidRDefault="00791666" w:rsidP="00791666">
      <w:pPr>
        <w:spacing w:after="240"/>
        <w:rPr>
          <w:lang w:val="de-AT"/>
        </w:rPr>
      </w:pPr>
      <w:r w:rsidRPr="00791666">
        <w:rPr>
          <w:lang w:val="de-AT"/>
        </w:rPr>
        <w:t>Grünthal G., 1988. Erdbebenkatalog des Territoriums der Deutschen Demokratischen Republik und angrenzender Gebiete von 823 bis 1984. Veröff. Zentralinst. Physik der Erde (99), Potsdam, 139 pp.</w:t>
      </w:r>
    </w:p>
    <w:p w:rsidR="00791666" w:rsidRDefault="00791666" w:rsidP="00791666">
      <w:pPr>
        <w:spacing w:after="240"/>
      </w:pPr>
      <w:r w:rsidRPr="00791666">
        <w:rPr>
          <w:lang w:val="de-AT"/>
        </w:rPr>
        <w:t xml:space="preserve">Grünthal, G. &amp; Wahlström, R., 2012. </w:t>
      </w:r>
      <w:r>
        <w:t>The European‐Mediterranean Earthquake Catalogue (EMEC) for the last mi</w:t>
      </w:r>
      <w:r>
        <w:t>l</w:t>
      </w:r>
      <w:r>
        <w:t>lennium. ‐ Journal of Seismology, 16: 535‐570.</w:t>
      </w:r>
    </w:p>
    <w:p w:rsidR="00791666" w:rsidRDefault="00791666" w:rsidP="00791666">
      <w:pPr>
        <w:spacing w:after="240"/>
      </w:pPr>
      <w:r>
        <w:t>Grünthal, G., Wahlström, R. &amp; Strohmeyer, D., 2009. The unified catalogue of earthquakes in central, northern, and northwestern Europe (CENEC) - updated and expanded to the last millennium. J. Seismol., 13: 517-541.</w:t>
      </w:r>
    </w:p>
    <w:p w:rsidR="00791666" w:rsidRDefault="00791666" w:rsidP="00791666">
      <w:pPr>
        <w:spacing w:after="240"/>
      </w:pPr>
      <w:r>
        <w:t>GSHAP (Global Seismic Hazard Assessment Program), 1999. http://www.seismo.ethz.ch/static/GSHAP.</w:t>
      </w:r>
    </w:p>
    <w:p w:rsidR="00791666" w:rsidRDefault="00791666" w:rsidP="00791666">
      <w:pPr>
        <w:spacing w:after="240"/>
      </w:pPr>
      <w:r w:rsidRPr="00791666">
        <w:rPr>
          <w:lang w:val="de-AT"/>
        </w:rPr>
        <w:t>Guig</w:t>
      </w:r>
      <w:r w:rsidR="008C134D">
        <w:rPr>
          <w:lang w:val="de-AT"/>
        </w:rPr>
        <w:t>u</w:t>
      </w:r>
      <w:r w:rsidRPr="00791666">
        <w:rPr>
          <w:lang w:val="de-AT"/>
        </w:rPr>
        <w:t xml:space="preserve">eno, Y., Pihl, J., Karlsson, A. &amp; Rahni, N., 2014. </w:t>
      </w:r>
      <w:r>
        <w:t>Minutes and recommendations of the ASAMPSA_E Uppsala End-Users workshop (26-28/05/2014). Technical report ASAMPSA_E / WP10 / 2014-07.</w:t>
      </w:r>
    </w:p>
    <w:p w:rsidR="008C134D" w:rsidRPr="00B21047" w:rsidRDefault="008C134D" w:rsidP="00B21047">
      <w:pPr>
        <w:spacing w:after="240"/>
        <w:rPr>
          <w:lang w:val="de-AT"/>
        </w:rPr>
      </w:pPr>
      <w:r w:rsidRPr="00B21047">
        <w:rPr>
          <w:lang w:val="de-AT"/>
        </w:rPr>
        <w:t>Guigueno</w:t>
      </w:r>
      <w:r w:rsidR="004A72BC" w:rsidRPr="00B21047">
        <w:rPr>
          <w:lang w:val="de-AT"/>
        </w:rPr>
        <w:t xml:space="preserve">, Y and al, ASAMPSA_E, Synthesis of the initial survey related to PSAs End-Users needs, </w:t>
      </w:r>
      <w:r w:rsidR="004A72BC">
        <w:rPr>
          <w:lang w:val="de-AT"/>
        </w:rPr>
        <w:t>t</w:t>
      </w:r>
      <w:r w:rsidR="004A72BC" w:rsidRPr="00B21047">
        <w:rPr>
          <w:lang w:val="de-AT"/>
        </w:rPr>
        <w:t>echnical repor</w:t>
      </w:r>
      <w:r w:rsidR="004A72BC" w:rsidRPr="004A72BC">
        <w:rPr>
          <w:lang w:val="de-AT"/>
        </w:rPr>
        <w:t>t ASAMPSA_E/WP10/D10.2/2014-051</w:t>
      </w:r>
      <w:r w:rsidR="004A72BC">
        <w:rPr>
          <w:lang w:val="de-AT"/>
        </w:rPr>
        <w:t xml:space="preserve">- </w:t>
      </w:r>
      <w:r w:rsidR="004A72BC" w:rsidRPr="00B21047">
        <w:rPr>
          <w:lang w:val="de-AT"/>
        </w:rPr>
        <w:t>Reference IRSN PSN-RES/SAG/2014-00193</w:t>
      </w:r>
    </w:p>
    <w:p w:rsidR="00791666" w:rsidRDefault="00791666" w:rsidP="00791666">
      <w:pPr>
        <w:spacing w:after="240"/>
      </w:pPr>
      <w:r>
        <w:t>Gürbüz, A. and Gürer, Ö.F., 2008. Tectonic Geomorphology of the North Anatolian Fault Zone in the Lake Sapanca Basin (Eastern Marmara Region, Turkey). Geosciences Journal 12 (3), 215-225.</w:t>
      </w:r>
    </w:p>
    <w:p w:rsidR="00C17C20" w:rsidRDefault="00C17C20" w:rsidP="00C17C20">
      <w:pPr>
        <w:spacing w:after="240"/>
      </w:pPr>
      <w:r w:rsidRPr="00AB5597">
        <w:t xml:space="preserve">Gutenberg, B., Richter, C. F., 1956. </w:t>
      </w:r>
      <w:r>
        <w:t>Magnitude and Energy of Earthquakes. Annali di Geofisica, 9: 1–15</w:t>
      </w:r>
      <w:r w:rsidR="00DA6896">
        <w:t>.</w:t>
      </w:r>
    </w:p>
    <w:p w:rsidR="00791666" w:rsidRDefault="00791666" w:rsidP="00791666">
      <w:pPr>
        <w:spacing w:after="240"/>
      </w:pPr>
      <w:r>
        <w:t>Guterch B. &amp; Lewandowska-Marciniak H., 2002. Seismicity and seismic hazard in Poland. Folia Quat., 73: 85-99.</w:t>
      </w:r>
    </w:p>
    <w:p w:rsidR="00791666" w:rsidRPr="00791666" w:rsidRDefault="00791666" w:rsidP="00791666">
      <w:pPr>
        <w:spacing w:after="240"/>
        <w:rPr>
          <w:lang w:val="de-AT"/>
        </w:rPr>
      </w:pPr>
      <w:r>
        <w:t xml:space="preserve">Guterch, B. &amp; Kozák, J., 2015. Studies of Historical Earthquakes in Southern Poland: Outer Western Carpathian Earthquake of December 3, 1786, and First Macroseismic Maps in 1858-1901. </w:t>
      </w:r>
      <w:r w:rsidRPr="00791666">
        <w:rPr>
          <w:lang w:val="de-AT"/>
        </w:rPr>
        <w:t>(Springer)</w:t>
      </w:r>
      <w:r w:rsidR="00DA6896">
        <w:rPr>
          <w:lang w:val="de-AT"/>
        </w:rPr>
        <w:t>.</w:t>
      </w:r>
    </w:p>
    <w:p w:rsidR="00791666" w:rsidRDefault="00791666" w:rsidP="00791666">
      <w:pPr>
        <w:spacing w:after="240"/>
      </w:pPr>
      <w:r w:rsidRPr="00791666">
        <w:rPr>
          <w:lang w:val="de-AT"/>
        </w:rPr>
        <w:lastRenderedPageBreak/>
        <w:t xml:space="preserve">Gutscher, M.-A., Baptista, M.A.. &amp; Miranda, J.M., 2006. </w:t>
      </w:r>
      <w:r>
        <w:t>The Gibraltar Arc seismogenic zone (part 2): Constraints on a shallow east dipping fault plane source for the 1755 Lisbon earthquake provided by tsunami modeling and seismic intensity. Tectonophysics 426: 153-166.</w:t>
      </w:r>
    </w:p>
    <w:p w:rsidR="00791666" w:rsidRDefault="00791666" w:rsidP="00791666">
      <w:pPr>
        <w:spacing w:after="240"/>
      </w:pPr>
      <w:r>
        <w:t>Hack, J.T., 1973. Stream-profiles analysis and stream-gradient index. Journal of Research. United States Geolog</w:t>
      </w:r>
      <w:r>
        <w:t>i</w:t>
      </w:r>
      <w:r>
        <w:t>cal Survey 1, 421–429.</w:t>
      </w:r>
    </w:p>
    <w:p w:rsidR="00791666" w:rsidRDefault="00791666" w:rsidP="00791666">
      <w:pPr>
        <w:spacing w:after="240"/>
      </w:pPr>
      <w:r>
        <w:t>HAEA (Hungarian Atomic Energy Authority), 2014. National Action Plan of Hungary on the implementation actions decided upon the lessons learned from the Fukushima Daiichi accident. http://www.ensreg.eu/node/3769</w:t>
      </w:r>
    </w:p>
    <w:p w:rsidR="00791666" w:rsidRDefault="00791666" w:rsidP="00791666">
      <w:pPr>
        <w:spacing w:after="240"/>
      </w:pPr>
      <w:r>
        <w:t>Hanks, T.C., Abrahamson, N.A., Boore, D.M., Coppersmith, K.J, Knepprath, N.E., 2009. Implementation of the SSHAC Guidelines for Level 3 and 4 PSHAs - Experience Gained from Actual Applications. U.S. Geological Survey Open File Report 2009-1093, 66 pp.</w:t>
      </w:r>
    </w:p>
    <w:p w:rsidR="00791666" w:rsidRDefault="00791666" w:rsidP="00791666">
      <w:pPr>
        <w:spacing w:after="240"/>
      </w:pPr>
      <w:r w:rsidRPr="00727DC3">
        <w:t xml:space="preserve">Heidbach, O., Tingay, M., Barth, A., Reinecker, J., Kurfeß, D. and Müller, B., 2008. </w:t>
      </w:r>
      <w:r>
        <w:t>The World Stress Map database release 2008 doi:10.1594/GFZ.WSM.Rel2008.</w:t>
      </w:r>
    </w:p>
    <w:p w:rsidR="00791666" w:rsidRDefault="00791666" w:rsidP="00791666">
      <w:pPr>
        <w:spacing w:after="240"/>
      </w:pPr>
      <w:r>
        <w:t>"Herak M., 1995. Earthquake Catalog of Croatia and adjacent Regions. Archives of the Andrija Mohorovicic Ge</w:t>
      </w:r>
      <w:r>
        <w:t>o</w:t>
      </w:r>
      <w:r>
        <w:t>physical I</w:t>
      </w:r>
      <w:r w:rsidR="00DA6896">
        <w:t>nstitute, Zagreb (unpublished).</w:t>
      </w:r>
    </w:p>
    <w:p w:rsidR="00791666" w:rsidRDefault="00791666" w:rsidP="00791666">
      <w:pPr>
        <w:spacing w:after="240"/>
      </w:pPr>
      <w:r w:rsidRPr="00727DC3">
        <w:t xml:space="preserve">Herak, D., Herak, M. &amp; Tomljenović, B., 2008. </w:t>
      </w:r>
      <w:r>
        <w:t>Seismicity and earthquake focal mechanisms in North-Western Cro</w:t>
      </w:r>
      <w:r>
        <w:t>a</w:t>
      </w:r>
      <w:r>
        <w:t>tia. Tectonophysics, 465: 212-220.</w:t>
      </w:r>
    </w:p>
    <w:p w:rsidR="00791666" w:rsidRDefault="00791666" w:rsidP="00791666">
      <w:pPr>
        <w:spacing w:after="240"/>
      </w:pPr>
      <w:r>
        <w:t>Herak, M., Herak, D., &amp; Markusic, S., 1996. Revision of the earthquake catalogue and seismicity of Croatia, 1908-1992. Terra Nova, 8, 86-94.</w:t>
      </w:r>
    </w:p>
    <w:p w:rsidR="00791666" w:rsidRDefault="00791666" w:rsidP="00791666">
      <w:pPr>
        <w:spacing w:after="240"/>
      </w:pPr>
      <w:r>
        <w:t>Hinsch, R. &amp; Decker, K., 2003. Do seismic slip deficits indicate an underestimated earthquake potential along the Vienna Basin Transform Fault System? Terra Nova 15 (5), 343-349.</w:t>
      </w:r>
    </w:p>
    <w:p w:rsidR="00791666" w:rsidRDefault="00791666" w:rsidP="00791666">
      <w:pPr>
        <w:spacing w:after="240"/>
      </w:pPr>
      <w:r>
        <w:t>Hinsch, R. &amp; Decker, K., 2010. Seismic slip rates, potential subsurface rupture areas and seismic potential of the Vienna Basin Transfer Fault. Int. J. Earth Sci., 100: 1925-1935. DOI 10.1007/s00531-010-0613-3</w:t>
      </w:r>
    </w:p>
    <w:p w:rsidR="00791666" w:rsidRDefault="00791666" w:rsidP="00791666">
      <w:pPr>
        <w:spacing w:after="240"/>
      </w:pPr>
      <w:r>
        <w:t>Hintersberger, E., Scherbaum, F. &amp; Hainzl, S., 2007. Update of likelihood-based groundmotion model selection for seismic hazard analysis in western central Europe. Bulletin of Earthquake Engineering, 5: 1-16.</w:t>
      </w:r>
    </w:p>
    <w:p w:rsidR="00791666" w:rsidRDefault="00791666" w:rsidP="00791666">
      <w:pPr>
        <w:spacing w:after="240"/>
      </w:pPr>
      <w:r>
        <w:t>Holschneider, M., Zöller, G. &amp; Hainzel, S., 2011. Estimation of the maximum possible magnitude in the framework of a doubly truncated Gutenberg-Richter model. BSSA, 101: 1649-1659.</w:t>
      </w:r>
    </w:p>
    <w:p w:rsidR="00791666" w:rsidRDefault="00791666" w:rsidP="00791666">
      <w:pPr>
        <w:spacing w:after="240"/>
      </w:pPr>
      <w:r>
        <w:t>Hürtgen, J., Spiess, T., Schlittenhardt, J. &amp; Reicherter, K., 2014. Development of a paleoseismic database for Germany and surrounding areas. Schriftenreihe der Deutschen Gesellschaft für Geowissenschaften, 85: 444.</w:t>
      </w:r>
    </w:p>
    <w:p w:rsidR="00791666" w:rsidRDefault="00791666" w:rsidP="00791666">
      <w:pPr>
        <w:spacing w:after="240"/>
      </w:pPr>
      <w:r>
        <w:lastRenderedPageBreak/>
        <w:t>IAEA, 2001. Seismic evaluation of existing nuclear facilities, Proceedings on the SMiRT-14 post Conference Seminar No.16 organized by the International Atomic Energy Agency and held in Vienna, 25-27 August 1997. IAEA TECDOC-1202, 446pp.</w:t>
      </w:r>
    </w:p>
    <w:p w:rsidR="00791666" w:rsidRDefault="00791666" w:rsidP="00791666">
      <w:pPr>
        <w:spacing w:after="240"/>
      </w:pPr>
      <w:r>
        <w:t>IAEA, 2003. Site Evaluation for Nuclear Installations. Safety Requirements NS-R-3, 28 pp.</w:t>
      </w:r>
    </w:p>
    <w:p w:rsidR="00791666" w:rsidRDefault="00791666" w:rsidP="00791666">
      <w:pPr>
        <w:spacing w:after="240"/>
      </w:pPr>
      <w:r>
        <w:t>IAEA, 2004. Geotechnical Aspects of Site Evaluation and Foundations for Nuclear Power Plants. Safety Guide NS-G-3.6, 53 pp.</w:t>
      </w:r>
    </w:p>
    <w:p w:rsidR="00791666" w:rsidRDefault="00791666" w:rsidP="00791666">
      <w:pPr>
        <w:spacing w:after="240"/>
      </w:pPr>
      <w:r>
        <w:t>IAEA, 2007a. Seismic Safety Expert Mission “Prelimniary findings and lessons learned from the 16 July 2007 eart</w:t>
      </w:r>
      <w:r>
        <w:t>h</w:t>
      </w:r>
      <w:r>
        <w:t>quake at Kashiwazaki-Kariwa NPP”, Mission Report Vol. I, Kashiwazaki-Kariwa NPP and Tokyo, Japan, 6 – 10 August 2007.</w:t>
      </w:r>
    </w:p>
    <w:p w:rsidR="00791666" w:rsidRDefault="00791666" w:rsidP="00791666">
      <w:pPr>
        <w:spacing w:after="240"/>
      </w:pPr>
      <w:r>
        <w:t>IAEA, 2007b. Seismic Safety Expert Mission “Prelimniary findings and lessons learned from the 16 July 2007 eart</w:t>
      </w:r>
      <w:r>
        <w:t>h</w:t>
      </w:r>
      <w:r>
        <w:t>quake at Kashiwazaki-Kariwa NPP”, Mission Report Vol. II, 6-10 August 2007.</w:t>
      </w:r>
    </w:p>
    <w:p w:rsidR="00791666" w:rsidRDefault="00791666" w:rsidP="00791666">
      <w:pPr>
        <w:spacing w:after="240"/>
      </w:pPr>
      <w:r>
        <w:t>IAEA, 2008. Mission Report Seismic Safety Expert Mission 2nd Follow-Up IAEA Mission in relation to the findings and lessons learned from the 16 July 2007 earthquake at Kashiwazaki-Kariwa NPP, Tokyo and Kashiwazaki-Kariwa NPP, Japan, 1-5 December 2008.</w:t>
      </w:r>
    </w:p>
    <w:p w:rsidR="00791666" w:rsidRDefault="00791666" w:rsidP="00791666">
      <w:pPr>
        <w:spacing w:after="240"/>
      </w:pPr>
      <w:r>
        <w:t>IAEA, 2010. Seismic Hazards in Site Evaluation for Nuclear Installations. Specific Safety Guide SSG-9, 60 pp.</w:t>
      </w:r>
    </w:p>
    <w:p w:rsidR="00791666" w:rsidRDefault="00791666" w:rsidP="00791666">
      <w:pPr>
        <w:spacing w:after="240"/>
      </w:pPr>
      <w:r>
        <w:t>IAEA, 2011. IAEA International Fact Finding Expert Mission of the Fukushima Dai-Ichi NPP accident following the Great East Japan Earthquake and tsunami, Report to the IAEA Member States, Tokyo, Fukushima Dai-ichi NPP, Fukushima Dai-ni NPP and Tokai Dai-ni NPP, Japan, 24 May – 2 June 2011.</w:t>
      </w:r>
    </w:p>
    <w:p w:rsidR="00791666" w:rsidRDefault="00791666" w:rsidP="00791666">
      <w:pPr>
        <w:spacing w:after="240"/>
      </w:pPr>
      <w:r>
        <w:t>IAEA, 2012b. IAEA Mission to Onagawa Nuclear Power Station to examine the performance of systems, structures and components following the Great East Japan Earthquake and tsunami, Onagawa and Tokyo, Japan, 30 July - 11 August 2012.</w:t>
      </w:r>
    </w:p>
    <w:p w:rsidR="00791666" w:rsidRDefault="00791666" w:rsidP="00791666">
      <w:pPr>
        <w:spacing w:after="240"/>
      </w:pPr>
      <w:r>
        <w:t>IAEA, 2015a. Considerations for Supplementary Safety Analysis on Nuclear Power Plants in the light of the Fuk</w:t>
      </w:r>
      <w:r>
        <w:t>u</w:t>
      </w:r>
      <w:r>
        <w:t>shima Daiichi NPP Accident. Technical Document, Rev. 0 of 14 November 2015</w:t>
      </w:r>
      <w:r w:rsidR="00DA6896">
        <w:t>.</w:t>
      </w:r>
    </w:p>
    <w:p w:rsidR="00791666" w:rsidRDefault="00791666" w:rsidP="00791666">
      <w:pPr>
        <w:spacing w:after="240"/>
      </w:pPr>
      <w:r>
        <w:t>IAEA, 2015b. Ground Motion Simulation Based on Fault Rupture Modelling for Seismic Hazard Assessment in Site Evaluation for Nuclear Installations, Safety Reports Series No. 85, Vienna, 2015.</w:t>
      </w:r>
    </w:p>
    <w:p w:rsidR="00791666" w:rsidRDefault="00791666" w:rsidP="00791666">
      <w:pPr>
        <w:spacing w:after="240"/>
      </w:pPr>
      <w:r>
        <w:t>IAEA, 2015c. The Contribution of Palaeoseismology to Seismic Hazard Assessment in Site Evaluation for Nuclear Installations. IAEA TECDOC No. 1767, Vienna, 212 pp.</w:t>
      </w:r>
    </w:p>
    <w:p w:rsidR="00791666" w:rsidRDefault="00791666" w:rsidP="00791666">
      <w:pPr>
        <w:spacing w:after="240"/>
      </w:pPr>
      <w:r>
        <w:t>Jamšek Rupnik, P., Atanackov, J., Jez, J., et al., 2015. Database of active faults in Slovenia. Advances in Active Tectonics and Speleotectonics (AATS) 2015, Book of Abstracts: 14.</w:t>
      </w:r>
    </w:p>
    <w:p w:rsidR="00791666" w:rsidRDefault="00791666" w:rsidP="00791666">
      <w:pPr>
        <w:spacing w:after="240"/>
      </w:pPr>
      <w:r>
        <w:lastRenderedPageBreak/>
        <w:t>JANSI, 2013. Assesment methods for nuclear power plant against fault displacement. On-site Fault Assessment Method Review Committee, Japan Nuclear Safety Institute, JANSI-FDE-03 rev.1, 53pp.</w:t>
      </w:r>
    </w:p>
    <w:p w:rsidR="00791666" w:rsidRDefault="00791666" w:rsidP="00791666">
      <w:pPr>
        <w:spacing w:after="240"/>
      </w:pPr>
      <w:r>
        <w:t>Japanese Geotechnical Society, 1993. Manual for zonation on seismic geotechnical hazards (revised version). Jap</w:t>
      </w:r>
      <w:r>
        <w:t>a</w:t>
      </w:r>
      <w:r>
        <w:t>nese Geotechical Society, Tokyo.</w:t>
      </w:r>
    </w:p>
    <w:p w:rsidR="00791666" w:rsidRDefault="00791666" w:rsidP="00791666">
      <w:pPr>
        <w:spacing w:after="240"/>
      </w:pPr>
      <w:r>
        <w:t>Junnan, X., Ming, S., Shan, L. &amp; Chao, P., 2015. The Debris Flow Hazard Assessment of Wenchuan Earthquake-stricken Area Based on Watershed Unit. EJGE, 20 (Bund 14): 6025-6034.</w:t>
      </w:r>
    </w:p>
    <w:p w:rsidR="00791666" w:rsidRDefault="00791666" w:rsidP="00791666">
      <w:pPr>
        <w:spacing w:after="240"/>
      </w:pPr>
      <w:r>
        <w:t>Kagan, Y. Y., and D. D. Jackson (2013), Tohoku Earthquake: A Surprise?, BSSA, 103:  1181-1194.</w:t>
      </w:r>
    </w:p>
    <w:p w:rsidR="00791666" w:rsidRDefault="00791666" w:rsidP="00791666">
      <w:pPr>
        <w:spacing w:after="240"/>
      </w:pPr>
      <w:r w:rsidRPr="00791666">
        <w:rPr>
          <w:lang w:val="de-AT"/>
        </w:rPr>
        <w:t xml:space="preserve">Kalkan, E. &amp; Gulkan, P.,2004. </w:t>
      </w:r>
      <w:r>
        <w:t>Empirical Attenuation Equations for Vertical Ground Motion in Turkey. Earthquake Spectra 20, 853-882.</w:t>
      </w:r>
    </w:p>
    <w:p w:rsidR="00791666" w:rsidRDefault="00791666" w:rsidP="00791666">
      <w:pPr>
        <w:spacing w:after="240"/>
      </w:pPr>
      <w:r>
        <w:t>Keefer, D.K. (1984) Landslides caused by earthquakes. Bulletin of the Geological Society of America 95, 406-421.</w:t>
      </w:r>
    </w:p>
    <w:p w:rsidR="00791666" w:rsidRDefault="00791666" w:rsidP="00791666">
      <w:pPr>
        <w:spacing w:after="240"/>
      </w:pPr>
      <w:r>
        <w:t>Keller E.A., Pinter N. 2002. Active Tectonics – Earthquake Uplift and landscape 2 ed. Prentice Hall, New Jersey, 362pp.</w:t>
      </w:r>
    </w:p>
    <w:p w:rsidR="00791666" w:rsidRDefault="00791666" w:rsidP="00791666">
      <w:pPr>
        <w:spacing w:after="240"/>
      </w:pPr>
      <w:r>
        <w:t>Khavari, R., Arian, M., Ghorashi, M., 2009. Neotectonics of the South Central Alborz Drainage Basin, in NW Tehran, N Iran. Journal of Applied Sciences 9 (23), 4115-4126.</w:t>
      </w:r>
    </w:p>
    <w:p w:rsidR="00791666" w:rsidRDefault="00791666" w:rsidP="00791666">
      <w:pPr>
        <w:spacing w:after="240"/>
      </w:pPr>
      <w:r>
        <w:t>Kijko, A. &amp; Ahjos, T., 1985. Seismic hazard in Finland: evaluation of Mmax. Geophysica 21/1: 39-50.</w:t>
      </w:r>
    </w:p>
    <w:p w:rsidR="00791666" w:rsidRDefault="00791666" w:rsidP="00791666">
      <w:pPr>
        <w:spacing w:after="240"/>
      </w:pPr>
      <w:r>
        <w:t>Kijko, A. &amp; Dessokey, M., 1987. Application of extreme magnitude distributions to incomplete earthquake files. BSSA, 77: 1429-1436.</w:t>
      </w:r>
    </w:p>
    <w:p w:rsidR="00791666" w:rsidRDefault="00791666" w:rsidP="00791666">
      <w:pPr>
        <w:spacing w:after="240"/>
      </w:pPr>
      <w:r>
        <w:t>Kijko, A. &amp; Graham, G., 1998. Parametric-historic procedure for probabilistic sesimic hazard analysis, Part I: Est</w:t>
      </w:r>
      <w:r>
        <w:t>i</w:t>
      </w:r>
      <w:r>
        <w:t>mation of maximum regional magnitude Mmax. Pageoph 152: 413-442.</w:t>
      </w:r>
    </w:p>
    <w:p w:rsidR="00791666" w:rsidRDefault="00791666" w:rsidP="00791666">
      <w:pPr>
        <w:spacing w:after="240"/>
      </w:pPr>
      <w:r>
        <w:t>Kijko, A., 2004. Estimation of the maximum earthquake magnitude, Mmax, Pure and Applied 226 Geophysics, 161(8), 1655-1681.</w:t>
      </w:r>
    </w:p>
    <w:p w:rsidR="00791666" w:rsidRDefault="00791666" w:rsidP="00791666">
      <w:pPr>
        <w:spacing w:after="240"/>
      </w:pPr>
      <w:r>
        <w:t>King, G. &amp; Nabelek, J., 1985. Role of fault bends in the initiation and termination of earthquake ruptures. Science 24: 984-987.</w:t>
      </w:r>
    </w:p>
    <w:p w:rsidR="00791666" w:rsidRDefault="00791666" w:rsidP="00791666">
      <w:pPr>
        <w:spacing w:after="240"/>
      </w:pPr>
      <w:r>
        <w:t>Klügel, J.-U., 2008. Seismic hazard analysis - Quo vadis? Earth-Science Reviews, 88: 1-32.</w:t>
      </w:r>
    </w:p>
    <w:p w:rsidR="00791666" w:rsidRDefault="00791666" w:rsidP="00791666">
      <w:pPr>
        <w:spacing w:after="240"/>
      </w:pPr>
      <w:r>
        <w:t>Kondorskaya N.V. and. Ulomov V.I., 1999. Special earthquake catalogue of the Northern Eurasia (SECNE), Academy of Sciences, Moscow, Russia.</w:t>
      </w:r>
    </w:p>
    <w:p w:rsidR="00791666" w:rsidRDefault="00791666" w:rsidP="00791666">
      <w:pPr>
        <w:spacing w:after="240"/>
      </w:pPr>
      <w:r>
        <w:lastRenderedPageBreak/>
        <w:t>Kouskouna V. &amp; G. Sakkas, 2013. The University of Athens Hellenic Macroseismic Database (HMDB.UoA): historical earthquakes. Journal of Seismology, October 2013, Volume 17, Issue 4, pp 1253-1280,</w:t>
      </w:r>
      <w:r w:rsidR="00DA6896">
        <w:t xml:space="preserve"> DOI 10.1007/s10950-013-9390-3.</w:t>
      </w:r>
    </w:p>
    <w:p w:rsidR="00791666" w:rsidRDefault="00791666" w:rsidP="00791666">
      <w:pPr>
        <w:spacing w:after="240"/>
      </w:pPr>
      <w:r>
        <w:t>Kuivamäki, A., Vuorela, P. &amp; Paananen, M., 1998. Indications of postglacial and recent bedrock movements in Finlansd and Russian Karelia. Geological Survey of Finland, Nuclear Waste Disposal Research, Report YST-99, 105 pp. (Espoo)</w:t>
      </w:r>
    </w:p>
    <w:p w:rsidR="00791666" w:rsidRDefault="00791666" w:rsidP="00791666">
      <w:pPr>
        <w:spacing w:after="240"/>
      </w:pPr>
      <w:r>
        <w:t>Kuramoto, T., Yamaguchi, A., Narumiya, Y., Ota, T., Mamizuka, Y., 2014. Development of Implementation Stan</w:t>
      </w:r>
      <w:r>
        <w:t>d</w:t>
      </w:r>
      <w:r>
        <w:t>ard Concerning the Risk Evaluation Methodology Selection for the External Hazards, PSAM 12 - Probabilistic Safety Assessment and Management, 22-27 June 2014, Sheraton Waikiki, Honolulu, Hawaii, USA, 12 pp.</w:t>
      </w:r>
    </w:p>
    <w:p w:rsidR="00791666" w:rsidRDefault="00791666" w:rsidP="00791666">
      <w:pPr>
        <w:spacing w:after="240"/>
      </w:pPr>
      <w:r>
        <w:t>Kuribayashi, E. &amp; Tatsuoka, F., 1975. Brief review of soil liquefaction during earthquakes in Japan, Soils and Fou</w:t>
      </w:r>
      <w:r>
        <w:t>n</w:t>
      </w:r>
      <w:r>
        <w:t>dations, 15, 81-92.</w:t>
      </w:r>
    </w:p>
    <w:p w:rsidR="00791666" w:rsidRDefault="00791666" w:rsidP="00791666">
      <w:pPr>
        <w:spacing w:after="240"/>
      </w:pPr>
      <w:r>
        <w:t>Kysel, R., Cipciar, A., Moczo, P., Kristek, J., Kristeková, M., Csicsay, K., 2016. Slovak Historical Earthquakes and Macroseismic Earthquake Catalogue: past studies and future investigations. Abstract, 4th International Colloquium on Historical Earthquakes and Macroseismology, 2.-3. May 2016, Vienna, Austria</w:t>
      </w:r>
      <w:r w:rsidR="00DA6896">
        <w:t>.</w:t>
      </w:r>
    </w:p>
    <w:p w:rsidR="00791666" w:rsidRDefault="00791666" w:rsidP="00791666">
      <w:pPr>
        <w:spacing w:after="240"/>
      </w:pPr>
      <w:r>
        <w:t>Labak P. and Broucek I., 1995. Catalogue of macroseismically observed earthquakes on the territory of Slovakia starting from the year 1034. Geophysical Institute of the Slovak A</w:t>
      </w:r>
      <w:r w:rsidR="00DA6896">
        <w:t>cademy of Sciences, Bratislava.</w:t>
      </w:r>
    </w:p>
    <w:p w:rsidR="00791666" w:rsidRPr="00791666" w:rsidRDefault="00791666" w:rsidP="00791666">
      <w:pPr>
        <w:spacing w:after="240"/>
        <w:rPr>
          <w:lang w:val="de-AT"/>
        </w:rPr>
      </w:pPr>
      <w:r>
        <w:t xml:space="preserve">LDG, 2011. Data file of French earthquakes from 1962 and on. </w:t>
      </w:r>
      <w:r w:rsidRPr="00791666">
        <w:rPr>
          <w:lang w:val="de-AT"/>
        </w:rPr>
        <w:t>Laboratoire de Détection et de Géophysique, Br</w:t>
      </w:r>
      <w:r w:rsidRPr="00791666">
        <w:rPr>
          <w:lang w:val="de-AT"/>
        </w:rPr>
        <w:t>u</w:t>
      </w:r>
      <w:r w:rsidRPr="00791666">
        <w:rPr>
          <w:lang w:val="de-AT"/>
        </w:rPr>
        <w:t>yères-le-Châtel, France.</w:t>
      </w:r>
    </w:p>
    <w:p w:rsidR="00791666" w:rsidRPr="00791666" w:rsidRDefault="00791666" w:rsidP="00791666">
      <w:pPr>
        <w:spacing w:after="240"/>
        <w:rPr>
          <w:lang w:val="de-AT"/>
        </w:rPr>
      </w:pPr>
      <w:r w:rsidRPr="00791666">
        <w:rPr>
          <w:lang w:val="de-AT"/>
        </w:rPr>
        <w:t>Lenhardt, W., 1996. Erdbebenkennwerte zur Berechnung der Talsperren Österreichs. Wien (Zentralanstalt für Meteorologie und Geodynamik), 84 pp.</w:t>
      </w:r>
    </w:p>
    <w:p w:rsidR="00791666" w:rsidRPr="00431169" w:rsidRDefault="00791666" w:rsidP="00791666">
      <w:pPr>
        <w:spacing w:after="240"/>
      </w:pPr>
      <w:r w:rsidRPr="00791666">
        <w:rPr>
          <w:lang w:val="de-AT"/>
        </w:rPr>
        <w:t xml:space="preserve">Leydecker, G., 2011. Erdbebenkatalog für Deutschland mit Randgebieten für die Jahre 800 bis 2008. </w:t>
      </w:r>
      <w:r>
        <w:t xml:space="preserve">(Earthquake catalogue for Germany and adjacent areas for the years 800 to 2008). </w:t>
      </w:r>
      <w:r w:rsidRPr="00431169">
        <w:t>Geologisches Jahrbuch, E 59, 1-198; 12 Abb., 5 Tab., 9 Anh., 1 CD; BGR Hannover.</w:t>
      </w:r>
    </w:p>
    <w:p w:rsidR="00791666" w:rsidRDefault="00791666" w:rsidP="00791666">
      <w:pPr>
        <w:spacing w:after="240"/>
      </w:pPr>
      <w:r w:rsidRPr="00431169">
        <w:t xml:space="preserve">Liu, Y. &amp; Xie, J.F., 1984. </w:t>
      </w:r>
      <w:r>
        <w:t>Seismic liquefaction of sand, Earthquake Press, China.</w:t>
      </w:r>
    </w:p>
    <w:p w:rsidR="00791666" w:rsidRDefault="00791666" w:rsidP="00791666">
      <w:pPr>
        <w:spacing w:after="240"/>
      </w:pPr>
      <w:r>
        <w:t>LNEC, 1986. A Sismicidade Histórica e a Revisão do Catálogo Sísmico. Laboratorio Nacional de Engenharia C</w:t>
      </w:r>
      <w:r w:rsidR="00DA6896">
        <w:t>ivil, Lisboa, 189 pp.</w:t>
      </w:r>
    </w:p>
    <w:p w:rsidR="00791666" w:rsidRDefault="00791666" w:rsidP="00791666">
      <w:pPr>
        <w:spacing w:after="240"/>
      </w:pPr>
      <w:r>
        <w:t>Mallard, D.J., 1991. Learning to cope with faults. In: B. Mohammadioun (ed.), Proceedings of the International Conference “Seismic Hazard Determinations in Areas with Moderate Seismicity”, Quest Editions, Presses Acade</w:t>
      </w:r>
      <w:r>
        <w:t>m</w:t>
      </w:r>
      <w:r>
        <w:t>iques.</w:t>
      </w:r>
    </w:p>
    <w:p w:rsidR="00791666" w:rsidRDefault="00791666" w:rsidP="00791666">
      <w:pPr>
        <w:spacing w:after="240"/>
      </w:pPr>
      <w:r>
        <w:lastRenderedPageBreak/>
        <w:t>Mäntyniemi et al., 2007. State of the art historical earthquake research in Fennoscandia and the Baltic republices. Annals of Geophysics, 47: 611-619.</w:t>
      </w:r>
    </w:p>
    <w:p w:rsidR="00791666" w:rsidRDefault="00791666" w:rsidP="00791666">
      <w:pPr>
        <w:spacing w:after="240"/>
      </w:pPr>
      <w:r>
        <w:t xml:space="preserve">Martinez Solares J.M. and J. Mezcua Rodriguez (eds), 2002. </w:t>
      </w:r>
      <w:r w:rsidRPr="006628F7">
        <w:rPr>
          <w:lang w:val="fr-FR"/>
        </w:rPr>
        <w:t xml:space="preserve">Catalogo sismico de la Peninsula Iberica (880 a.C.-1990). </w:t>
      </w:r>
      <w:r>
        <w:t>IGN, Madr</w:t>
      </w:r>
      <w:r w:rsidR="00DA6896">
        <w:t>id, Monografía Núm. 18, 254 pp.</w:t>
      </w:r>
    </w:p>
    <w:p w:rsidR="00791666" w:rsidRDefault="00791666" w:rsidP="00791666">
      <w:pPr>
        <w:spacing w:after="240"/>
      </w:pPr>
      <w:r>
        <w:t>McCalpin, J., 2009. Paleoseismology, 2nd Edition, 848 pp. (Elsevier)</w:t>
      </w:r>
    </w:p>
    <w:p w:rsidR="00791666" w:rsidRDefault="00791666" w:rsidP="00791666">
      <w:pPr>
        <w:spacing w:after="240"/>
      </w:pPr>
      <w:r>
        <w:t>McGuire, R.K., 1977. Effects of uncertainty in sesimicity on estimates of seismic hazard for the east coast of the United States. Bull. Seism. Soc. Amer., 67: 827-848.</w:t>
      </w:r>
    </w:p>
    <w:p w:rsidR="00791666" w:rsidRDefault="00791666" w:rsidP="00791666">
      <w:pPr>
        <w:spacing w:after="240"/>
      </w:pPr>
      <w:r>
        <w:t>McGuire, R.K., 1978. FRISK: Computer program for sesimic risk analysis using faults earthquake sources. USGS Open File Report, 78-1007.</w:t>
      </w:r>
    </w:p>
    <w:p w:rsidR="00791666" w:rsidRDefault="00791666" w:rsidP="00791666">
      <w:pPr>
        <w:spacing w:after="240"/>
      </w:pPr>
      <w:r>
        <w:t>McGuire, R.K., 1995. Probabilistic seismic hazard analysis and design earthquakes: Closing the loop. Seism. Soc. Amer., 67: 1275-1284.</w:t>
      </w:r>
    </w:p>
    <w:p w:rsidR="00791666" w:rsidRDefault="00791666" w:rsidP="00791666">
      <w:pPr>
        <w:spacing w:after="240"/>
      </w:pPr>
      <w:r>
        <w:t>McGuire, R.K., 2001. Deterministic vs. probabilistic earthquake hazards and risks. Soil Dynamics and Earhtquake Engineering, 21: 377-384.</w:t>
      </w:r>
    </w:p>
    <w:p w:rsidR="00791666" w:rsidRDefault="00791666" w:rsidP="00791666">
      <w:pPr>
        <w:spacing w:after="240"/>
      </w:pPr>
      <w:r>
        <w:t>Merino, M. &amp; Stein, S., 2013. Have we seen the largest earthquake in Eastern North America? Unpublished Man</w:t>
      </w:r>
      <w:r>
        <w:t>u</w:t>
      </w:r>
      <w:r>
        <w:t>script, http://www.earth.northwestern.edu/people/seth/Texts/ecmmax.pdf</w:t>
      </w:r>
      <w:r w:rsidR="00DA6896">
        <w:t>.</w:t>
      </w:r>
    </w:p>
    <w:p w:rsidR="00791666" w:rsidRDefault="00791666" w:rsidP="00791666">
      <w:pPr>
        <w:spacing w:after="240"/>
      </w:pPr>
      <w:r w:rsidRPr="006628F7">
        <w:rPr>
          <w:lang w:val="fr-FR"/>
        </w:rPr>
        <w:t xml:space="preserve">Mezcua J., Rueda J., García Blanco R.M., 2004. </w:t>
      </w:r>
      <w:r>
        <w:t>Reevaluation of Historic Earthquakes in Spain. SRL, 75: 75-81.</w:t>
      </w:r>
    </w:p>
    <w:p w:rsidR="00791666" w:rsidRDefault="00791666" w:rsidP="00791666">
      <w:pPr>
        <w:spacing w:after="240"/>
      </w:pPr>
      <w:r>
        <w:t>Mezcua, J., Rueda, J. &amp; Barcá Blanco, R.M., 2011. A new probabilistic seismic hazsrd study of Span. Natural Ha</w:t>
      </w:r>
      <w:r>
        <w:t>z</w:t>
      </w:r>
      <w:r>
        <w:t>ards, 59: 1087-1108.</w:t>
      </w:r>
    </w:p>
    <w:p w:rsidR="00791666" w:rsidRDefault="00791666" w:rsidP="00791666">
      <w:pPr>
        <w:spacing w:after="240"/>
      </w:pPr>
      <w:r>
        <w:t>Michetti et al. (2007) - Intensity Scale ESI 2007, in Mem. Descr. Carta Geologica d’Italia L. Guerrieri and E. Vittori (Editors), Servizio Geologico d’Italia, Dipartimento Difesa del Suolo, APAT, Rome, Italy, 74.</w:t>
      </w:r>
    </w:p>
    <w:p w:rsidR="00791666" w:rsidRDefault="00791666" w:rsidP="00791666">
      <w:pPr>
        <w:spacing w:after="240"/>
      </w:pPr>
      <w:r>
        <w:t>Michetti, A.M., Serva, L., Vittori, E., ITHACA (Italy Hazard from Capable Faulting), 2000. A Database of Active Capable Faults of the Italian Onshore Territory, Internal Report of Agenzia Nazionale Protezione Ambiente, Rome, CD-ROM.</w:t>
      </w:r>
    </w:p>
    <w:p w:rsidR="00791666" w:rsidRDefault="00791666" w:rsidP="00791666">
      <w:pPr>
        <w:spacing w:after="240"/>
      </w:pPr>
      <w:r>
        <w:t>Mohammadioun B., Serva L. (2001). Stress Drop, Slip Type, Earthquake Magnitude, and Seismic Hazard, Bulletin of the Seismological Society of America 91, No 4, pp. 694-707.</w:t>
      </w:r>
    </w:p>
    <w:p w:rsidR="00791666" w:rsidRDefault="00791666" w:rsidP="00791666">
      <w:pPr>
        <w:spacing w:after="240"/>
      </w:pPr>
      <w:r w:rsidRPr="006628F7">
        <w:rPr>
          <w:lang w:val="fr-FR"/>
        </w:rPr>
        <w:t xml:space="preserve">Musson R.M.W. &amp; Sargeant S.L., 2007. </w:t>
      </w:r>
      <w:r>
        <w:t>BGS UK Earthquake Database. Eurocode 8 seismic hazard zoning maps for the UK. British Geological Surv</w:t>
      </w:r>
      <w:r w:rsidR="00B808E6">
        <w:t>ey Technical Report, CR/07/125.</w:t>
      </w:r>
    </w:p>
    <w:p w:rsidR="00791666" w:rsidRDefault="00791666" w:rsidP="00791666">
      <w:pPr>
        <w:spacing w:after="240"/>
      </w:pPr>
      <w:r>
        <w:t>Musson R.M.W., 1994. Earthquake Catalogue of Great Britain and surroundings. British Geological Survey, Technical report WL/94/04, Edinburgh, 99 p</w:t>
      </w:r>
      <w:r w:rsidR="00DA6896">
        <w:t>p.</w:t>
      </w:r>
    </w:p>
    <w:p w:rsidR="00791666" w:rsidRDefault="00791666" w:rsidP="00791666">
      <w:pPr>
        <w:spacing w:after="240"/>
      </w:pPr>
      <w:r>
        <w:lastRenderedPageBreak/>
        <w:t>Musson, R., 2008. The seismicity of the Britisch Isles to 1600. Britisch Geological Survey, Earth Hazards and Sy</w:t>
      </w:r>
      <w:r>
        <w:t>s</w:t>
      </w:r>
      <w:r>
        <w:t>tems, Internal Repoirt OR/08/049, 90 pp.</w:t>
      </w:r>
    </w:p>
    <w:p w:rsidR="00791666" w:rsidRDefault="00791666" w:rsidP="00791666">
      <w:pPr>
        <w:spacing w:after="240"/>
      </w:pPr>
      <w:r>
        <w:t>NAGRA, 2004. Probabilistic Seismic Hazard Analysis for Swiss Nuclear Power Plant Sites (PEGASOS Project). Final Report, Volume 1, Text, Wettingen, 31 july 2004.</w:t>
      </w:r>
      <w:r w:rsidR="00DA6896">
        <w:tab/>
      </w:r>
      <w:r>
        <w:t xml:space="preserve"> http://www.swissnuclear.ch/upload/cms/user/PEGASOSProjectReportVolume1-new.pdf</w:t>
      </w:r>
      <w:r w:rsidR="00BE0E3B">
        <w:t>.</w:t>
      </w:r>
    </w:p>
    <w:p w:rsidR="00791666" w:rsidRDefault="00791666" w:rsidP="00791666">
      <w:pPr>
        <w:spacing w:after="240"/>
      </w:pPr>
      <w:r w:rsidRPr="00FA7DEE">
        <w:rPr>
          <w:lang w:val="fr-FR"/>
        </w:rPr>
        <w:t xml:space="preserve">Nemsa, E.S., Cabral, J. Et al., 2012. </w:t>
      </w:r>
      <w:r>
        <w:t>Compilation of active fault data in Portugal for use in sesimic hazard analysis. Sismicita 2010 -  8° Congresso de Sismologiea e Engenheria Sísmica, 6pp.</w:t>
      </w:r>
      <w:r w:rsidR="00BE0E3B">
        <w:tab/>
      </w:r>
      <w:r w:rsidR="00B808E6">
        <w:t xml:space="preserve"> </w:t>
      </w:r>
      <w:r>
        <w:t>http://dspace.uevora.pt/rdpc/bitstream/10174/6348/1/SISMICA_2_2010.pdf</w:t>
      </w:r>
      <w:r w:rsidR="00BE0E3B">
        <w:t>.</w:t>
      </w:r>
    </w:p>
    <w:p w:rsidR="00791666" w:rsidRDefault="00791666" w:rsidP="00791666">
      <w:pPr>
        <w:spacing w:after="240"/>
      </w:pPr>
      <w:r>
        <w:t>NIER Ingegneria, 2013. Hazards and threats ontology. Unpublished Report, Project reference number: HOME/2011/CIPS/AG/4000002102, 6 pp.</w:t>
      </w:r>
    </w:p>
    <w:p w:rsidR="00791666" w:rsidRDefault="00791666" w:rsidP="004A72BC">
      <w:pPr>
        <w:spacing w:after="240"/>
      </w:pPr>
      <w:r>
        <w:t>Nitoi, M., Ivanov, I., Pihl, J., Guig</w:t>
      </w:r>
      <w:r w:rsidR="004A72BC">
        <w:t>u</w:t>
      </w:r>
      <w:r>
        <w:t>eno, Y. &amp; Decker, K., 2015. D10.3 Report on external hazards with high ampl</w:t>
      </w:r>
      <w:r>
        <w:t>i</w:t>
      </w:r>
      <w:r>
        <w:t xml:space="preserve">tude that have affected NPP in operation (in Europe or in other countries). </w:t>
      </w:r>
      <w:r w:rsidR="004A72BC">
        <w:t>Technical report ASAMPSA_E / WP10 / D10.3 / 2016-13 - Reference IRSN PSN/RES/SAG/ 2016-00031</w:t>
      </w:r>
    </w:p>
    <w:p w:rsidR="00791666" w:rsidRDefault="00791666" w:rsidP="00791666">
      <w:pPr>
        <w:spacing w:after="240"/>
      </w:pPr>
      <w:r>
        <w:t>NSK [Nordic Nuclear Safety Research], 2016. Modelling as a tool to augment ground motion data in regions of di</w:t>
      </w:r>
      <w:r>
        <w:t>f</w:t>
      </w:r>
      <w:r>
        <w:t>fuse seismicity - Progress 2015. NKS-363</w:t>
      </w:r>
      <w:r w:rsidR="00B808E6">
        <w:t xml:space="preserve">, </w:t>
      </w:r>
      <w:r>
        <w:t>ISBN 978-87-7893-448-2"</w:t>
      </w:r>
      <w:r w:rsidR="00BE0E3B">
        <w:t>.</w:t>
      </w:r>
    </w:p>
    <w:p w:rsidR="00791666" w:rsidRPr="006628F7" w:rsidRDefault="00791666" w:rsidP="00791666">
      <w:pPr>
        <w:spacing w:after="240"/>
        <w:rPr>
          <w:lang w:val="fr-FR"/>
        </w:rPr>
      </w:pPr>
      <w:r>
        <w:t xml:space="preserve">Olivera C., Redondo E., Lambert J., Riera Melis A. and Roca A., 2006. </w:t>
      </w:r>
      <w:r w:rsidRPr="006628F7">
        <w:rPr>
          <w:lang w:val="fr-FR"/>
        </w:rPr>
        <w:t>Els terratrèmols dels segles XIV i XV a Cat</w:t>
      </w:r>
      <w:r w:rsidRPr="006628F7">
        <w:rPr>
          <w:lang w:val="fr-FR"/>
        </w:rPr>
        <w:t>a</w:t>
      </w:r>
      <w:r w:rsidRPr="006628F7">
        <w:rPr>
          <w:lang w:val="fr-FR"/>
        </w:rPr>
        <w:t>lunya, Barcelona, Institut Cartogràfic de Catalunya, 407 pp.</w:t>
      </w:r>
    </w:p>
    <w:p w:rsidR="00791666" w:rsidRDefault="00791666" w:rsidP="00791666">
      <w:pPr>
        <w:spacing w:after="240"/>
      </w:pPr>
      <w:r>
        <w:t>Oncescu M.C., Marza V.I., Rizescu M. and Popa M., 1999. The Romanian earthquake catalogue between 984-1997. In: F. Wenzel and D. Lungu (eds), Contributions from the First International Workshop on Vrancea Earthquakes, Bucharest, Romania, November 1-4, 1997, 43-48.</w:t>
      </w:r>
    </w:p>
    <w:p w:rsidR="00791666" w:rsidRDefault="00791666" w:rsidP="00791666">
      <w:pPr>
        <w:spacing w:after="240"/>
      </w:pPr>
      <w:r>
        <w:t>Pačėsa, A., Šliaupa, S., 2011 Seismic activity and earthquake catalogue of the East Baltic region. Geologija, 53: 134-146.</w:t>
      </w:r>
    </w:p>
    <w:p w:rsidR="00791666" w:rsidRDefault="00791666" w:rsidP="00791666">
      <w:pPr>
        <w:spacing w:after="240"/>
      </w:pPr>
      <w:r>
        <w:t>Pagaczewski, J., 1972. Catalogue of earthquakes in Poland in 1000-1970 years. Publs. Inst. Geo</w:t>
      </w:r>
      <w:r w:rsidR="00BE0E3B">
        <w:t>phys. Pol. Acad. Sci. 51: 3-36.</w:t>
      </w:r>
    </w:p>
    <w:p w:rsidR="00791666" w:rsidRDefault="00791666" w:rsidP="00791666">
      <w:pPr>
        <w:spacing w:after="240"/>
      </w:pPr>
      <w:r>
        <w:t>Pedrera, A., Pérez-Peña, J.V., Galindo-Zaldívar, J., Azañón, J.M., Azor, A., 2009. Testing the sensitivity of ge</w:t>
      </w:r>
      <w:r>
        <w:t>o</w:t>
      </w:r>
      <w:r>
        <w:t>morphic indices in areas of low-rate active folding (eastern Betic Cordillera, Spain). Geomorphology 105, 218-231.</w:t>
      </w:r>
    </w:p>
    <w:p w:rsidR="00791666" w:rsidRDefault="00791666" w:rsidP="00791666">
      <w:pPr>
        <w:spacing w:after="240"/>
      </w:pPr>
      <w:r>
        <w:t>Pérez-Peña, J.V., Azor, A., Azañón, J.M., Keller, E.A., 2010. Active tectonics in the Sierra Nevada (Betic Cordill</w:t>
      </w:r>
      <w:r>
        <w:t>e</w:t>
      </w:r>
      <w:r>
        <w:t>ra, SE Spain): Insights from geomorphic indexes and drainage pattern analysis. Geomorphology 119, 74-87.</w:t>
      </w:r>
    </w:p>
    <w:p w:rsidR="00791666" w:rsidRDefault="00791666" w:rsidP="00791666">
      <w:pPr>
        <w:spacing w:after="240"/>
      </w:pPr>
      <w:r>
        <w:t>Peruzza, L. &amp; Slejko, D., 1993. Some aspects of seismic hazard assessment when comparing different approaches. Natural Hazards, 7: 133-153.</w:t>
      </w:r>
    </w:p>
    <w:p w:rsidR="00791666" w:rsidRDefault="00791666" w:rsidP="00791666">
      <w:pPr>
        <w:spacing w:after="240"/>
      </w:pPr>
      <w:r>
        <w:lastRenderedPageBreak/>
        <w:t>Peters, G., van Balen, R.T., 2007. Tectonic geomorphology of the northern Upper Rhine Graben, Germany. Global and Planetary Change 58, 310–334.</w:t>
      </w:r>
    </w:p>
    <w:p w:rsidR="00791666" w:rsidRDefault="00791666" w:rsidP="00791666">
      <w:pPr>
        <w:spacing w:after="240"/>
      </w:pPr>
      <w:r>
        <w:t>Petersen, M.D., et al. 2011, Fault displacement hazard for strike-slip faults, Bull. Seism. Soc. Am. 101, 805-825.</w:t>
      </w:r>
    </w:p>
    <w:p w:rsidR="00791666" w:rsidRDefault="00791666" w:rsidP="00791666">
      <w:pPr>
        <w:spacing w:after="240"/>
      </w:pPr>
      <w:r>
        <w:t>Pinter, N., 2005. Applications of tectonic geomorphology for deciphering active deformation in the Pannonian Basin, Hungary. Occasional Papers of the Geological Institute of Hungary 204, 45-51.</w:t>
      </w:r>
    </w:p>
    <w:p w:rsidR="00791666" w:rsidRDefault="00791666" w:rsidP="00791666">
      <w:pPr>
        <w:spacing w:after="240"/>
      </w:pPr>
      <w:r>
        <w:t>Poljak, M., Živčić, M., Zupančič, P.</w:t>
      </w:r>
      <w:r w:rsidR="00B808E6">
        <w:t xml:space="preserve"> </w:t>
      </w:r>
      <w:r>
        <w:t>2002</w:t>
      </w:r>
      <w:r w:rsidR="00B808E6">
        <w:t>.</w:t>
      </w:r>
      <w:r>
        <w:t xml:space="preserve"> The Seismotectonic Characteristics of Slovenia. Pure and applied Ge</w:t>
      </w:r>
      <w:r>
        <w:t>o</w:t>
      </w:r>
      <w:r>
        <w:t>physics. Vol 157 P 37-55.</w:t>
      </w:r>
    </w:p>
    <w:p w:rsidR="00791666" w:rsidRDefault="00791666" w:rsidP="00791666">
      <w:pPr>
        <w:spacing w:after="240"/>
      </w:pPr>
      <w:r>
        <w:t>Popotnig, A., Tschegg, D. &amp; Decker, K., 2013. Morphometric analysis of a reactivated Variscan fault in southern Bohemian Massif (Budějovice basin, Czech Republic). Geomorphology, 197, 108-122.</w:t>
      </w:r>
    </w:p>
    <w:p w:rsidR="00791666" w:rsidRDefault="00791666" w:rsidP="00791666">
      <w:pPr>
        <w:spacing w:after="240"/>
      </w:pPr>
      <w:r>
        <w:t>Rachna, R., 2012. Active tectonics of NE Gujarat (India) by morphometric and morphostructural studies of Vatrak River basin. Journal of Asian Earth Sciences 50, 66-78.</w:t>
      </w:r>
    </w:p>
    <w:p w:rsidR="00791666" w:rsidRDefault="00791666" w:rsidP="00791666">
      <w:pPr>
        <w:spacing w:after="240"/>
      </w:pPr>
      <w:r>
        <w:t>Radu, C., Polonic, G. &amp; Apopei, I., 1979. Macroseismic field of the March 4, 1977 Vrancea earethquake. Rev. Roum. Géol., Géophys. Et Géogr., Géophysique 23: 19-26.</w:t>
      </w:r>
    </w:p>
    <w:p w:rsidR="00162F0B" w:rsidRDefault="00162F0B" w:rsidP="00162F0B">
      <w:pPr>
        <w:spacing w:after="240"/>
      </w:pPr>
      <w:r>
        <w:t>Rahni, N., Raimond, E., Jan, P., Lopez, J., Löffler, H., Mildenberger, O., Kubicek, J., Vitazkova, J., Ivanov, I. &amp; Groudev, P., Lajtha, G., Serrano, C., Zhabin, O., Prosek, A., Dirksen, G., Yu, S. &amp; Oury L. 2016. Guidance on the verification and improvement of SAM strategies with L2 PSA. Technical report ASAMPSA_E / WP40 / D40.5 / 2016-05, 138 pp.</w:t>
      </w:r>
    </w:p>
    <w:p w:rsidR="00791666" w:rsidRDefault="00791666" w:rsidP="00791666">
      <w:pPr>
        <w:spacing w:after="240"/>
      </w:pPr>
      <w:r>
        <w:t>Ramírez-Herrera, M.T., 1998. Geomorphic assessment of active tectonics in the Acambay graben, Mexican volcanic belt. Earth Surface Processes and Landforms 23, 317–332.</w:t>
      </w:r>
    </w:p>
    <w:p w:rsidR="00791666" w:rsidRDefault="00791666" w:rsidP="00791666">
      <w:pPr>
        <w:spacing w:after="240"/>
      </w:pPr>
      <w:r>
        <w:t>Ramos, M.M. &amp; Zerger; B., 2012. European Clearinghouse: External Hazards related events at NPPs. Topical Oper</w:t>
      </w:r>
      <w:r>
        <w:t>a</w:t>
      </w:r>
      <w:r>
        <w:t>tional Experience Repo</w:t>
      </w:r>
      <w:r w:rsidR="00BE0E3B">
        <w:t>rt. European Communities, 2012.</w:t>
      </w:r>
    </w:p>
    <w:p w:rsidR="00791666" w:rsidRDefault="00791666" w:rsidP="00791666">
      <w:pPr>
        <w:spacing w:after="240"/>
      </w:pPr>
      <w:r>
        <w:t>Reiter, L., 1990. Eartquake Hazard Analysis, Issues andd Insights, Columbia University Press, New York.</w:t>
      </w:r>
    </w:p>
    <w:p w:rsidR="00791666" w:rsidRDefault="00791666" w:rsidP="00791666">
      <w:pPr>
        <w:spacing w:after="240"/>
      </w:pPr>
      <w:r>
        <w:t>Ribaric, V.</w:t>
      </w:r>
      <w:r w:rsidR="00102D3B">
        <w:t xml:space="preserve">, </w:t>
      </w:r>
      <w:r>
        <w:t>1988 The space and time pattern of local seismicity in Slovenia. Seismological institute of SR Slovenia, Ljubljana, Yugoslavia. Geofizika. Vol 5.</w:t>
      </w:r>
    </w:p>
    <w:p w:rsidR="00791666" w:rsidRPr="00791666" w:rsidRDefault="00791666" w:rsidP="00791666">
      <w:pPr>
        <w:spacing w:after="240"/>
        <w:rPr>
          <w:lang w:val="de-AT"/>
        </w:rPr>
      </w:pPr>
      <w:r>
        <w:t xml:space="preserve">Ritter, J., Frietsch, M., Gaßner, L., Groos, J., Grund, M. &amp; Zeiß, J., 2014. Fluid injection, fault reactivation and shaking in an urban environment – a seismological view.  </w:t>
      </w:r>
      <w:r w:rsidRPr="00791666">
        <w:rPr>
          <w:lang w:val="de-AT"/>
        </w:rPr>
        <w:t>Schriftenreihe der deutschen Gesellschaft für Geowisse</w:t>
      </w:r>
      <w:r w:rsidRPr="00791666">
        <w:rPr>
          <w:lang w:val="de-AT"/>
        </w:rPr>
        <w:t>n</w:t>
      </w:r>
      <w:r w:rsidRPr="00791666">
        <w:rPr>
          <w:lang w:val="de-AT"/>
        </w:rPr>
        <w:t>schaften 85: 540.</w:t>
      </w:r>
    </w:p>
    <w:p w:rsidR="00791666" w:rsidRDefault="00791666" w:rsidP="00791666">
      <w:pPr>
        <w:spacing w:after="240"/>
      </w:pPr>
      <w:r w:rsidRPr="00791666">
        <w:rPr>
          <w:lang w:val="de-AT"/>
        </w:rPr>
        <w:t xml:space="preserve">Robb, E., et al. 2011. </w:t>
      </w:r>
      <w:r>
        <w:t>Probabilistic fault displacement hazard analysis for reverse faults, Bull. Seism. Soc. Am. 101, 1542-1552.</w:t>
      </w:r>
    </w:p>
    <w:p w:rsidR="00791666" w:rsidRDefault="00791666" w:rsidP="00791666">
      <w:pPr>
        <w:spacing w:after="240"/>
      </w:pPr>
      <w:r>
        <w:lastRenderedPageBreak/>
        <w:t>Rodriguez, C.E., 2006. Assessment of earthquake-induced landslide hazard on natural slopes. cvfeller.cv.ic.ac.uk/carlos.html</w:t>
      </w:r>
    </w:p>
    <w:p w:rsidR="00791666" w:rsidRDefault="00791666" w:rsidP="00791666">
      <w:pPr>
        <w:spacing w:after="240"/>
      </w:pPr>
      <w:r>
        <w:t>Sabetta, F. &amp; Pugliese, A. 1996. Estimation of ground-motion and simulation of nonstationary earthquake ground-motions. Bull. Seismol. Soc. Am. 86: 337–352.</w:t>
      </w:r>
    </w:p>
    <w:p w:rsidR="00791666" w:rsidRDefault="00791666" w:rsidP="00791666">
      <w:pPr>
        <w:spacing w:after="240"/>
      </w:pPr>
      <w:r>
        <w:t>Sadigh, K., Chang, C.-Y., Abrahamson, N. A., Chiou, S. J., &amp; Power, M. S., 1993.</w:t>
      </w:r>
      <w:r w:rsidR="00B808E6">
        <w:t xml:space="preserve"> </w:t>
      </w:r>
      <w:r>
        <w:t>Specification of long-period ground motions: Updated attenuation relationships for rock site</w:t>
      </w:r>
      <w:r w:rsidR="00B808E6">
        <w:t xml:space="preserve"> </w:t>
      </w:r>
      <w:r>
        <w:t>conditions and adjustment factors for near-fault effects. Pages 59–70 of: Proceedings of</w:t>
      </w:r>
      <w:r w:rsidR="00B808E6">
        <w:t xml:space="preserve"> </w:t>
      </w:r>
      <w:r>
        <w:t>ATC-17-1 Seminar on Seismic Isolation, Passive Energy D</w:t>
      </w:r>
      <w:r w:rsidR="00B808E6">
        <w:t>issipation, and Active Control.</w:t>
      </w:r>
    </w:p>
    <w:p w:rsidR="00791666" w:rsidRDefault="00791666" w:rsidP="00791666">
      <w:pPr>
        <w:spacing w:after="240"/>
      </w:pPr>
      <w:r>
        <w:t>Sadigh, K., Chang, C.-Y., Egan, J. A., Makdisi, F., &amp; Youngs, R. R., 1997. Attenuation relationships for shallow crustal earthquakes based on California strong motion data. Seismological Research Letters, 68(1: 180–189.</w:t>
      </w:r>
    </w:p>
    <w:p w:rsidR="00791666" w:rsidRDefault="00791666" w:rsidP="00791666">
      <w:pPr>
        <w:spacing w:after="240"/>
      </w:pPr>
      <w:r>
        <w:t>Scherbaum, F., Delafaud, E. &amp; Riggelsen, C., 2009. Model selection in seismic hazard analysis: an information-theoretic approach. BSSA 99: 3234-3247.</w:t>
      </w:r>
    </w:p>
    <w:p w:rsidR="00791666" w:rsidRDefault="00791666" w:rsidP="00791666">
      <w:pPr>
        <w:spacing w:after="240"/>
      </w:pPr>
      <w:r>
        <w:t>Schumm, S.A., Dumont, J.F. &amp; Holbrook, J.M., 2000. Active tectonics and alluvial rivers, 276 pp. (Cambridge Un</w:t>
      </w:r>
      <w:r>
        <w:t>i</w:t>
      </w:r>
      <w:r>
        <w:t>versity Press)</w:t>
      </w:r>
      <w:r w:rsidR="00BE0E3B">
        <w:t>.</w:t>
      </w:r>
    </w:p>
    <w:p w:rsidR="00791666" w:rsidRDefault="00791666" w:rsidP="00791666">
      <w:pPr>
        <w:spacing w:after="240"/>
      </w:pPr>
      <w:r>
        <w:t>SHARE, 2012. The European database of seismogenic faults. http://diss.rm.ingv.it/share-edsf/</w:t>
      </w:r>
    </w:p>
    <w:p w:rsidR="00791666" w:rsidRPr="00791666" w:rsidRDefault="00791666" w:rsidP="00791666">
      <w:pPr>
        <w:spacing w:after="240"/>
        <w:rPr>
          <w:lang w:val="de-AT"/>
        </w:rPr>
      </w:pPr>
      <w:r>
        <w:t xml:space="preserve">Shebalin, N. V., Leydecker, G., Mokrushina, N. G., Tatevossian, R. E., Erteleva, O. O. &amp; Vassiliev, V.Y., 1998. Earthquake Catalogue for Central and Southeastern Europe 342 BC - 1990 AD. -- European Commission, Report No. </w:t>
      </w:r>
      <w:r w:rsidRPr="00791666">
        <w:rPr>
          <w:lang w:val="de-AT"/>
        </w:rPr>
        <w:t>ETNU CT 93 - 0087, Brussels.</w:t>
      </w:r>
    </w:p>
    <w:p w:rsidR="00791666" w:rsidRDefault="00791666" w:rsidP="00791666">
      <w:pPr>
        <w:spacing w:after="240"/>
      </w:pPr>
      <w:r w:rsidRPr="00791666">
        <w:rPr>
          <w:lang w:val="de-AT"/>
        </w:rPr>
        <w:t xml:space="preserve">Shtober-Zisu, N., Greenbaum, N., Inbar, M., Flexer, A., 2008. </w:t>
      </w:r>
      <w:r>
        <w:t>Morphometric and geomorphic approaches for a</w:t>
      </w:r>
      <w:r>
        <w:t>s</w:t>
      </w:r>
      <w:r>
        <w:t>sessment of tectonic activity, Dead Sea Rift (Israel). Geomorphology 102, 93-104.</w:t>
      </w:r>
    </w:p>
    <w:p w:rsidR="00791666" w:rsidRDefault="00791666" w:rsidP="00791666">
      <w:pPr>
        <w:spacing w:after="240"/>
      </w:pPr>
      <w:r>
        <w:t>Silva, V., Crowley, H., Pagani, M., Monelli, D. &amp; Pinho, R., 2013. Development of the OpenQuake engine, the Global Earthquake Model’s open-source software for seismic risk assessment, Natural Hazards, March 2013, DOI 10.1007/s11069-013-0618-x</w:t>
      </w:r>
      <w:r w:rsidR="00BE0E3B">
        <w:t>.</w:t>
      </w:r>
    </w:p>
    <w:p w:rsidR="00791666" w:rsidRDefault="00791666" w:rsidP="00791666">
      <w:pPr>
        <w:spacing w:after="240"/>
      </w:pPr>
      <w:r>
        <w:t>Smmith, D. E., Shi, S., Cullingford, R., Dawson, A., Dawson, S., Firth C., Foster I., Fretwell, P., Haggart, B., Ho</w:t>
      </w:r>
      <w:r>
        <w:t>l</w:t>
      </w:r>
      <w:r>
        <w:t>loway L. &amp; Long, D., 2004. The Holocene Storegga Slidse tsunami in the United Kingdom. Quaternary Science R</w:t>
      </w:r>
      <w:r>
        <w:t>e</w:t>
      </w:r>
      <w:r>
        <w:t>views 23: 2291–2311.</w:t>
      </w:r>
    </w:p>
    <w:p w:rsidR="00791666" w:rsidRDefault="00791666" w:rsidP="00791666">
      <w:pPr>
        <w:spacing w:after="240"/>
      </w:pPr>
      <w:r>
        <w:t>SNSA (Slovenian Nuclear Safety Administration), 2013. URSJV se je seznanila z mnenjem francoskega inštituta IRSN o potresni varno</w:t>
      </w:r>
      <w:r w:rsidR="00BE0E3B">
        <w:t>sti lokacije Krško, 15.3.2013.</w:t>
      </w:r>
      <w:r w:rsidR="00BE0E3B">
        <w:tab/>
        <w:t xml:space="preserve"> </w:t>
      </w:r>
      <w:r>
        <w:t>http://www.ursjv.gov.si/si/info/novica/article/4597/5735/b59f6ae1b52b804f4376d3e3298a1bfe/</w:t>
      </w:r>
    </w:p>
    <w:p w:rsidR="00791666" w:rsidRDefault="00791666" w:rsidP="00791666">
      <w:pPr>
        <w:spacing w:after="240"/>
      </w:pPr>
      <w:r>
        <w:lastRenderedPageBreak/>
        <w:t>Solares, J.M.M. &amp; Rodríguez, J.M., 2002. Catálogo sísmico de la Península Ibérica (880 a.C. – 1900). Madrid, (Mini</w:t>
      </w:r>
      <w:r>
        <w:t>s</w:t>
      </w:r>
      <w:r>
        <w:t>terio de Fomento, Dirección General del Instituto Geográfico Nacional), 256 pp.</w:t>
      </w:r>
    </w:p>
    <w:p w:rsidR="00791666" w:rsidRDefault="00791666" w:rsidP="00791666">
      <w:pPr>
        <w:spacing w:after="240"/>
      </w:pPr>
      <w:r>
        <w:t>Spacek et al., 2011. Quaternary activity of the Luboká Fault. Abridged translation of updated final report for pr</w:t>
      </w:r>
      <w:r>
        <w:t>o</w:t>
      </w:r>
      <w:r>
        <w:t>ject "Paleoseismology of teh fault structures near NPP Temelin, Brno.</w:t>
      </w:r>
    </w:p>
    <w:p w:rsidR="00791666" w:rsidRDefault="00791666" w:rsidP="00791666">
      <w:pPr>
        <w:spacing w:after="240"/>
      </w:pPr>
      <w:r>
        <w:t>SSHAC [Senior Seismic Hazard Analysis Committee, R.J. Budnitz, Chairman, G. Apostolakis, D.M. Boore, L.S. Cluff, K.J. Coppersmith, C.A. Cornell, and P.A. Morris], 1997. Recommendations for probabilistic seismic hazard anal</w:t>
      </w:r>
      <w:r>
        <w:t>y</w:t>
      </w:r>
      <w:r>
        <w:t>sis—Guidance on uncertainty and use of experts: Washington, D.C., U.S. Nuclear Regulatory Commission Report, NUREG/CR-6372.</w:t>
      </w:r>
    </w:p>
    <w:p w:rsidR="00791666" w:rsidRDefault="00791666" w:rsidP="00791666">
      <w:pPr>
        <w:spacing w:after="240"/>
      </w:pPr>
      <w:r w:rsidRPr="00791666">
        <w:rPr>
          <w:lang w:val="de-AT"/>
        </w:rPr>
        <w:t xml:space="preserve">Stein, S., Geller, R.J. &amp; Liu, M., 2012. </w:t>
      </w:r>
      <w:r>
        <w:t>Why earthquake hazard maps often fail and what to do about it. Tecton</w:t>
      </w:r>
      <w:r>
        <w:t>o</w:t>
      </w:r>
      <w:r>
        <w:t>physics, 562-563, 1-25.</w:t>
      </w:r>
    </w:p>
    <w:p w:rsidR="00791666" w:rsidRDefault="00791666" w:rsidP="00791666">
      <w:pPr>
        <w:spacing w:after="240"/>
      </w:pPr>
      <w:r>
        <w:t>Stein, S., Merino, M., Adams, J., Vanneste, K., Vlemincks, B. &amp;V Camelbeeck, T., 2015. Have we seen the largst earthquakes in Eastern North America? GSA Annual Meeting in Baltimore, Maryland, USA. https://gsa.confex.com/gsa/2015AM/webprogram/Paper261865.html</w:t>
      </w:r>
    </w:p>
    <w:p w:rsidR="00791666" w:rsidRDefault="00791666" w:rsidP="00791666">
      <w:pPr>
        <w:spacing w:after="240"/>
      </w:pPr>
      <w:r>
        <w:t>Stirling M.., Goded T., Berryman K. &amp; Litchfield N., 2013. Selection of Earthquake Scaling Relationships for Seismic Hazard Analysis. Bull. Seismol. Soc. Am., 103, n. 6, 2993-3011.</w:t>
      </w:r>
    </w:p>
    <w:p w:rsidR="00791666" w:rsidRDefault="00791666" w:rsidP="00791666">
      <w:pPr>
        <w:spacing w:after="240"/>
      </w:pPr>
      <w:r>
        <w:t>Stirling M.W., Rhoades D. and Berryman K. (2002). Comparison of Earthquake Scaling Relations Derived from Data of the Instrumental and Preinstrumental Era, Bulletin of the Seismological Society of America 92, No.2, pp. 812-830.</w:t>
      </w:r>
    </w:p>
    <w:p w:rsidR="00791666" w:rsidRDefault="00791666" w:rsidP="00BE0E3B">
      <w:pPr>
        <w:spacing w:after="240"/>
        <w:jc w:val="left"/>
      </w:pPr>
      <w:r>
        <w:t>Stirling, M.W. &amp; Goded, T., 2012. Magnitude scaling relationships. Report produced for the GEM Faulted Earth &amp; Regionalisation Global Components. http://www.nexus.globalquakemodel.org/gem-faulted-earth/posts/magnitude-scaling-relationships-report</w:t>
      </w:r>
    </w:p>
    <w:p w:rsidR="00791666" w:rsidRDefault="00791666" w:rsidP="00791666">
      <w:pPr>
        <w:spacing w:after="240"/>
      </w:pPr>
      <w:r w:rsidRPr="006628F7">
        <w:rPr>
          <w:lang w:val="fr-FR"/>
        </w:rPr>
        <w:t xml:space="preserve">Stucchi, M., Rovida, A. et al., 2013. </w:t>
      </w:r>
      <w:r>
        <w:t>The SHARE European Earthquake Catalogue (SHEEC) 1000-1899. J. Seismology, 17: 523-544.</w:t>
      </w:r>
    </w:p>
    <w:p w:rsidR="00791666" w:rsidRDefault="00791666" w:rsidP="00791666">
      <w:pPr>
        <w:spacing w:after="240"/>
      </w:pPr>
      <w:r>
        <w:t>SÚJB (2011). National Report on “Stress Tests” NPP Dukovany and NPP Temelin Czech Republic. Evaluation of Saf</w:t>
      </w:r>
      <w:r>
        <w:t>e</w:t>
      </w:r>
      <w:r>
        <w:t>ty and Safety Margins in the Light of the Accident of the NPP Fukushima. http://www.ensreg.eu/node/369</w:t>
      </w:r>
    </w:p>
    <w:p w:rsidR="00791666" w:rsidRDefault="00791666" w:rsidP="00791666">
      <w:pPr>
        <w:spacing w:after="240"/>
      </w:pPr>
      <w:r w:rsidRPr="00791666">
        <w:rPr>
          <w:lang w:val="de-AT"/>
        </w:rPr>
        <w:t xml:space="preserve">Suziki, Y. &amp; Annaka, T., T., 2015. </w:t>
      </w:r>
      <w:r>
        <w:t>Probabilistic hazard analysis for secondary fault. Conference Paper, Best Pratices in Physics-based Fault Rupture Models for Seismic Hazard Assessment of Nuclear Installations, IAEA, N</w:t>
      </w:r>
      <w:r>
        <w:t>o</w:t>
      </w:r>
      <w:r>
        <w:t>vember 18-20, 2015, Vienna, 12pp.</w:t>
      </w:r>
    </w:p>
    <w:p w:rsidR="00791666" w:rsidRDefault="00791666" w:rsidP="00791666">
      <w:pPr>
        <w:spacing w:after="240"/>
      </w:pPr>
      <w:r>
        <w:t>Suzuki, Y., et al., 2015. Fault Displacement Hazard of Nuclear Power Plant in Japan (in Japanese), (presentation material), Proceedings of the Symposium on Fault Displacement Evaluation, The Nuclear Engineering Committee of the JSCE, July 2015.</w:t>
      </w:r>
    </w:p>
    <w:p w:rsidR="00791666" w:rsidRDefault="00791666" w:rsidP="00791666">
      <w:pPr>
        <w:spacing w:after="240"/>
      </w:pPr>
      <w:r>
        <w:lastRenderedPageBreak/>
        <w:t>Swiss Seismological Service, 2002. ECOS-09 Earthquake Catalog</w:t>
      </w:r>
      <w:r w:rsidR="00BE0E3B">
        <w:t>ue of Switzerland Release 2010.</w:t>
      </w:r>
    </w:p>
    <w:p w:rsidR="00791666" w:rsidRDefault="00791666" w:rsidP="00791666">
      <w:pPr>
        <w:spacing w:after="240"/>
      </w:pPr>
      <w:r>
        <w:t>Takao, M., Annaka, T. &amp; Kurita, T., 2015. Establishment of evaluation formuale for Probabilistic Fault Displacment Hazard Analysis (PFDHA) in Japan. Conference Paper, Best Pratices in Physics-based Fault Rupture Models for Seismic Hazard Assessment of Nuclear Installations, IAEA, November 18-20, 2015, Vienna, 16pp.</w:t>
      </w:r>
    </w:p>
    <w:p w:rsidR="00791666" w:rsidRDefault="00791666" w:rsidP="00791666">
      <w:pPr>
        <w:spacing w:after="240"/>
      </w:pPr>
      <w:r>
        <w:t>Takao, M., et al. 2013. Application of probabilistic fault displacement hazard analysis in Japan, Journal of Japan Association for Earthquake Engineering (in Japanese), Volume 13, No. 1, 17-36.</w:t>
      </w:r>
    </w:p>
    <w:p w:rsidR="00791666" w:rsidRDefault="00791666" w:rsidP="00791666">
      <w:pPr>
        <w:spacing w:after="240"/>
      </w:pPr>
      <w:r>
        <w:t>Takao, M., et al., 2014. Reliability improvement of probabilistic fault displacement hazard analysis, Journal of Japan Association for Earthquake Engineering (</w:t>
      </w:r>
      <w:r w:rsidR="00BE0E3B">
        <w:t>in Japanese), Volume 14, No. 2.</w:t>
      </w:r>
    </w:p>
    <w:p w:rsidR="00791666" w:rsidRDefault="00791666" w:rsidP="00791666">
      <w:pPr>
        <w:spacing w:after="240"/>
      </w:pPr>
      <w:r>
        <w:t>Talling, P.J., Stewart, M.D., Stark, C.P., Gupta, S., Vincent, S.J., 1997. Regular spacing of drainage outlets from linear fault blocks. Basin Research 9, 275–302.</w:t>
      </w:r>
    </w:p>
    <w:p w:rsidR="00791666" w:rsidRDefault="00791666" w:rsidP="00791666">
      <w:pPr>
        <w:spacing w:after="240"/>
      </w:pPr>
      <w:r>
        <w:t>Tamura, T., 1978. An analysis of the relationship between the areal distribution of distribution of earthquake-induced landslides and the earthquake magnitude, Geophysical Review of Japan, 51/8, 662-672.</w:t>
      </w:r>
    </w:p>
    <w:p w:rsidR="00791666" w:rsidRDefault="00791666" w:rsidP="00791666">
      <w:pPr>
        <w:spacing w:after="240"/>
      </w:pPr>
      <w:r>
        <w:t>Tappin, D., Grilli, S., Harris, J. et al., 2014. Did a submarine landslide contribute to the 2011 Tokoku tsunami</w:t>
      </w:r>
      <w:r w:rsidR="00BE0E3B">
        <w:t>? Marine Geology, 357: 344-361.</w:t>
      </w:r>
    </w:p>
    <w:p w:rsidR="00791666" w:rsidRDefault="00791666" w:rsidP="00791666">
      <w:pPr>
        <w:spacing w:after="240"/>
      </w:pPr>
      <w:r>
        <w:t>Tavakoli, B. &amp; Pezeshk, S., 2005. Empirical-Stochastic Ground-Motion Prediction for Eastern</w:t>
      </w:r>
      <w:r w:rsidR="00B808E6">
        <w:t xml:space="preserve"> </w:t>
      </w:r>
      <w:r>
        <w:t>North America. Bull.</w:t>
      </w:r>
      <w:r w:rsidR="00B808E6">
        <w:t xml:space="preserve"> Seism. Soc. Am. 95, 2283-2296.</w:t>
      </w:r>
    </w:p>
    <w:p w:rsidR="00791666" w:rsidRDefault="00791666" w:rsidP="00791666">
      <w:pPr>
        <w:spacing w:after="240"/>
      </w:pPr>
      <w:r>
        <w:t>TEPCO (Tokyo Electric Power Company), 2012. Fukushima Nuclear Accident Analysis Report, Fukushima Nuclear Accidents Investigation Report, June 20, 2012 (Report and Attachment).</w:t>
      </w:r>
    </w:p>
    <w:p w:rsidR="00791666" w:rsidRDefault="00791666" w:rsidP="00791666">
      <w:pPr>
        <w:spacing w:after="240"/>
      </w:pPr>
      <w:r>
        <w:t>Toro, G. R., &amp; Silva, W. J., 2001. Scenario earthquakes for Saint Louis, MO, and Memphis,</w:t>
      </w:r>
      <w:r w:rsidR="00B808E6">
        <w:t xml:space="preserve"> </w:t>
      </w:r>
      <w:r>
        <w:t>TN, and seismic hazard maps for the central United States region including the effect of site conditions. Tech. rept. Research supported by the U.S. Geological Survey (USGS), under aw</w:t>
      </w:r>
      <w:r w:rsidR="00B808E6">
        <w:t>ard number 1434-HQ-97-GR-02981.</w:t>
      </w:r>
    </w:p>
    <w:p w:rsidR="00791666" w:rsidRDefault="00791666" w:rsidP="00791666">
      <w:pPr>
        <w:spacing w:after="240"/>
      </w:pPr>
      <w:r>
        <w:t>Tóth, L., Monus, P., Györi, E., Grenerczy, G., Katona, T. &amp; Kiszely, M. (2015). Towards the Seismic Hazard Rea</w:t>
      </w:r>
      <w:r>
        <w:t>s</w:t>
      </w:r>
      <w:r>
        <w:t>sessment of Paks NPP (Hungary) Site: Seismicity and Sensitivity Studies. Geophysical Research Abstracts, 17: EGU2015-2939.</w:t>
      </w:r>
    </w:p>
    <w:p w:rsidR="00791666" w:rsidRDefault="00791666" w:rsidP="00791666">
      <w:pPr>
        <w:spacing w:after="240"/>
      </w:pPr>
      <w:r>
        <w:t>Troiani, F., Della Seta, M., 2008. The use of the Stream Length-Gradient index in morphotectonic analysis of small catchments: A case study from Central Italy. Geomorphology 102, 159-168.</w:t>
      </w:r>
    </w:p>
    <w:p w:rsidR="00791666" w:rsidRDefault="00791666" w:rsidP="00791666">
      <w:pPr>
        <w:spacing w:after="240"/>
      </w:pPr>
      <w:r>
        <w:t>Tsodoulos, I.M., Koukouvelas, I.K., Pavlides, S., 2008. Tectonic Geomorphology of the easternmost extension of the Gulf of Corinth (Beotia, Central Greece). Tectonophysics 453, 211-232.</w:t>
      </w:r>
    </w:p>
    <w:p w:rsidR="00791666" w:rsidRDefault="00791666" w:rsidP="00791666">
      <w:pPr>
        <w:spacing w:after="240"/>
      </w:pPr>
      <w:r>
        <w:t>Tsutsumi, H. &amp; Okada, A., 1996. Segmentation and Holocene surface faulting on the Median Tectonic Line, sout</w:t>
      </w:r>
      <w:r>
        <w:t>h</w:t>
      </w:r>
      <w:r>
        <w:t>west Japan, J. Geophys. Res., 101: 5855 - 5871.</w:t>
      </w:r>
    </w:p>
    <w:p w:rsidR="00791666" w:rsidRDefault="00791666" w:rsidP="00791666">
      <w:pPr>
        <w:spacing w:after="240"/>
      </w:pPr>
      <w:r>
        <w:lastRenderedPageBreak/>
        <w:t>US Department of Energy, 2015. EGS: The Geysers: What is the history of seismicity at The Geysers? http://esd1.lbl.gov/research/projects/induced_seismicity/egs/geysers_history.html</w:t>
      </w:r>
    </w:p>
    <w:p w:rsidR="00791666" w:rsidRDefault="00791666" w:rsidP="00791666">
      <w:pPr>
        <w:spacing w:after="240"/>
      </w:pPr>
      <w:r>
        <w:t>USGS, 2015. U.S. Geological Survey (and supporting agency if appropriate-see list below), 2006, Quaternary fault and fold database for the United States, accessed 2015-10-12, from USGS web site: http://earthquakes.usgs.gov/regional/qfaults/</w:t>
      </w:r>
    </w:p>
    <w:p w:rsidR="00791666" w:rsidRDefault="00791666" w:rsidP="00791666">
      <w:pPr>
        <w:spacing w:after="240"/>
      </w:pPr>
      <w:r>
        <w:t>USNRC, 2010. Resolution of Generic Safety Issues: Issue 194: Implications of Updated Probabilistic Seismic Hazard Estimates (NUREG-0933, Main Report with Supplements 1–34)</w:t>
      </w:r>
      <w:r w:rsidR="00BE0E3B">
        <w:tab/>
      </w:r>
      <w:r>
        <w:t xml:space="preserve"> http://nureg.nrc.gov/sr0933/Section%203.%20New%20Generic%20Issues/194r1.html</w:t>
      </w:r>
    </w:p>
    <w:p w:rsidR="00791666" w:rsidRDefault="00791666" w:rsidP="00791666">
      <w:pPr>
        <w:spacing w:after="240"/>
      </w:pPr>
      <w:r>
        <w:t>USNRC, 2012. Practical Implementation Guidelines for SSHAC Level 3 and 4 Hazard Studies. NUREG 2117, 227 pp.</w:t>
      </w:r>
    </w:p>
    <w:p w:rsidR="00791666" w:rsidRDefault="00791666" w:rsidP="00791666">
      <w:pPr>
        <w:spacing w:after="240"/>
      </w:pPr>
      <w:r>
        <w:t>USNRC, 2012a. Central and Eastern United States Seismic Source Characterization for Nuclear Faciliti</w:t>
      </w:r>
      <w:r w:rsidR="00BE0E3B">
        <w:t>es (NUREG-2115, Volumes 1 to 6).</w:t>
      </w:r>
    </w:p>
    <w:p w:rsidR="00791666" w:rsidRDefault="00791666" w:rsidP="00791666">
      <w:pPr>
        <w:spacing w:after="240"/>
      </w:pPr>
      <w:r>
        <w:t>USNRC, 2012b. Confirmatory Analysis of Seismic Hazard at the Diablo Canyon Power Plant from the Shoreline Fault Zone, U.S. Nuclear Regulatory Commission, Research Information Letter 12-01: September 2012, 177 pp.</w:t>
      </w:r>
    </w:p>
    <w:p w:rsidR="00791666" w:rsidRDefault="00791666" w:rsidP="00791666">
      <w:pPr>
        <w:spacing w:after="240"/>
      </w:pPr>
      <w:r>
        <w:t>Vakov, A.V., 1996. Relationships between earthquake magnitude, source geometry and slip mechanism. Tecton</w:t>
      </w:r>
      <w:r>
        <w:t>o</w:t>
      </w:r>
      <w:r>
        <w:t>physics, 261: 97-113.</w:t>
      </w:r>
    </w:p>
    <w:p w:rsidR="00791666" w:rsidRPr="00791666" w:rsidRDefault="00791666" w:rsidP="00791666">
      <w:pPr>
        <w:spacing w:after="240"/>
        <w:rPr>
          <w:lang w:val="de-AT"/>
        </w:rPr>
      </w:pPr>
      <w:r>
        <w:t xml:space="preserve">Van Gils,J.M. &amp; Leydecker, G. (eds.) (1991): Catalogue of European earthquakes with intensities higher than 4. -- Commission of the European ommunities - nuclear science and technology. </w:t>
      </w:r>
      <w:r w:rsidRPr="00791666">
        <w:rPr>
          <w:lang w:val="de-AT"/>
        </w:rPr>
        <w:t>353 pp., 14 fig., 1 tab.- ISBN 92-826-2506-0, Catalogue number: CD-NA-13406-EN-C. Brussels - Luxembourg.</w:t>
      </w:r>
    </w:p>
    <w:p w:rsidR="00791666" w:rsidRDefault="00791666" w:rsidP="00791666">
      <w:pPr>
        <w:spacing w:after="240"/>
      </w:pPr>
      <w:r>
        <w:t>Vanneste, K., Camelbeek, T. &amp; Verbeeck, K., 2013. A model of composite seismic sources for the Lower Rhine Graben, Northwest Europe. Bull. Seismol. Society of America, 103: 984-1007.</w:t>
      </w:r>
    </w:p>
    <w:p w:rsidR="00791666" w:rsidRDefault="00791666" w:rsidP="00791666">
      <w:pPr>
        <w:spacing w:after="240"/>
      </w:pPr>
      <w:r>
        <w:t>Vannucci, G. &amp; Gasperini, P., 2003. A database of revised fault plane solutions for Italy and surrounding regions, Computers &amp; Geosciences, 29: 903-909.</w:t>
      </w:r>
    </w:p>
    <w:p w:rsidR="00791666" w:rsidRDefault="00791666" w:rsidP="00791666">
      <w:pPr>
        <w:spacing w:after="240"/>
      </w:pPr>
      <w:r>
        <w:t>Vannucci, G. &amp; Gasperini, P., 2004. The new release of the database of Earthquake Mechanisms of the Mediterr</w:t>
      </w:r>
      <w:r>
        <w:t>a</w:t>
      </w:r>
      <w:r>
        <w:t>nean Area (EMMA version 2), Annals of Geophysics, Supplement to Vol 47: 303-327.</w:t>
      </w:r>
    </w:p>
    <w:p w:rsidR="00791666" w:rsidRDefault="00791666" w:rsidP="00791666">
      <w:pPr>
        <w:spacing w:after="240"/>
      </w:pPr>
      <w:r w:rsidRPr="00791666">
        <w:rPr>
          <w:lang w:val="de-AT"/>
        </w:rPr>
        <w:t xml:space="preserve">Verrios, S., Zygouri, V., Kokkalas, S., 2004. </w:t>
      </w:r>
      <w:r>
        <w:t>Morphotectonic Analysis in the Eliki Fault Zone (Gulf of Corinth, Greece). Bulletin of the Geological Society of Greece 36, 1706-1715.</w:t>
      </w:r>
    </w:p>
    <w:p w:rsidR="00791666" w:rsidRDefault="00791666" w:rsidP="00791666">
      <w:pPr>
        <w:spacing w:after="240"/>
      </w:pPr>
      <w:r>
        <w:t>Wahlström, R., 1990. A catalogue of earthquakes in Sweden in 1375–1890. Volume 112, P. 215-225.</w:t>
      </w:r>
    </w:p>
    <w:p w:rsidR="00791666" w:rsidRDefault="00791666" w:rsidP="00791666">
      <w:pPr>
        <w:spacing w:after="240"/>
      </w:pPr>
      <w:r>
        <w:t>Wakamatsu, K., 1991. Maps for historic liquefaction sites in Japan, Tokio University press, 341 pp.</w:t>
      </w:r>
    </w:p>
    <w:p w:rsidR="00791666" w:rsidRDefault="00791666" w:rsidP="00791666">
      <w:pPr>
        <w:spacing w:after="240"/>
      </w:pPr>
      <w:r>
        <w:lastRenderedPageBreak/>
        <w:t>Wakamatsu, K., 1993. History of soil liquefaction in Japan and assessment of liquefaction potential based on ge</w:t>
      </w:r>
      <w:r>
        <w:t>o</w:t>
      </w:r>
      <w:r>
        <w:t>morphology, PhD Thesis, Waseda University, Tokyo, 245 pp.</w:t>
      </w:r>
    </w:p>
    <w:p w:rsidR="00791666" w:rsidRDefault="00791666" w:rsidP="00791666">
      <w:pPr>
        <w:spacing w:after="240"/>
      </w:pPr>
      <w:r>
        <w:t>Walcott R.C., Summerfield M.A. 2008. Scale dependence of hypsometric integrals: An analysis of southeast African basins. Geomorphology 96 (2008) 174-186.</w:t>
      </w:r>
    </w:p>
    <w:p w:rsidR="00791666" w:rsidRDefault="00791666" w:rsidP="00791666">
      <w:pPr>
        <w:spacing w:after="240"/>
      </w:pPr>
      <w:r>
        <w:t>Ward, S.N. &amp; Day, S., 2001. Cumbre Vieja Volcano — Potential collapse and tsunami at La Palma, Canary Islands. Geophysical Resea</w:t>
      </w:r>
      <w:r w:rsidR="00BE0E3B">
        <w:t>rch Letters 28 (17): 3397–3400.</w:t>
      </w:r>
    </w:p>
    <w:p w:rsidR="00791666" w:rsidRDefault="00791666" w:rsidP="00791666">
      <w:pPr>
        <w:spacing w:after="240"/>
      </w:pPr>
      <w:r>
        <w:t>Weatherill, G., Garcia, J., Poggi, V., Chen, Y.-S. &amp; Pagani, M., 2016. Modelling Active Faults in Probabilistic Sei</w:t>
      </w:r>
      <w:r>
        <w:t>s</w:t>
      </w:r>
      <w:r>
        <w:t>mic Hazard Analysis (PSHA) with OpenQuake: Definition, Design and Experience. Geophysical Research Abstracts, 18, EGU2016-16361</w:t>
      </w:r>
      <w:r w:rsidR="00BE0E3B">
        <w:t>.</w:t>
      </w:r>
    </w:p>
    <w:p w:rsidR="00791666" w:rsidRDefault="00791666" w:rsidP="00791666">
      <w:pPr>
        <w:spacing w:after="240"/>
      </w:pPr>
      <w:r w:rsidRPr="005A1CA8">
        <w:t xml:space="preserve">Weninger, B., Schulting, R., Vradtmöller, M. et al., 2008. </w:t>
      </w:r>
      <w:r>
        <w:t>The catastrophic final flooding of Doggerland by the Storegga Slide tsunami. Documenta Praehistorica XXXV: 1-24.</w:t>
      </w:r>
    </w:p>
    <w:p w:rsidR="00791666" w:rsidRDefault="00791666" w:rsidP="00791666">
      <w:pPr>
        <w:spacing w:after="240"/>
      </w:pPr>
      <w:r>
        <w:t>WENRA, 2013. Postion paper on Periodic Safety Reviews (PSRs) taking into account the lessons learnt from the TEPCO Fukushima Dai-ichi NPP accident.</w:t>
      </w:r>
      <w:r w:rsidR="00BE0E3B">
        <w:tab/>
      </w:r>
      <w:r>
        <w:t xml:space="preserve"> http://www.wenra.org/media/filer_public/2013/04/05/rhwg_position_psr_2013-03_final_2.pdf</w:t>
      </w:r>
    </w:p>
    <w:p w:rsidR="00791666" w:rsidRDefault="00791666" w:rsidP="00791666">
      <w:pPr>
        <w:spacing w:after="240"/>
      </w:pPr>
      <w:r>
        <w:t>WENRA, 2014. Report WENRA Safety Reference Levels for Existing Reactors. 24th September 2014 http://www.wenra.org/media/filer_public/2014/09/19/wenra_safety_reference_level_for_existing_reactors_september_2014.pdf</w:t>
      </w:r>
    </w:p>
    <w:p w:rsidR="00791666" w:rsidRDefault="00791666" w:rsidP="00791666">
      <w:pPr>
        <w:spacing w:after="240"/>
      </w:pPr>
      <w:r>
        <w:t>WENRA, 2015. Guidance Head Document Issue T: Natural Hazards Head Document. 18. February 2015 http://www.wenra.org/media/filer_public/2015/04/23/wenra-rhwg_t1_guidance_on_issue_t_head_document_2015-04-21.pdf</w:t>
      </w:r>
    </w:p>
    <w:p w:rsidR="00791666" w:rsidRDefault="00791666" w:rsidP="00791666">
      <w:pPr>
        <w:spacing w:after="240"/>
      </w:pPr>
      <w:r>
        <w:t>WENRA, 2016. Guidance Document Issue T: Natural Hazar</w:t>
      </w:r>
      <w:r w:rsidR="00BE0E3B">
        <w:t>ds - Guidance on Seismic Events.</w:t>
      </w:r>
    </w:p>
    <w:p w:rsidR="00BD6598" w:rsidRDefault="00BD6598" w:rsidP="00BD6598">
      <w:pPr>
        <w:spacing w:after="240"/>
      </w:pPr>
      <w:r>
        <w:t xml:space="preserve">Wielenberg, A. &amp; al., 2016. </w:t>
      </w:r>
      <w:r w:rsidRPr="001B7924">
        <w:t>Methodology for Selecting Initiating Events and Hazards for Consideration in an E</w:t>
      </w:r>
      <w:r w:rsidRPr="001B7924">
        <w:t>x</w:t>
      </w:r>
      <w:r w:rsidRPr="001B7924">
        <w:t>tended PSA</w:t>
      </w:r>
      <w:r>
        <w:t xml:space="preserve">. Technical report ASAMPSA_E / WP30 / D30.3 / </w:t>
      </w:r>
      <w:r w:rsidRPr="00BD6598">
        <w:t>2016-05 - Reference IRSN PSN/RES/SAG - 2016-00101.</w:t>
      </w:r>
    </w:p>
    <w:p w:rsidR="00791666" w:rsidRDefault="00791666" w:rsidP="00791666">
      <w:pPr>
        <w:spacing w:after="240"/>
      </w:pPr>
      <w:r>
        <w:t>Wyss, M. &amp; Rosset, P., 2013. Mapping seismic risk: the current crisis. Natural Hazards, 68: 49-52.</w:t>
      </w:r>
    </w:p>
    <w:p w:rsidR="00791666" w:rsidRDefault="00791666" w:rsidP="00791666">
      <w:pPr>
        <w:spacing w:after="240"/>
      </w:pPr>
      <w:r>
        <w:t>Youd, T.L. &amp; Perkins, J. B., 1978. Mapping of luquefaction induced ground failure potential, J. GED, ASCE, 104, 433-446.</w:t>
      </w:r>
    </w:p>
    <w:p w:rsidR="00791666" w:rsidRDefault="00791666" w:rsidP="00791666">
      <w:pPr>
        <w:spacing w:after="240"/>
      </w:pPr>
      <w:r w:rsidRPr="006628F7">
        <w:rPr>
          <w:lang w:val="fr-FR"/>
        </w:rPr>
        <w:t xml:space="preserve">Youngs, R.R., et al., 2003. </w:t>
      </w:r>
      <w:r>
        <w:t>A methodology for probabilistic fault displacement hazard analysis (PFDHA), Earthquake Spectra, Vol.19, No.1, 191-219.</w:t>
      </w:r>
    </w:p>
    <w:p w:rsidR="00791666" w:rsidRDefault="00791666" w:rsidP="00791666">
      <w:pPr>
        <w:spacing w:after="240"/>
      </w:pPr>
      <w:r>
        <w:t>Zhang, P., Slemmons, D.B., &amp; Mao,</w:t>
      </w:r>
      <w:r w:rsidR="00B808E6">
        <w:t xml:space="preserve"> </w:t>
      </w:r>
      <w:r>
        <w:t>F., 1991. Geometric pattern, rupture termination, and fault segmentation of the Dixie Valley-Pleasant Valley active normal fault system, Nevada, USA. J. Struct. Geol. 13: 165–176.</w:t>
      </w:r>
    </w:p>
    <w:p w:rsidR="00812D03" w:rsidRDefault="00791666" w:rsidP="00791666">
      <w:pPr>
        <w:spacing w:after="240"/>
      </w:pPr>
      <w:r>
        <w:lastRenderedPageBreak/>
        <w:t>Zsiros, T., Mónus, P. &amp; Tóth, L., 1988. Hungarian Earthquake Catalog (456-1986). Kövesligethy Radó Seismological Observatory, Hungary</w:t>
      </w:r>
    </w:p>
    <w:sectPr w:rsidR="00812D03" w:rsidSect="00053C9C">
      <w:headerReference w:type="even" r:id="rId90"/>
      <w:headerReference w:type="default" r:id="rId91"/>
      <w:footerReference w:type="default" r:id="rId92"/>
      <w:pgSz w:w="11907" w:h="16840" w:code="9"/>
      <w:pgMar w:top="1304" w:right="1134" w:bottom="1588" w:left="567" w:header="567" w:footer="0" w:gutter="851"/>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602" w:rsidRDefault="00963602">
      <w:r>
        <w:separator/>
      </w:r>
    </w:p>
    <w:p w:rsidR="00963602" w:rsidRDefault="00963602"/>
  </w:endnote>
  <w:endnote w:type="continuationSeparator" w:id="0">
    <w:p w:rsidR="00963602" w:rsidRDefault="00963602">
      <w:r>
        <w:continuationSeparator/>
      </w:r>
    </w:p>
    <w:p w:rsidR="00963602" w:rsidRDefault="00963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panose1 w:val="00000000000000000000"/>
    <w:charset w:val="00"/>
    <w:family w:val="roman"/>
    <w:notTrueType/>
    <w:pitch w:val="variable"/>
    <w:sig w:usb0="00000003" w:usb1="00000000" w:usb2="00000000" w:usb3="00000000" w:csb0="00000001" w:csb1="00000000"/>
  </w:font>
  <w:font w:name="TimesTen-BoldItalic">
    <w:panose1 w:val="00000000000000000000"/>
    <w:charset w:val="00"/>
    <w:family w:val="roman"/>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TTA6Co00">
    <w:altName w:val="Arial Unicode MS"/>
    <w:panose1 w:val="00000000000000000000"/>
    <w:charset w:val="80"/>
    <w:family w:val="auto"/>
    <w:notTrueType/>
    <w:pitch w:val="default"/>
    <w:sig w:usb0="00000001" w:usb1="08070000" w:usb2="00000010" w:usb3="00000000" w:csb0="00020000" w:csb1="00000000"/>
  </w:font>
  <w:font w:name="TT7ED48o00">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1008"/>
      <w:gridCol w:w="7451"/>
      <w:gridCol w:w="1011"/>
    </w:tblGrid>
    <w:tr w:rsidR="00963602">
      <w:tblPrEx>
        <w:tblCellMar>
          <w:top w:w="0" w:type="dxa"/>
          <w:bottom w:w="0" w:type="dxa"/>
        </w:tblCellMar>
      </w:tblPrEx>
      <w:tc>
        <w:tcPr>
          <w:tcW w:w="1070" w:type="dxa"/>
          <w:tcBorders>
            <w:top w:val="single" w:sz="4" w:space="0" w:color="auto"/>
          </w:tcBorders>
        </w:tcPr>
        <w:p w:rsidR="00963602" w:rsidRDefault="00963602"/>
      </w:tc>
      <w:tc>
        <w:tcPr>
          <w:tcW w:w="7976" w:type="dxa"/>
          <w:tcBorders>
            <w:top w:val="single" w:sz="4" w:space="0" w:color="auto"/>
            <w:left w:val="nil"/>
          </w:tcBorders>
        </w:tcPr>
        <w:p w:rsidR="00963602" w:rsidRDefault="00963602">
          <w:pPr>
            <w:jc w:val="center"/>
            <w:rPr>
              <w:rFonts w:ascii="Garamond" w:hAnsi="Garamond"/>
              <w:sz w:val="16"/>
            </w:rPr>
          </w:pPr>
        </w:p>
      </w:tc>
      <w:tc>
        <w:tcPr>
          <w:tcW w:w="1072" w:type="dxa"/>
          <w:tcBorders>
            <w:top w:val="single" w:sz="4" w:space="0" w:color="auto"/>
          </w:tcBorders>
        </w:tcPr>
        <w:p w:rsidR="00963602" w:rsidRDefault="00963602" w:rsidP="00F9190B">
          <w:pPr>
            <w:jc w:val="right"/>
            <w:rPr>
              <w:vertAlign w:val="subscript"/>
            </w:rPr>
          </w:pPr>
          <w:r>
            <w:rPr>
              <w:rStyle w:val="Numrodepage"/>
            </w:rPr>
            <w:fldChar w:fldCharType="begin"/>
          </w:r>
          <w:r>
            <w:rPr>
              <w:rStyle w:val="Numrodepage"/>
            </w:rPr>
            <w:instrText xml:space="preserve"> PAGE </w:instrText>
          </w:r>
          <w:r>
            <w:rPr>
              <w:rStyle w:val="Numrodepage"/>
            </w:rPr>
            <w:fldChar w:fldCharType="separate"/>
          </w:r>
          <w:r w:rsidR="00173034">
            <w:rPr>
              <w:rStyle w:val="Numrodepage"/>
              <w:noProof/>
            </w:rPr>
            <w:t>2</w:t>
          </w:r>
          <w:r>
            <w:rPr>
              <w:rStyle w:val="Numrodepage"/>
            </w:rPr>
            <w:fldChar w:fldCharType="end"/>
          </w:r>
          <w:r>
            <w:rPr>
              <w:rStyle w:val="Numrodepage"/>
            </w:rPr>
            <w:t xml:space="preserve"> </w:t>
          </w:r>
          <w:r>
            <w:t xml:space="preserve">/ </w:t>
          </w:r>
          <w:r>
            <w:rPr>
              <w:rStyle w:val="Numrodepage"/>
            </w:rPr>
            <w:fldChar w:fldCharType="begin"/>
          </w:r>
          <w:r>
            <w:rPr>
              <w:rStyle w:val="Numrodepage"/>
            </w:rPr>
            <w:instrText xml:space="preserve"> NUMPAGES  </w:instrText>
          </w:r>
          <w:r>
            <w:rPr>
              <w:rStyle w:val="Numrodepage"/>
            </w:rPr>
            <w:fldChar w:fldCharType="separate"/>
          </w:r>
          <w:r w:rsidR="00173034">
            <w:rPr>
              <w:rStyle w:val="Numrodepage"/>
              <w:noProof/>
            </w:rPr>
            <w:t>143</w:t>
          </w:r>
          <w:r>
            <w:rPr>
              <w:rStyle w:val="Numrodepage"/>
            </w:rPr>
            <w:fldChar w:fldCharType="end"/>
          </w:r>
        </w:p>
      </w:tc>
    </w:tr>
  </w:tbl>
  <w:p w:rsidR="00963602" w:rsidRDefault="009636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602" w:rsidRDefault="00963602">
    <w:pPr>
      <w:spacing w:line="204" w:lineRule="exact"/>
      <w:ind w:left="-301"/>
      <w:rPr>
        <w:b/>
        <w:bCs/>
        <w:sz w:val="15"/>
      </w:rPr>
    </w:pPr>
    <w:r>
      <w:rPr>
        <w:b/>
        <w:bCs/>
        <w:sz w:val="15"/>
      </w:rPr>
      <w:t>Siège social - 77, av. du Général-de-Gaulle - 92140 Clamart - Standard +33 (0)1 58 35 88 88 - RCS Nanterre B 440 546 018</w:t>
    </w:r>
  </w:p>
  <w:p w:rsidR="00963602" w:rsidRDefault="00963602">
    <w:pPr>
      <w:spacing w:line="204" w:lineRule="exact"/>
      <w:ind w:left="-301"/>
      <w:rPr>
        <w:b/>
        <w:bCs/>
        <w:sz w:val="15"/>
      </w:rPr>
    </w:pPr>
  </w:p>
  <w:p w:rsidR="00963602" w:rsidRDefault="00963602">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963602" w:rsidRPr="006E2D19" w:rsidTr="00053C9C">
      <w:tc>
        <w:tcPr>
          <w:tcW w:w="3369" w:type="dxa"/>
        </w:tcPr>
        <w:p w:rsidR="00963602" w:rsidRPr="006E2D19" w:rsidRDefault="00963602" w:rsidP="008D4AFC">
          <w:pPr>
            <w:pStyle w:val="Pieddepage"/>
            <w:rPr>
              <w:i/>
            </w:rPr>
          </w:pPr>
          <w:r w:rsidRPr="00354878">
            <w:rPr>
              <w:i/>
            </w:rPr>
            <w:t>Report IRSN/PSN-RES-SAG</w:t>
          </w:r>
          <w:r>
            <w:rPr>
              <w:i/>
            </w:rPr>
            <w:t xml:space="preserve"> 2016-00232</w:t>
          </w:r>
        </w:p>
      </w:tc>
      <w:tc>
        <w:tcPr>
          <w:tcW w:w="6237" w:type="dxa"/>
        </w:tcPr>
        <w:p w:rsidR="00963602" w:rsidRPr="006E2D19" w:rsidRDefault="00963602" w:rsidP="00053C9C">
          <w:pPr>
            <w:pStyle w:val="Pieddepage"/>
            <w:tabs>
              <w:tab w:val="clear" w:pos="4536"/>
              <w:tab w:val="right" w:pos="5845"/>
            </w:tabs>
            <w:ind w:right="34"/>
            <w:rPr>
              <w:i/>
            </w:rPr>
          </w:pPr>
          <w:r w:rsidRPr="00354878">
            <w:rPr>
              <w:i/>
            </w:rPr>
            <w:t>Tech</w:t>
          </w:r>
          <w:r>
            <w:rPr>
              <w:i/>
            </w:rPr>
            <w:t>nical report ASAMPSA_E/ WP21</w:t>
          </w:r>
          <w:r w:rsidRPr="00354878">
            <w:rPr>
              <w:i/>
            </w:rPr>
            <w:t>/ D</w:t>
          </w:r>
          <w:r>
            <w:rPr>
              <w:i/>
            </w:rPr>
            <w:t>21.3-1</w:t>
          </w:r>
          <w:r w:rsidRPr="00354878">
            <w:rPr>
              <w:i/>
            </w:rPr>
            <w:t xml:space="preserve"> 201</w:t>
          </w:r>
          <w:r>
            <w:rPr>
              <w:i/>
            </w:rPr>
            <w:t>6</w:t>
          </w:r>
          <w:r w:rsidRPr="00354878">
            <w:rPr>
              <w:i/>
            </w:rPr>
            <w:t>-</w:t>
          </w:r>
          <w:r>
            <w:rPr>
              <w:i/>
            </w:rPr>
            <w:t>27</w:t>
          </w:r>
          <w:r>
            <w:rPr>
              <w:i/>
            </w:rPr>
            <w:tab/>
          </w:r>
          <w:r>
            <w:rPr>
              <w:rStyle w:val="Numrodepage"/>
            </w:rPr>
            <w:fldChar w:fldCharType="begin"/>
          </w:r>
          <w:r>
            <w:rPr>
              <w:rStyle w:val="Numrodepage"/>
            </w:rPr>
            <w:instrText xml:space="preserve"> PAGE </w:instrText>
          </w:r>
          <w:r>
            <w:rPr>
              <w:rStyle w:val="Numrodepage"/>
            </w:rPr>
            <w:fldChar w:fldCharType="separate"/>
          </w:r>
          <w:r w:rsidR="00173034">
            <w:rPr>
              <w:rStyle w:val="Numrodepage"/>
              <w:noProof/>
            </w:rPr>
            <w:t>4</w:t>
          </w:r>
          <w:r>
            <w:rPr>
              <w:rStyle w:val="Numrodepage"/>
            </w:rPr>
            <w:fldChar w:fldCharType="end"/>
          </w:r>
          <w:r>
            <w:rPr>
              <w:rStyle w:val="Numrodepage"/>
            </w:rPr>
            <w:t xml:space="preserve"> </w:t>
          </w:r>
          <w:r>
            <w:t xml:space="preserve">/ </w:t>
          </w:r>
          <w:r>
            <w:rPr>
              <w:rStyle w:val="Numrodepage"/>
            </w:rPr>
            <w:fldChar w:fldCharType="begin"/>
          </w:r>
          <w:r>
            <w:rPr>
              <w:rStyle w:val="Numrodepage"/>
            </w:rPr>
            <w:instrText xml:space="preserve"> NUMPAGES  </w:instrText>
          </w:r>
          <w:r>
            <w:rPr>
              <w:rStyle w:val="Numrodepage"/>
            </w:rPr>
            <w:fldChar w:fldCharType="separate"/>
          </w:r>
          <w:r w:rsidR="00173034">
            <w:rPr>
              <w:rStyle w:val="Numrodepage"/>
              <w:noProof/>
            </w:rPr>
            <w:t>143</w:t>
          </w:r>
          <w:r>
            <w:rPr>
              <w:rStyle w:val="Numrodepage"/>
            </w:rPr>
            <w:fldChar w:fldCharType="end"/>
          </w:r>
          <w:r>
            <w:rPr>
              <w:i/>
            </w:rPr>
            <w:tab/>
          </w:r>
        </w:p>
      </w:tc>
    </w:tr>
  </w:tbl>
  <w:p w:rsidR="00963602" w:rsidRDefault="0096360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198"/>
    </w:tblGrid>
    <w:tr w:rsidR="00963602" w:rsidRPr="00354878" w:rsidTr="00265995">
      <w:tc>
        <w:tcPr>
          <w:tcW w:w="3510" w:type="dxa"/>
        </w:tcPr>
        <w:p w:rsidR="00963602" w:rsidRPr="00354878" w:rsidRDefault="00963602" w:rsidP="00753C4B">
          <w:pPr>
            <w:pStyle w:val="Pieddepage"/>
            <w:rPr>
              <w:i/>
            </w:rPr>
          </w:pPr>
          <w:r>
            <w:rPr>
              <w:i/>
            </w:rPr>
            <w:t>Report IRSN/PSN-RES/</w:t>
          </w:r>
          <w:r w:rsidRPr="00354878">
            <w:rPr>
              <w:i/>
            </w:rPr>
            <w:t>SAG</w:t>
          </w:r>
          <w:r>
            <w:rPr>
              <w:i/>
            </w:rPr>
            <w:t>/2016-00232</w:t>
          </w:r>
        </w:p>
      </w:tc>
      <w:tc>
        <w:tcPr>
          <w:tcW w:w="6198" w:type="dxa"/>
        </w:tcPr>
        <w:p w:rsidR="00963602" w:rsidRPr="00354878" w:rsidRDefault="00963602" w:rsidP="00053C9C">
          <w:pPr>
            <w:pStyle w:val="Pieddepage"/>
            <w:tabs>
              <w:tab w:val="clear" w:pos="4536"/>
              <w:tab w:val="clear" w:pos="9072"/>
              <w:tab w:val="left" w:pos="180"/>
              <w:tab w:val="right" w:pos="5532"/>
            </w:tabs>
            <w:ind w:right="450"/>
            <w:jc w:val="right"/>
            <w:rPr>
              <w:i/>
            </w:rPr>
          </w:pPr>
          <w:r w:rsidRPr="00354878">
            <w:rPr>
              <w:i/>
            </w:rPr>
            <w:t>Tech</w:t>
          </w:r>
          <w:r>
            <w:rPr>
              <w:i/>
            </w:rPr>
            <w:t>nical report ASAMPSA_E/ WP21</w:t>
          </w:r>
          <w:r w:rsidRPr="00C96F0F">
            <w:rPr>
              <w:i/>
            </w:rPr>
            <w:t>/ D21.3</w:t>
          </w:r>
          <w:r>
            <w:rPr>
              <w:i/>
            </w:rPr>
            <w:t>-1 / 2016-27</w:t>
          </w:r>
          <w:r>
            <w:rPr>
              <w:i/>
            </w:rPr>
            <w:tab/>
          </w:r>
          <w:r>
            <w:rPr>
              <w:rStyle w:val="Numrodepage"/>
            </w:rPr>
            <w:fldChar w:fldCharType="begin"/>
          </w:r>
          <w:r>
            <w:rPr>
              <w:rStyle w:val="Numrodepage"/>
            </w:rPr>
            <w:instrText xml:space="preserve"> PAGE </w:instrText>
          </w:r>
          <w:r>
            <w:rPr>
              <w:rStyle w:val="Numrodepage"/>
            </w:rPr>
            <w:fldChar w:fldCharType="separate"/>
          </w:r>
          <w:r w:rsidR="00173034">
            <w:rPr>
              <w:rStyle w:val="Numrodepage"/>
              <w:noProof/>
            </w:rPr>
            <w:t>123</w:t>
          </w:r>
          <w:r>
            <w:rPr>
              <w:rStyle w:val="Numrodepage"/>
            </w:rPr>
            <w:fldChar w:fldCharType="end"/>
          </w:r>
          <w:r>
            <w:rPr>
              <w:rStyle w:val="Numrodepage"/>
            </w:rPr>
            <w:t xml:space="preserve"> </w:t>
          </w:r>
          <w:r>
            <w:t xml:space="preserve">/ </w:t>
          </w:r>
          <w:r>
            <w:rPr>
              <w:rStyle w:val="Numrodepage"/>
            </w:rPr>
            <w:fldChar w:fldCharType="begin"/>
          </w:r>
          <w:r>
            <w:rPr>
              <w:rStyle w:val="Numrodepage"/>
            </w:rPr>
            <w:instrText xml:space="preserve"> NUMPAGES  </w:instrText>
          </w:r>
          <w:r>
            <w:rPr>
              <w:rStyle w:val="Numrodepage"/>
            </w:rPr>
            <w:fldChar w:fldCharType="separate"/>
          </w:r>
          <w:r w:rsidR="00173034">
            <w:rPr>
              <w:rStyle w:val="Numrodepage"/>
              <w:noProof/>
            </w:rPr>
            <w:t>143</w:t>
          </w:r>
          <w:r>
            <w:rPr>
              <w:rStyle w:val="Numrodepage"/>
            </w:rPr>
            <w:fldChar w:fldCharType="end"/>
          </w:r>
        </w:p>
      </w:tc>
    </w:tr>
  </w:tbl>
  <w:p w:rsidR="00963602" w:rsidRPr="00E66FD9" w:rsidRDefault="00963602" w:rsidP="0063672A">
    <w:pPr>
      <w:pStyle w:val="Pieddepage"/>
    </w:pPr>
  </w:p>
  <w:p w:rsidR="00963602" w:rsidRDefault="009636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602" w:rsidRDefault="00963602">
      <w:r>
        <w:separator/>
      </w:r>
    </w:p>
    <w:p w:rsidR="00963602" w:rsidRDefault="00963602"/>
  </w:footnote>
  <w:footnote w:type="continuationSeparator" w:id="0">
    <w:p w:rsidR="00963602" w:rsidRDefault="00963602">
      <w:r>
        <w:continuationSeparator/>
      </w:r>
    </w:p>
    <w:p w:rsidR="00963602" w:rsidRDefault="00963602"/>
  </w:footnote>
  <w:footnote w:id="1">
    <w:p w:rsidR="00963602" w:rsidRPr="00AC0FCE" w:rsidRDefault="00963602">
      <w:pPr>
        <w:pStyle w:val="Notedebasdepage"/>
        <w:rPr>
          <w:rFonts w:ascii="Trebuchet MS" w:hAnsi="Trebuchet MS"/>
          <w:sz w:val="18"/>
          <w:szCs w:val="24"/>
          <w:lang w:val="en-US"/>
        </w:rPr>
      </w:pPr>
      <w:r>
        <w:rPr>
          <w:rStyle w:val="Appelnotedebasdep"/>
        </w:rPr>
        <w:footnoteRef/>
      </w:r>
      <w:r>
        <w:t xml:space="preserve"> </w:t>
      </w:r>
      <w:r w:rsidRPr="00AC0FCE">
        <w:rPr>
          <w:rFonts w:ascii="Trebuchet MS" w:hAnsi="Trebuchet MS"/>
          <w:sz w:val="18"/>
          <w:szCs w:val="24"/>
          <w:lang w:val="en-US"/>
        </w:rPr>
        <w:t>Numbers refer to End User Recommendations listed in Guigeno et al., 2014, p. 20 – 28.</w:t>
      </w:r>
    </w:p>
  </w:footnote>
  <w:footnote w:id="2">
    <w:p w:rsidR="00963602" w:rsidRPr="00187C4D" w:rsidRDefault="00963602" w:rsidP="00187C4D">
      <w:pPr>
        <w:rPr>
          <w:lang w:val="en-US"/>
        </w:rPr>
      </w:pPr>
      <w:r w:rsidRPr="00187C4D">
        <w:rPr>
          <w:vertAlign w:val="superscript"/>
          <w:lang w:val="en-US"/>
        </w:rPr>
        <w:footnoteRef/>
      </w:r>
      <w:r w:rsidRPr="00187C4D">
        <w:rPr>
          <w:lang w:val="en-US"/>
        </w:rPr>
        <w:t xml:space="preserve"> The importance such effects have been highlighted by the ENSREG Stress Tests finding that some fire brigade buildings are not capable to withstand design basis seismic events althought the action of fire brigades is credited in the defence-in-depth concept (e.g., the support of core cooling by feed and bleed) (ENSREG, 201</w:t>
      </w:r>
      <w:r>
        <w:rPr>
          <w:lang w:val="en-US"/>
        </w:rPr>
        <w:t>2 c</w:t>
      </w:r>
      <w:r w:rsidRPr="00187C4D">
        <w:rPr>
          <w:lang w:val="en-US"/>
        </w:rPr>
        <w:t xml:space="preserve"> </w:t>
      </w:r>
      <w:r w:rsidRPr="00862BFD">
        <w:rPr>
          <w:color w:val="1F4E79"/>
          <w:lang w:val="en-US"/>
        </w:rPr>
        <w:t>Final R</w:t>
      </w:r>
      <w:r w:rsidRPr="00862BFD">
        <w:rPr>
          <w:color w:val="1F4E79"/>
          <w:lang w:val="en-US"/>
        </w:rPr>
        <w:t>e</w:t>
      </w:r>
      <w:r w:rsidRPr="00862BFD">
        <w:rPr>
          <w:color w:val="1F4E79"/>
          <w:lang w:val="en-US"/>
        </w:rPr>
        <w:t>port CZ</w:t>
      </w:r>
      <w:r w:rsidRPr="00187C4D">
        <w:rPr>
          <w:lang w:val="en-US"/>
        </w:rPr>
        <w:t>).</w:t>
      </w:r>
    </w:p>
  </w:footnote>
  <w:footnote w:id="3">
    <w:p w:rsidR="00963602" w:rsidRPr="007047B7" w:rsidRDefault="00963602" w:rsidP="007047B7">
      <w:pPr>
        <w:rPr>
          <w:lang w:val="en-US"/>
        </w:rPr>
      </w:pPr>
      <w:r w:rsidRPr="007047B7">
        <w:rPr>
          <w:vertAlign w:val="superscript"/>
          <w:lang w:val="en-US"/>
        </w:rPr>
        <w:footnoteRef/>
      </w:r>
      <w:r w:rsidRPr="007047B7">
        <w:rPr>
          <w:lang w:val="en-US"/>
        </w:rPr>
        <w:t xml:space="preserve"> Guidance on the verification and improvement SAM strategies in the context of PSA are included in the ASAMPSA_E Report by Rahni et al. (2016)</w:t>
      </w:r>
      <w:r>
        <w:rPr>
          <w:lang w:val="en-US"/>
        </w:rPr>
        <w:t>.</w:t>
      </w:r>
    </w:p>
  </w:footnote>
  <w:footnote w:id="4">
    <w:p w:rsidR="00963602" w:rsidRPr="00187C4D" w:rsidRDefault="00963602" w:rsidP="00187C4D">
      <w:pPr>
        <w:ind w:left="120"/>
        <w:rPr>
          <w:lang w:val="en-US"/>
        </w:rPr>
      </w:pPr>
      <w:r w:rsidRPr="00187C4D">
        <w:rPr>
          <w:vertAlign w:val="superscript"/>
          <w:lang w:val="en-US"/>
        </w:rPr>
        <w:footnoteRef/>
      </w:r>
      <w:r w:rsidRPr="00187C4D">
        <w:rPr>
          <w:lang w:val="en-US"/>
        </w:rPr>
        <w:t xml:space="preserve"> GMPEs provide relations between earthquake magnitude, distance from the hypocentre, and ground shaking p</w:t>
      </w:r>
      <w:r w:rsidRPr="00187C4D">
        <w:rPr>
          <w:lang w:val="en-US"/>
        </w:rPr>
        <w:t>a</w:t>
      </w:r>
      <w:r w:rsidRPr="00187C4D">
        <w:rPr>
          <w:lang w:val="en-US"/>
        </w:rPr>
        <w:t>rameters.</w:t>
      </w:r>
    </w:p>
  </w:footnote>
  <w:footnote w:id="5">
    <w:p w:rsidR="00963602" w:rsidRPr="00B21047" w:rsidRDefault="00963602">
      <w:pPr>
        <w:pStyle w:val="Notedebasdepage"/>
        <w:rPr>
          <w:rFonts w:ascii="Trebuchet MS" w:hAnsi="Trebuchet MS"/>
          <w:sz w:val="18"/>
          <w:szCs w:val="18"/>
        </w:rPr>
      </w:pPr>
      <w:r w:rsidRPr="00B21047">
        <w:rPr>
          <w:rStyle w:val="Appelnotedebasdep"/>
          <w:rFonts w:ascii="Trebuchet MS" w:hAnsi="Trebuchet MS"/>
          <w:sz w:val="18"/>
          <w:szCs w:val="18"/>
        </w:rPr>
        <w:footnoteRef/>
      </w:r>
      <w:r w:rsidRPr="00B21047">
        <w:rPr>
          <w:rFonts w:ascii="Trebuchet MS" w:hAnsi="Trebuchet MS"/>
          <w:sz w:val="18"/>
          <w:szCs w:val="18"/>
        </w:rPr>
        <w:t xml:space="preserve"> “C</w:t>
      </w:r>
      <w:r w:rsidRPr="00B21047">
        <w:rPr>
          <w:rFonts w:ascii="Trebuchet MS" w:hAnsi="Trebuchet MS"/>
          <w:sz w:val="18"/>
          <w:szCs w:val="18"/>
          <w:lang w:val="en-US"/>
        </w:rPr>
        <w:t>urrent” in this context refers to the youngest geological history, e.g., the Pliocene to Quaternary.</w:t>
      </w:r>
    </w:p>
  </w:footnote>
  <w:footnote w:id="6">
    <w:p w:rsidR="00963602" w:rsidRDefault="00963602" w:rsidP="00600940">
      <w:pPr>
        <w:rPr>
          <w:lang w:val="en-US"/>
        </w:rPr>
      </w:pPr>
      <w:r>
        <w:rPr>
          <w:rStyle w:val="Appelnotedebasdep"/>
        </w:rPr>
        <w:footnoteRef/>
      </w:r>
      <w:r>
        <w:t xml:space="preserve"> </w:t>
      </w:r>
      <w:r>
        <w:rPr>
          <w:lang w:val="en-US"/>
        </w:rPr>
        <w:t xml:space="preserve">Significant faults are &gt; 10 km long (RE), &gt; 5 km (NR), and &gt; 1 km (SV) </w:t>
      </w:r>
    </w:p>
    <w:p w:rsidR="00963602" w:rsidRPr="006938D1" w:rsidRDefault="00963602" w:rsidP="00286E90">
      <w:pPr>
        <w:pStyle w:val="Notedebasdepage"/>
        <w:rPr>
          <w:lang w:val="en-US"/>
        </w:rPr>
      </w:pPr>
    </w:p>
  </w:footnote>
  <w:footnote w:id="7">
    <w:p w:rsidR="00963602" w:rsidRPr="00600940" w:rsidRDefault="00963602">
      <w:pPr>
        <w:pStyle w:val="Notedebasdepage"/>
        <w:rPr>
          <w:rFonts w:ascii="Trebuchet MS" w:hAnsi="Trebuchet MS"/>
          <w:sz w:val="18"/>
          <w:szCs w:val="18"/>
        </w:rPr>
      </w:pPr>
      <w:r w:rsidRPr="00600940">
        <w:rPr>
          <w:rStyle w:val="Appelnotedebasdep"/>
          <w:rFonts w:ascii="Trebuchet MS" w:hAnsi="Trebuchet MS"/>
          <w:sz w:val="18"/>
          <w:szCs w:val="18"/>
        </w:rPr>
        <w:footnoteRef/>
      </w:r>
      <w:r w:rsidRPr="00600940">
        <w:rPr>
          <w:rFonts w:ascii="Trebuchet MS" w:hAnsi="Trebuchet MS"/>
          <w:sz w:val="18"/>
          <w:szCs w:val="18"/>
        </w:rPr>
        <w:t xml:space="preserve"> E.g., the subducting slab in the Vrancea region, Romania.</w:t>
      </w:r>
    </w:p>
  </w:footnote>
  <w:footnote w:id="8">
    <w:p w:rsidR="00963602" w:rsidRPr="00C8762A" w:rsidRDefault="00963602" w:rsidP="00C8762A">
      <w:pPr>
        <w:rPr>
          <w:lang w:val="en-US"/>
        </w:rPr>
      </w:pPr>
      <w:r w:rsidRPr="00C8762A">
        <w:rPr>
          <w:vertAlign w:val="superscript"/>
          <w:lang w:val="en-US"/>
        </w:rPr>
        <w:footnoteRef/>
      </w:r>
      <w:r w:rsidRPr="00C8762A">
        <w:rPr>
          <w:lang w:val="en-US"/>
        </w:rPr>
        <w:t xml:space="preserve"> </w:t>
      </w:r>
      <w:r>
        <w:rPr>
          <w:lang w:val="en-US"/>
        </w:rPr>
        <w:t>A</w:t>
      </w:r>
      <w:r w:rsidRPr="005E0507">
        <w:rPr>
          <w:lang w:val="en-US"/>
        </w:rPr>
        <w:t xml:space="preserve"> current exception is the planning of the Slovenian NPP Krsko II, where PFDHA was also ap</w:t>
      </w:r>
      <w:r>
        <w:rPr>
          <w:lang w:val="en-US"/>
        </w:rPr>
        <w:t>plied during the siting process after the detection of a number of capable faults in the site vicinity (</w:t>
      </w:r>
      <w:r w:rsidRPr="005E0507">
        <w:rPr>
          <w:lang w:val="en-US"/>
        </w:rPr>
        <w:t>Cline et al., 2015</w:t>
      </w:r>
      <w:r>
        <w:rPr>
          <w:lang w:val="en-US"/>
        </w:rPr>
        <w:t>).</w:t>
      </w:r>
    </w:p>
  </w:footnote>
  <w:footnote w:id="9">
    <w:p w:rsidR="00963602" w:rsidRPr="00502BA8" w:rsidRDefault="00963602" w:rsidP="00502BA8">
      <w:pPr>
        <w:rPr>
          <w:lang w:val="en-US"/>
        </w:rPr>
      </w:pPr>
      <w:r w:rsidRPr="00A33966">
        <w:rPr>
          <w:vertAlign w:val="superscript"/>
          <w:lang w:val="en-US"/>
        </w:rPr>
        <w:footnoteRef/>
      </w:r>
      <w:r w:rsidRPr="00502BA8">
        <w:rPr>
          <w:lang w:val="en-US"/>
        </w:rPr>
        <w:t xml:space="preserve"> </w:t>
      </w:r>
      <w:r>
        <w:rPr>
          <w:lang w:val="en-US"/>
        </w:rPr>
        <w:t xml:space="preserve">Seismicity is regarded to spatially homogeneous within a single zone. </w:t>
      </w:r>
      <w:r w:rsidRPr="00502BA8">
        <w:rPr>
          <w:lang w:val="en-US"/>
        </w:rPr>
        <w:t xml:space="preserve">The probability of </w:t>
      </w:r>
      <w:r>
        <w:rPr>
          <w:lang w:val="en-US"/>
        </w:rPr>
        <w:t xml:space="preserve">an </w:t>
      </w:r>
      <w:r w:rsidRPr="00502BA8">
        <w:rPr>
          <w:lang w:val="en-US"/>
        </w:rPr>
        <w:t>e</w:t>
      </w:r>
      <w:r>
        <w:rPr>
          <w:lang w:val="en-US"/>
        </w:rPr>
        <w:t>arthquake</w:t>
      </w:r>
      <w:r w:rsidRPr="00502BA8">
        <w:rPr>
          <w:lang w:val="en-US"/>
        </w:rPr>
        <w:t xml:space="preserve"> of a ce</w:t>
      </w:r>
      <w:r w:rsidRPr="00502BA8">
        <w:rPr>
          <w:lang w:val="en-US"/>
        </w:rPr>
        <w:t>r</w:t>
      </w:r>
      <w:r w:rsidRPr="00502BA8">
        <w:rPr>
          <w:lang w:val="en-US"/>
        </w:rPr>
        <w:t xml:space="preserve">tain magnitude to occur is </w:t>
      </w:r>
      <w:r>
        <w:rPr>
          <w:lang w:val="en-US"/>
        </w:rPr>
        <w:t xml:space="preserve">therefore the same </w:t>
      </w:r>
      <w:r w:rsidRPr="00502BA8">
        <w:rPr>
          <w:lang w:val="en-US"/>
        </w:rPr>
        <w:t>throughout the source zone.</w:t>
      </w:r>
    </w:p>
  </w:footnote>
  <w:footnote w:id="10">
    <w:p w:rsidR="00963602" w:rsidRDefault="00963602" w:rsidP="003830FD">
      <w:pPr>
        <w:rPr>
          <w:lang w:val="en-US"/>
        </w:rPr>
      </w:pPr>
      <w:r>
        <w:rPr>
          <w:rStyle w:val="Appelnotedebasdep"/>
        </w:rPr>
        <w:footnoteRef/>
      </w:r>
      <w:r>
        <w:t xml:space="preserve"> </w:t>
      </w:r>
      <w:r>
        <w:rPr>
          <w:lang w:val="en-US"/>
        </w:rPr>
        <w:t xml:space="preserve">The Vienna Basin Transfer Fault may serves as an example of non-stationarity. Only few segments of the faults moved in historical times producing earthquakes, while several other segments have not caused earthquakes throughout the historical observation period (c. 300-500 years; Hinsch &amp; Decker, 2003; 2010). Defining seismic source zone polygons based on observed seismicity (as for example shown in </w:t>
      </w:r>
      <w:r>
        <w:rPr>
          <w:lang w:val="en-US"/>
        </w:rPr>
        <w:fldChar w:fldCharType="begin"/>
      </w:r>
      <w:r>
        <w:rPr>
          <w:lang w:val="en-US"/>
        </w:rPr>
        <w:instrText xml:space="preserve"> REF _Ref451165153 \h </w:instrText>
      </w:r>
      <w:r>
        <w:rPr>
          <w:lang w:val="en-US"/>
        </w:rPr>
      </w:r>
      <w:r>
        <w:rPr>
          <w:lang w:val="en-US"/>
        </w:rPr>
        <w:fldChar w:fldCharType="separate"/>
      </w:r>
      <w:r w:rsidR="00173034">
        <w:t xml:space="preserve">Figure </w:t>
      </w:r>
      <w:r w:rsidR="00173034">
        <w:rPr>
          <w:noProof/>
        </w:rPr>
        <w:t>15</w:t>
      </w:r>
      <w:r>
        <w:rPr>
          <w:lang w:val="en-US"/>
        </w:rPr>
        <w:fldChar w:fldCharType="end"/>
      </w:r>
      <w:r>
        <w:rPr>
          <w:lang w:val="en-US"/>
        </w:rPr>
        <w:t xml:space="preserve">/1) therefore would separate the historically active fault segments (source zones with high seismicity rate) from the inactive ones (zones with low seismicity rate). This would lead significantly underestimated hazard for the historically inactive fault strands. </w:t>
      </w:r>
    </w:p>
    <w:p w:rsidR="00963602" w:rsidRPr="00CE0B13" w:rsidRDefault="00963602" w:rsidP="003830FD">
      <w:pPr>
        <w:pStyle w:val="Notedebasdepage"/>
        <w:rPr>
          <w:lang w:val="en-US"/>
        </w:rPr>
      </w:pPr>
    </w:p>
  </w:footnote>
  <w:footnote w:id="11">
    <w:p w:rsidR="00963602" w:rsidRPr="00095CB5" w:rsidRDefault="00963602" w:rsidP="00CE0B13">
      <w:pPr>
        <w:rPr>
          <w:lang w:val="en-US"/>
        </w:rPr>
      </w:pPr>
      <w:r w:rsidRPr="00B07AE4">
        <w:rPr>
          <w:vertAlign w:val="superscript"/>
          <w:lang w:val="en-US"/>
        </w:rPr>
        <w:footnoteRef/>
      </w:r>
      <w:r w:rsidRPr="00B07AE4">
        <w:rPr>
          <w:vertAlign w:val="superscript"/>
          <w:lang w:val="en-US"/>
        </w:rPr>
        <w:t xml:space="preserve"> </w:t>
      </w:r>
      <w:r w:rsidRPr="00095CB5">
        <w:rPr>
          <w:lang w:val="en-US"/>
        </w:rPr>
        <w:t>The ENSREG Stress Tests have revealed cases where civil structures such as the fire brigade buildings, which are credited as functional in defense in depth concpets, would suffer severe damage at very low PGA values</w:t>
      </w:r>
      <w:r>
        <w:rPr>
          <w:lang w:val="en-US"/>
        </w:rPr>
        <w:t xml:space="preserve"> ENSREG, 2012, </w:t>
      </w:r>
      <w:r w:rsidRPr="00CE0B13">
        <w:rPr>
          <w:lang w:val="en-US"/>
        </w:rPr>
        <w:t>Country Report CZ</w:t>
      </w:r>
      <w:r>
        <w:rPr>
          <w:lang w:val="en-US"/>
        </w:rPr>
        <w:t>).</w:t>
      </w:r>
    </w:p>
  </w:footnote>
  <w:footnote w:id="12">
    <w:p w:rsidR="00963602" w:rsidRPr="00C00ACD" w:rsidRDefault="00963602" w:rsidP="00C00ACD">
      <w:pPr>
        <w:rPr>
          <w:lang w:val="en-US"/>
        </w:rPr>
      </w:pPr>
      <w:r>
        <w:rPr>
          <w:rStyle w:val="Appelnotedebasdep"/>
        </w:rPr>
        <w:footnoteRef/>
      </w:r>
      <w:r>
        <w:t xml:space="preserve"> </w:t>
      </w:r>
      <w:r w:rsidRPr="00C00ACD">
        <w:rPr>
          <w:lang w:val="en-US"/>
        </w:rPr>
        <w:t>Fore- and aftershocks of major events need to be removed from the database</w:t>
      </w:r>
      <w:r>
        <w:rPr>
          <w:lang w:val="en-US"/>
        </w:rPr>
        <w:t xml:space="preserve"> (“declustering” of the earthquake catalogue)</w:t>
      </w:r>
      <w:r w:rsidRPr="00C00ACD">
        <w:rPr>
          <w:lang w:val="en-US"/>
        </w:rPr>
        <w:t xml:space="preserve">. </w:t>
      </w:r>
    </w:p>
    <w:p w:rsidR="00963602" w:rsidRPr="00C00ACD" w:rsidRDefault="00963602">
      <w:pPr>
        <w:pStyle w:val="Notedebasdepage"/>
        <w:rPr>
          <w:lang w:val="en-US"/>
        </w:rPr>
      </w:pPr>
    </w:p>
  </w:footnote>
  <w:footnote w:id="13">
    <w:p w:rsidR="00963602" w:rsidRPr="00233FE7" w:rsidRDefault="00963602" w:rsidP="00233FE7">
      <w:pPr>
        <w:rPr>
          <w:lang w:val="en-US"/>
        </w:rPr>
      </w:pPr>
      <w:r w:rsidRPr="00233FE7">
        <w:rPr>
          <w:vertAlign w:val="superscript"/>
          <w:lang w:val="en-US"/>
        </w:rPr>
        <w:footnoteRef/>
      </w:r>
      <w:r w:rsidRPr="00233FE7">
        <w:rPr>
          <w:vertAlign w:val="superscript"/>
          <w:lang w:val="en-US"/>
        </w:rPr>
        <w:t xml:space="preserve"> </w:t>
      </w:r>
      <w:r w:rsidRPr="00233FE7">
        <w:rPr>
          <w:lang w:val="en-US"/>
        </w:rPr>
        <w:t>The applicability of the model of a stationary homogeneous Poisson process is questioned.</w:t>
      </w:r>
    </w:p>
  </w:footnote>
  <w:footnote w:id="14">
    <w:p w:rsidR="00963602" w:rsidRPr="00A07F71" w:rsidRDefault="00963602" w:rsidP="00233FE7">
      <w:pPr>
        <w:rPr>
          <w:lang w:val="en-US"/>
        </w:rPr>
      </w:pPr>
      <w:r w:rsidRPr="00233FE7">
        <w:rPr>
          <w:vertAlign w:val="superscript"/>
          <w:lang w:val="en-US"/>
        </w:rPr>
        <w:footnoteRef/>
      </w:r>
      <w:r w:rsidRPr="00233FE7">
        <w:rPr>
          <w:vertAlign w:val="superscript"/>
          <w:lang w:val="en-US"/>
        </w:rPr>
        <w:t xml:space="preserve"> </w:t>
      </w:r>
      <w:r w:rsidRPr="00233FE7">
        <w:rPr>
          <w:lang w:val="en-US"/>
        </w:rPr>
        <w:t>P</w:t>
      </w:r>
      <w:r>
        <w:rPr>
          <w:lang w:val="en-US"/>
        </w:rPr>
        <w:t>oints</w:t>
      </w:r>
      <w:r w:rsidRPr="00233FE7">
        <w:rPr>
          <w:lang w:val="en-US"/>
        </w:rPr>
        <w:t xml:space="preserve"> out that expert</w:t>
      </w:r>
      <w:r>
        <w:rPr>
          <w:lang w:val="en-US"/>
        </w:rPr>
        <w:t>s</w:t>
      </w:r>
      <w:r w:rsidRPr="00233FE7">
        <w:rPr>
          <w:lang w:val="en-US"/>
        </w:rPr>
        <w:t xml:space="preserve"> opinions cannot be averaged meaningfully because the criteria for different models are nonequivalent.</w:t>
      </w:r>
    </w:p>
  </w:footnote>
  <w:footnote w:id="15">
    <w:p w:rsidR="00963602" w:rsidRPr="0062523C" w:rsidRDefault="00963602" w:rsidP="002563E1">
      <w:pPr>
        <w:pStyle w:val="Notedebasdepage"/>
        <w:spacing w:after="120"/>
        <w:rPr>
          <w:rFonts w:ascii="Trebuchet MS" w:hAnsi="Trebuchet MS"/>
          <w:sz w:val="18"/>
          <w:szCs w:val="24"/>
          <w:lang w:val="en-US"/>
        </w:rPr>
      </w:pPr>
      <w:r w:rsidRPr="0062523C">
        <w:rPr>
          <w:rFonts w:ascii="Trebuchet MS" w:hAnsi="Trebuchet MS"/>
          <w:sz w:val="18"/>
          <w:szCs w:val="24"/>
          <w:vertAlign w:val="superscript"/>
          <w:lang w:val="en-US"/>
        </w:rPr>
        <w:footnoteRef/>
      </w:r>
      <w:r w:rsidRPr="0062523C">
        <w:rPr>
          <w:rFonts w:ascii="Trebuchet MS" w:hAnsi="Trebuchet MS"/>
          <w:sz w:val="18"/>
          <w:szCs w:val="24"/>
          <w:lang w:val="en-US"/>
        </w:rPr>
        <w:t xml:space="preserve"> https://web.stanford.edu/group/uq/uq_youq.html</w:t>
      </w:r>
    </w:p>
  </w:footnote>
  <w:footnote w:id="16">
    <w:p w:rsidR="00963602" w:rsidRPr="0062523C" w:rsidRDefault="00963602" w:rsidP="00EB461F">
      <w:pPr>
        <w:pStyle w:val="Notedebasdepage"/>
        <w:rPr>
          <w:rFonts w:ascii="Trebuchet MS" w:hAnsi="Trebuchet MS"/>
          <w:sz w:val="18"/>
          <w:szCs w:val="24"/>
          <w:lang w:val="en-US"/>
        </w:rPr>
      </w:pPr>
      <w:r w:rsidRPr="0062523C">
        <w:rPr>
          <w:rFonts w:ascii="Trebuchet MS" w:hAnsi="Trebuchet MS"/>
          <w:sz w:val="18"/>
          <w:szCs w:val="24"/>
          <w:vertAlign w:val="superscript"/>
          <w:lang w:val="en-US"/>
        </w:rPr>
        <w:footnoteRef/>
      </w:r>
      <w:r w:rsidRPr="0062523C">
        <w:rPr>
          <w:rFonts w:ascii="Trebuchet MS" w:hAnsi="Trebuchet MS"/>
          <w:sz w:val="18"/>
          <w:szCs w:val="24"/>
          <w:lang w:val="en-US"/>
        </w:rPr>
        <w:t xml:space="preserve"> https://web.stanford.edu/group/uq/uq_youq.html</w:t>
      </w:r>
    </w:p>
  </w:footnote>
  <w:footnote w:id="17">
    <w:p w:rsidR="00963602" w:rsidRDefault="00963602" w:rsidP="00A26AE2">
      <w:pPr>
        <w:rPr>
          <w:lang w:val="en-US"/>
        </w:rPr>
      </w:pPr>
      <w:r w:rsidRPr="00A26AE2">
        <w:rPr>
          <w:vertAlign w:val="superscript"/>
          <w:lang w:val="en-US"/>
        </w:rPr>
        <w:footnoteRef/>
      </w:r>
      <w:r w:rsidRPr="00A26AE2">
        <w:rPr>
          <w:lang w:val="en-US"/>
        </w:rPr>
        <w:t xml:space="preserve"> </w:t>
      </w:r>
      <w:r w:rsidRPr="002563E1">
        <w:rPr>
          <w:i/>
          <w:lang w:val="en-US"/>
        </w:rPr>
        <w:t>“Instrumentally measured accelerations due to 6 earthquakes were about three times larger, on average, than the maximum likely accelerations shown on the map (GSHAP, Giardini, 1999). On average, the accelerations were underestimated by a factor of approximately 3. … Intensities reported for the last 60 earthquakes with M ≥ 7.5 were all significantly larger than expected, based on the hazard map (by 2.3 intensity units for the 12 deadl</w:t>
      </w:r>
      <w:r w:rsidRPr="002563E1">
        <w:rPr>
          <w:i/>
          <w:lang w:val="en-US"/>
        </w:rPr>
        <w:t>i</w:t>
      </w:r>
      <w:r w:rsidRPr="002563E1">
        <w:rPr>
          <w:i/>
          <w:lang w:val="en-US"/>
        </w:rPr>
        <w:t>est earthquakes).”</w:t>
      </w:r>
      <w:r>
        <w:rPr>
          <w:lang w:val="en-US"/>
        </w:rPr>
        <w:t xml:space="preserve"> Wyss &amp; Rosset, 2013.</w:t>
      </w:r>
    </w:p>
    <w:p w:rsidR="00963602" w:rsidRPr="00A26AE2" w:rsidRDefault="00963602" w:rsidP="00A26AE2">
      <w:pPr>
        <w:rPr>
          <w:lang w:val="en-US"/>
        </w:rPr>
      </w:pPr>
    </w:p>
  </w:footnote>
  <w:footnote w:id="18">
    <w:p w:rsidR="00963602" w:rsidRPr="000F4F4B" w:rsidRDefault="00963602" w:rsidP="00A26AE2">
      <w:pPr>
        <w:rPr>
          <w:lang w:val="en-US"/>
        </w:rPr>
      </w:pPr>
      <w:r w:rsidRPr="00A26AE2">
        <w:rPr>
          <w:vertAlign w:val="superscript"/>
          <w:lang w:val="en-US"/>
        </w:rPr>
        <w:footnoteRef/>
      </w:r>
      <w:r w:rsidRPr="00A26AE2">
        <w:rPr>
          <w:lang w:val="en-US"/>
        </w:rPr>
        <w:t xml:space="preserve"> </w:t>
      </w:r>
      <w:r w:rsidRPr="002563E1">
        <w:rPr>
          <w:i/>
          <w:lang w:val="en-US"/>
        </w:rPr>
        <w:t>“Since 1979, earthquakes that have caused 10 or more fatalities in Japan have occurred in places designated as low risk“.</w:t>
      </w:r>
      <w:r>
        <w:rPr>
          <w:lang w:val="en-US"/>
        </w:rPr>
        <w:t xml:space="preserve"> Geller, 2011.</w:t>
      </w:r>
    </w:p>
  </w:footnote>
  <w:footnote w:id="19">
    <w:p w:rsidR="00963602" w:rsidRPr="00E958F3" w:rsidRDefault="00963602">
      <w:pPr>
        <w:pStyle w:val="Notedebasdepage"/>
      </w:pPr>
      <w:r w:rsidRPr="00E958F3">
        <w:rPr>
          <w:rFonts w:ascii="Trebuchet MS" w:hAnsi="Trebuchet MS"/>
          <w:sz w:val="18"/>
          <w:szCs w:val="24"/>
          <w:vertAlign w:val="superscript"/>
          <w:lang w:val="en-US"/>
        </w:rPr>
        <w:footnoteRef/>
      </w:r>
      <w:r w:rsidRPr="00E958F3">
        <w:rPr>
          <w:rFonts w:ascii="Trebuchet MS" w:hAnsi="Trebuchet MS"/>
          <w:sz w:val="18"/>
          <w:szCs w:val="24"/>
          <w:lang w:val="en-US"/>
        </w:rPr>
        <w:t xml:space="preserve"> See </w:t>
      </w:r>
      <w:r w:rsidRPr="00E958F3">
        <w:rPr>
          <w:rFonts w:ascii="Trebuchet MS" w:hAnsi="Trebuchet MS"/>
          <w:sz w:val="18"/>
          <w:szCs w:val="24"/>
          <w:lang w:val="en-US"/>
        </w:rPr>
        <w:fldChar w:fldCharType="begin"/>
      </w:r>
      <w:r w:rsidRPr="00E958F3">
        <w:rPr>
          <w:rFonts w:ascii="Trebuchet MS" w:hAnsi="Trebuchet MS"/>
          <w:sz w:val="18"/>
          <w:szCs w:val="24"/>
          <w:lang w:val="en-US"/>
        </w:rPr>
        <w:instrText xml:space="preserve"> REF _Ref433371141 \h </w:instrText>
      </w:r>
      <w:r w:rsidRPr="00E958F3">
        <w:rPr>
          <w:rFonts w:ascii="Trebuchet MS" w:hAnsi="Trebuchet MS"/>
          <w:sz w:val="18"/>
          <w:szCs w:val="24"/>
          <w:lang w:val="en-US"/>
        </w:rPr>
      </w:r>
      <w:r w:rsidRPr="00E958F3">
        <w:rPr>
          <w:rFonts w:ascii="Trebuchet MS" w:hAnsi="Trebuchet MS"/>
          <w:sz w:val="18"/>
          <w:szCs w:val="24"/>
          <w:lang w:val="en-US"/>
        </w:rPr>
        <w:fldChar w:fldCharType="separate"/>
      </w:r>
      <w:r w:rsidR="00173034">
        <w:t xml:space="preserve">Table </w:t>
      </w:r>
      <w:r w:rsidR="00173034">
        <w:rPr>
          <w:noProof/>
        </w:rPr>
        <w:t>10</w:t>
      </w:r>
      <w:r w:rsidRPr="00E958F3">
        <w:rPr>
          <w:rFonts w:ascii="Trebuchet MS" w:hAnsi="Trebuchet MS"/>
          <w:sz w:val="18"/>
          <w:szCs w:val="24"/>
          <w:lang w:val="en-US"/>
        </w:rPr>
        <w:fldChar w:fldCharType="end"/>
      </w:r>
      <w:r w:rsidRPr="00E958F3">
        <w:rPr>
          <w:rFonts w:ascii="Trebuchet MS" w:hAnsi="Trebuchet MS"/>
          <w:sz w:val="18"/>
          <w:szCs w:val="24"/>
          <w:lang w:val="en-US"/>
        </w:rPr>
        <w:t xml:space="preserve"> for definition of terms</w:t>
      </w:r>
      <w:r>
        <w:rPr>
          <w:rFonts w:ascii="Trebuchet MS" w:hAnsi="Trebuchet MS"/>
          <w:sz w:val="18"/>
          <w:szCs w:val="24"/>
          <w:lang w:val="en-US"/>
        </w:rPr>
        <w:t>.</w:t>
      </w:r>
    </w:p>
  </w:footnote>
  <w:footnote w:id="20">
    <w:p w:rsidR="00963602" w:rsidRPr="0011053B" w:rsidRDefault="00963602" w:rsidP="0011053B">
      <w:pPr>
        <w:rPr>
          <w:lang w:val="en-US"/>
        </w:rPr>
      </w:pPr>
      <w:r w:rsidRPr="0011053B">
        <w:rPr>
          <w:vertAlign w:val="superscript"/>
          <w:lang w:val="en-US"/>
        </w:rPr>
        <w:footnoteRef/>
      </w:r>
      <w:r w:rsidRPr="0011053B">
        <w:rPr>
          <w:lang w:val="en-US"/>
        </w:rPr>
        <w:t xml:space="preserve"> </w:t>
      </w:r>
      <w:hyperlink r:id="rId1" w:history="1">
        <w:r w:rsidRPr="0011053B">
          <w:rPr>
            <w:lang w:val="en-US"/>
          </w:rPr>
          <w:t>http://diss.rm.ingv.it/share-edsf/index.html</w:t>
        </w:r>
      </w:hyperlink>
      <w:r w:rsidRPr="0011053B">
        <w:rPr>
          <w:lang w:val="en-US"/>
        </w:rPr>
        <w:t>; http://www.efehr.org:8080/jetspeed/portal/HazardMaps.psml</w:t>
      </w:r>
    </w:p>
  </w:footnote>
  <w:footnote w:id="21">
    <w:p w:rsidR="00963602" w:rsidRPr="0011053B" w:rsidRDefault="00963602" w:rsidP="0011053B">
      <w:pPr>
        <w:rPr>
          <w:lang w:val="en-US"/>
        </w:rPr>
      </w:pPr>
      <w:r w:rsidRPr="0011053B">
        <w:rPr>
          <w:vertAlign w:val="superscript"/>
          <w:lang w:val="en-US"/>
        </w:rPr>
        <w:footnoteRef/>
      </w:r>
      <w:r w:rsidRPr="0011053B">
        <w:rPr>
          <w:lang w:val="en-US"/>
        </w:rPr>
        <w:t xml:space="preserve"> </w:t>
      </w:r>
      <w:r w:rsidRPr="00693F1A">
        <w:rPr>
          <w:lang w:val="en-US"/>
        </w:rPr>
        <w:t>https://www.globalquakemodel.org/openquake/about/</w:t>
      </w:r>
    </w:p>
  </w:footnote>
  <w:footnote w:id="22">
    <w:p w:rsidR="00963602" w:rsidRPr="0011053B" w:rsidRDefault="00963602" w:rsidP="0011053B">
      <w:pPr>
        <w:rPr>
          <w:lang w:val="en-US"/>
        </w:rPr>
      </w:pPr>
      <w:r w:rsidRPr="0011053B">
        <w:rPr>
          <w:vertAlign w:val="superscript"/>
          <w:lang w:val="en-US"/>
        </w:rPr>
        <w:footnoteRef/>
      </w:r>
      <w:r w:rsidRPr="00693F1A">
        <w:rPr>
          <w:lang w:val="en-US"/>
        </w:rPr>
        <w:t xml:space="preserve"> https://www.globalquakemodel.org/openquake/about/</w:t>
      </w:r>
    </w:p>
  </w:footnote>
  <w:footnote w:id="23">
    <w:p w:rsidR="00963602" w:rsidRDefault="00963602" w:rsidP="003B51C2">
      <w:pPr>
        <w:rPr>
          <w:lang w:val="en-US"/>
        </w:rPr>
      </w:pPr>
      <w:r>
        <w:rPr>
          <w:rStyle w:val="Appelnotedebasdep"/>
        </w:rPr>
        <w:footnoteRef/>
      </w:r>
      <w:r>
        <w:t xml:space="preserve"> </w:t>
      </w:r>
      <w:r>
        <w:rPr>
          <w:lang w:val="en-US"/>
        </w:rPr>
        <w:t>Compared to, e.g., combinations of high tide, storm surge and wind-driven waves, whih combine to increased flood ha</w:t>
      </w:r>
      <w:r>
        <w:rPr>
          <w:lang w:val="en-US"/>
        </w:rPr>
        <w:t>z</w:t>
      </w:r>
      <w:r>
        <w:rPr>
          <w:lang w:val="en-US"/>
        </w:rPr>
        <w:t>ards.</w:t>
      </w:r>
    </w:p>
    <w:p w:rsidR="00963602" w:rsidRPr="003B51C2" w:rsidRDefault="00963602">
      <w:pPr>
        <w:pStyle w:val="Notedebasdepage"/>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963602" w:rsidRPr="00354878" w:rsidTr="00354878">
      <w:trPr>
        <w:trHeight w:val="1073"/>
      </w:trPr>
      <w:tc>
        <w:tcPr>
          <w:tcW w:w="3165" w:type="dxa"/>
        </w:tcPr>
        <w:p w:rsidR="00963602" w:rsidRDefault="00963602" w:rsidP="00354878">
          <w:pPr>
            <w:tabs>
              <w:tab w:val="center" w:pos="4536"/>
              <w:tab w:val="right" w:pos="9072"/>
            </w:tabs>
            <w:rPr>
              <w:noProof/>
            </w:rP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3.1pt;margin-top:2.8pt;width:76.7pt;height:54.75pt;z-index:251656192">
                <v:imagedata r:id="rId1" o:title=""/>
              </v:shape>
            </w:pict>
          </w:r>
        </w:p>
      </w:tc>
      <w:tc>
        <w:tcPr>
          <w:tcW w:w="3165" w:type="dxa"/>
          <w:vAlign w:val="center"/>
        </w:tcPr>
        <w:p w:rsidR="00963602" w:rsidRPr="00354878" w:rsidRDefault="00963602" w:rsidP="00354878">
          <w:pPr>
            <w:tabs>
              <w:tab w:val="center" w:pos="4536"/>
              <w:tab w:val="right" w:pos="9072"/>
            </w:tabs>
            <w:jc w:val="center"/>
            <w:rPr>
              <w:noProof/>
            </w:rPr>
          </w:pPr>
          <w:r w:rsidRPr="00354878">
            <w:rPr>
              <w:b/>
              <w:bCs/>
              <w:color w:val="000000"/>
              <w:szCs w:val="18"/>
            </w:rPr>
            <w:t>Advanced Safety Assessment Methodologies: extended PSA</w:t>
          </w:r>
        </w:p>
      </w:tc>
      <w:tc>
        <w:tcPr>
          <w:tcW w:w="3165" w:type="dxa"/>
        </w:tcPr>
        <w:p w:rsidR="00963602" w:rsidRPr="00354878" w:rsidRDefault="00963602" w:rsidP="00354878">
          <w:pPr>
            <w:tabs>
              <w:tab w:val="center" w:pos="4536"/>
              <w:tab w:val="right" w:pos="9072"/>
            </w:tabs>
            <w:jc w:val="right"/>
            <w:rPr>
              <w:noProof/>
            </w:rPr>
          </w:pPr>
          <w:r w:rsidRPr="00E33133">
            <w:pict>
              <v:shape id="_x0000_i1060" type="#_x0000_t75" style="width:122.35pt;height:62.45pt">
                <v:imagedata r:id="rId2" o:title=""/>
              </v:shape>
            </w:pict>
          </w:r>
        </w:p>
      </w:tc>
    </w:tr>
  </w:tbl>
  <w:p w:rsidR="00963602" w:rsidRPr="00E33133" w:rsidRDefault="00963602">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963602" w:rsidRPr="006E2D19" w:rsidTr="008D4AFC">
      <w:trPr>
        <w:trHeight w:val="1073"/>
      </w:trPr>
      <w:tc>
        <w:tcPr>
          <w:tcW w:w="3165" w:type="dxa"/>
        </w:tcPr>
        <w:p w:rsidR="00963602" w:rsidRDefault="00963602" w:rsidP="008D4AFC">
          <w:pPr>
            <w:tabs>
              <w:tab w:val="center" w:pos="4536"/>
              <w:tab w:val="right" w:pos="9072"/>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4" type="#_x0000_t75" style="position:absolute;left:0;text-align:left;margin-left:33.1pt;margin-top:2.8pt;width:76.7pt;height:54.75pt;z-index:251657216;visibility:visible">
                <v:imagedata r:id="rId1" o:title=""/>
              </v:shape>
            </w:pict>
          </w:r>
        </w:p>
      </w:tc>
      <w:tc>
        <w:tcPr>
          <w:tcW w:w="3165" w:type="dxa"/>
          <w:vAlign w:val="center"/>
        </w:tcPr>
        <w:p w:rsidR="00963602" w:rsidRPr="006E2D19" w:rsidRDefault="00963602" w:rsidP="008D4AFC">
          <w:pPr>
            <w:tabs>
              <w:tab w:val="center" w:pos="4536"/>
              <w:tab w:val="right" w:pos="9072"/>
            </w:tabs>
            <w:jc w:val="center"/>
            <w:rPr>
              <w:noProof/>
            </w:rPr>
          </w:pPr>
          <w:r w:rsidRPr="006E2D19">
            <w:rPr>
              <w:b/>
              <w:bCs/>
              <w:color w:val="000000"/>
              <w:szCs w:val="18"/>
            </w:rPr>
            <w:t>Advanced Safety Assessment Methodologies: extended PSA</w:t>
          </w:r>
        </w:p>
      </w:tc>
      <w:tc>
        <w:tcPr>
          <w:tcW w:w="3165" w:type="dxa"/>
        </w:tcPr>
        <w:p w:rsidR="00963602" w:rsidRPr="006E2D19" w:rsidRDefault="00963602" w:rsidP="008D4AFC">
          <w:pPr>
            <w:tabs>
              <w:tab w:val="center" w:pos="4536"/>
              <w:tab w:val="right" w:pos="9072"/>
            </w:tabs>
            <w:jc w:val="right"/>
            <w:rPr>
              <w:noProof/>
            </w:rPr>
          </w:pPr>
          <w:r>
            <w:rPr>
              <w:noProof/>
              <w:lang w:eastAsia="en-GB"/>
            </w:rPr>
            <w:pict>
              <v:shape id="Bild 1" o:spid="_x0000_i1061" type="#_x0000_t75" style="width:121.7pt;height:61.8pt;visibility:visible">
                <v:imagedata r:id="rId2" o:title=""/>
              </v:shape>
            </w:pict>
          </w:r>
        </w:p>
      </w:tc>
    </w:tr>
  </w:tbl>
  <w:p w:rsidR="00963602" w:rsidRPr="0069103E" w:rsidRDefault="00963602">
    <w:pPr>
      <w:ind w:right="360" w:firstLine="360"/>
      <w:rPr>
        <w:sz w:val="8"/>
        <w:szCs w:val="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651"/>
    </w:tblGrid>
    <w:tr w:rsidR="00963602" w:rsidRPr="006E2D19" w:rsidTr="008D4AFC">
      <w:trPr>
        <w:trHeight w:val="702"/>
      </w:trPr>
      <w:tc>
        <w:tcPr>
          <w:tcW w:w="3085" w:type="dxa"/>
          <w:tcBorders>
            <w:top w:val="single" w:sz="4" w:space="0" w:color="auto"/>
            <w:left w:val="single" w:sz="4" w:space="0" w:color="auto"/>
            <w:bottom w:val="single" w:sz="4" w:space="0" w:color="auto"/>
            <w:right w:val="single" w:sz="4" w:space="0" w:color="auto"/>
          </w:tcBorders>
        </w:tcPr>
        <w:p w:rsidR="00963602" w:rsidRDefault="00963602" w:rsidP="008D4AFC">
          <w:pPr>
            <w:tabs>
              <w:tab w:val="center" w:pos="4536"/>
              <w:tab w:val="right" w:pos="9072"/>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3.2pt;margin-top:2.8pt;width:76.7pt;height:54.75pt;z-index:251658240;visibility:visible">
                <v:imagedata r:id="rId1"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963602" w:rsidRPr="005B64EE" w:rsidRDefault="00963602" w:rsidP="008D4AFC">
          <w:pPr>
            <w:tabs>
              <w:tab w:val="center" w:pos="4536"/>
              <w:tab w:val="right" w:pos="9072"/>
            </w:tabs>
            <w:rPr>
              <w:b/>
              <w:bCs/>
              <w:szCs w:val="18"/>
            </w:rPr>
          </w:pPr>
          <w:r w:rsidRPr="005B64EE">
            <w:rPr>
              <w:b/>
              <w:bCs/>
              <w:szCs w:val="18"/>
            </w:rPr>
            <w:t>Advanced Safety Assessment Methodologies: extended PSA</w:t>
          </w:r>
        </w:p>
      </w:tc>
      <w:tc>
        <w:tcPr>
          <w:tcW w:w="3651" w:type="dxa"/>
          <w:tcBorders>
            <w:top w:val="single" w:sz="4" w:space="0" w:color="auto"/>
            <w:left w:val="single" w:sz="4" w:space="0" w:color="auto"/>
            <w:bottom w:val="single" w:sz="4" w:space="0" w:color="auto"/>
            <w:right w:val="single" w:sz="4" w:space="0" w:color="auto"/>
          </w:tcBorders>
        </w:tcPr>
        <w:p w:rsidR="00963602" w:rsidRPr="006E2D19" w:rsidRDefault="00963602" w:rsidP="008D4AFC">
          <w:pPr>
            <w:tabs>
              <w:tab w:val="center" w:pos="4536"/>
              <w:tab w:val="right" w:pos="9072"/>
            </w:tabs>
            <w:jc w:val="right"/>
            <w:rPr>
              <w:noProof/>
              <w:lang w:eastAsia="en-GB"/>
            </w:rPr>
          </w:pPr>
          <w:r>
            <w:rPr>
              <w:noProof/>
              <w:lang w:eastAsia="en-GB"/>
            </w:rPr>
            <w:pict>
              <v:shape id="_x0000_i1062" type="#_x0000_t75" style="width:121.7pt;height:61.8pt;visibility:visible">
                <v:imagedata r:id="rId2" o:title=""/>
              </v:shape>
            </w:pict>
          </w:r>
        </w:p>
      </w:tc>
    </w:tr>
  </w:tbl>
  <w:p w:rsidR="00963602" w:rsidRPr="0069103E" w:rsidRDefault="00963602" w:rsidP="008D4AFC">
    <w:pPr>
      <w:ind w:right="360"/>
      <w:rPr>
        <w:sz w:val="8"/>
        <w:szCs w:val="8"/>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602" w:rsidRDefault="0096360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7655"/>
      <w:gridCol w:w="1345"/>
    </w:tblGrid>
    <w:tr w:rsidR="00963602" w:rsidTr="00024672">
      <w:trPr>
        <w:trHeight w:val="723"/>
      </w:trPr>
      <w:tc>
        <w:tcPr>
          <w:tcW w:w="1204" w:type="dxa"/>
          <w:vAlign w:val="center"/>
        </w:tcPr>
        <w:p w:rsidR="00963602" w:rsidRDefault="00963602" w:rsidP="00024672">
          <w:pPr>
            <w:rPr>
              <w:noProof/>
              <w:sz w:val="16"/>
              <w:lang w:eastAsia="ja-JP"/>
            </w:rPr>
          </w:pPr>
          <w:r>
            <w:rPr>
              <w:noProof/>
              <w:sz w:val="16"/>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45pt;margin-top:3.05pt;width:45.2pt;height:32.25pt;z-index:251659264" strokeweight=".25pt">
                <v:imagedata r:id="rId1" o:title=""/>
              </v:shape>
            </w:pict>
          </w:r>
        </w:p>
      </w:tc>
      <w:tc>
        <w:tcPr>
          <w:tcW w:w="7655" w:type="dxa"/>
          <w:vAlign w:val="center"/>
        </w:tcPr>
        <w:p w:rsidR="00963602" w:rsidRPr="00591ED5" w:rsidRDefault="00963602" w:rsidP="000A735E">
          <w:pPr>
            <w:jc w:val="center"/>
            <w:rPr>
              <w:noProof/>
              <w:sz w:val="16"/>
              <w:szCs w:val="16"/>
            </w:rPr>
          </w:pPr>
          <w:r>
            <w:rPr>
              <w:rStyle w:val="NormalCar"/>
              <w:sz w:val="16"/>
              <w:szCs w:val="16"/>
              <w:lang w:val="en-US"/>
            </w:rPr>
            <w:t>Review of existing practices to model and implement SEISMIC hazards in extended PSA</w:t>
          </w:r>
        </w:p>
      </w:tc>
      <w:tc>
        <w:tcPr>
          <w:tcW w:w="1345" w:type="dxa"/>
          <w:vAlign w:val="center"/>
        </w:tcPr>
        <w:p w:rsidR="00963602" w:rsidRPr="00880D0F" w:rsidRDefault="00963602" w:rsidP="00024672">
          <w:pPr>
            <w:rPr>
              <w:noProof/>
              <w:sz w:val="16"/>
            </w:rPr>
          </w:pPr>
          <w:r>
            <w:pict>
              <v:shape id="_x0000_i1063" type="#_x0000_t75" style="width:59.25pt;height:31.2pt">
                <v:imagedata r:id="rId2" o:title=""/>
              </v:shape>
            </w:pict>
          </w:r>
        </w:p>
      </w:tc>
    </w:tr>
  </w:tbl>
  <w:p w:rsidR="00963602" w:rsidRDefault="009636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A"/>
    <w:multiLevelType w:val="singleLevel"/>
    <w:tmpl w:val="0000003A"/>
    <w:name w:val="WW8Num17"/>
    <w:lvl w:ilvl="0">
      <w:start w:val="1"/>
      <w:numFmt w:val="decimal"/>
      <w:lvlText w:val="%1)"/>
      <w:lvlJc w:val="left"/>
      <w:pPr>
        <w:tabs>
          <w:tab w:val="num" w:pos="0"/>
        </w:tabs>
        <w:ind w:left="720" w:hanging="360"/>
      </w:pPr>
    </w:lvl>
  </w:abstractNum>
  <w:abstractNum w:abstractNumId="1">
    <w:nsid w:val="00060331"/>
    <w:multiLevelType w:val="hybridMultilevel"/>
    <w:tmpl w:val="ED86D0EA"/>
    <w:name w:val="WW8Num2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0D16EBD"/>
    <w:multiLevelType w:val="hybridMultilevel"/>
    <w:tmpl w:val="6FE0602E"/>
    <w:name w:val="WW8Num58"/>
    <w:lvl w:ilvl="0">
      <w:start w:val="1"/>
      <w:numFmt w:val="decimal"/>
      <w:pStyle w:val="Reference"/>
      <w:suff w:val="space"/>
      <w:lvlText w:val="[%1]"/>
      <w:lvlJc w:val="left"/>
      <w:pPr>
        <w:ind w:left="432" w:hanging="432"/>
      </w:pPr>
      <w:rPr>
        <w:rFonts w:cs="Times New Roman" w:hint="default"/>
      </w:rPr>
    </w:lvl>
    <w:lvl w:ilvl="1" w:tentative="1">
      <w:start w:val="1"/>
      <w:numFmt w:val="lowerLetter"/>
      <w:lvlText w:val="%2."/>
      <w:lvlJc w:val="left"/>
      <w:pPr>
        <w:tabs>
          <w:tab w:val="num" w:pos="1008"/>
        </w:tabs>
        <w:ind w:left="1008" w:hanging="360"/>
      </w:pPr>
      <w:rPr>
        <w:rFonts w:cs="Times New Roman"/>
      </w:rPr>
    </w:lvl>
    <w:lvl w:ilvl="2" w:tentative="1">
      <w:start w:val="1"/>
      <w:numFmt w:val="lowerRoman"/>
      <w:lvlText w:val="%3."/>
      <w:lvlJc w:val="right"/>
      <w:pPr>
        <w:tabs>
          <w:tab w:val="num" w:pos="1728"/>
        </w:tabs>
        <w:ind w:left="1728" w:hanging="180"/>
      </w:pPr>
      <w:rPr>
        <w:rFonts w:cs="Times New Roman"/>
      </w:rPr>
    </w:lvl>
    <w:lvl w:ilvl="3" w:tentative="1">
      <w:start w:val="1"/>
      <w:numFmt w:val="decimal"/>
      <w:lvlText w:val="%4."/>
      <w:lvlJc w:val="left"/>
      <w:pPr>
        <w:tabs>
          <w:tab w:val="num" w:pos="2448"/>
        </w:tabs>
        <w:ind w:left="2448" w:hanging="360"/>
      </w:pPr>
      <w:rPr>
        <w:rFonts w:cs="Times New Roman"/>
      </w:rPr>
    </w:lvl>
    <w:lvl w:ilvl="4" w:tentative="1">
      <w:start w:val="1"/>
      <w:numFmt w:val="lowerLetter"/>
      <w:lvlText w:val="%5."/>
      <w:lvlJc w:val="left"/>
      <w:pPr>
        <w:tabs>
          <w:tab w:val="num" w:pos="3168"/>
        </w:tabs>
        <w:ind w:left="3168" w:hanging="360"/>
      </w:pPr>
      <w:rPr>
        <w:rFonts w:cs="Times New Roman"/>
      </w:rPr>
    </w:lvl>
    <w:lvl w:ilvl="5" w:tentative="1">
      <w:start w:val="1"/>
      <w:numFmt w:val="lowerRoman"/>
      <w:lvlText w:val="%6."/>
      <w:lvlJc w:val="right"/>
      <w:pPr>
        <w:tabs>
          <w:tab w:val="num" w:pos="3888"/>
        </w:tabs>
        <w:ind w:left="3888" w:hanging="180"/>
      </w:pPr>
      <w:rPr>
        <w:rFonts w:cs="Times New Roman"/>
      </w:rPr>
    </w:lvl>
    <w:lvl w:ilvl="6" w:tentative="1">
      <w:start w:val="1"/>
      <w:numFmt w:val="decimal"/>
      <w:lvlText w:val="%7."/>
      <w:lvlJc w:val="left"/>
      <w:pPr>
        <w:tabs>
          <w:tab w:val="num" w:pos="4608"/>
        </w:tabs>
        <w:ind w:left="4608" w:hanging="360"/>
      </w:pPr>
      <w:rPr>
        <w:rFonts w:cs="Times New Roman"/>
      </w:rPr>
    </w:lvl>
    <w:lvl w:ilvl="7" w:tentative="1">
      <w:start w:val="1"/>
      <w:numFmt w:val="lowerLetter"/>
      <w:lvlText w:val="%8."/>
      <w:lvlJc w:val="left"/>
      <w:pPr>
        <w:tabs>
          <w:tab w:val="num" w:pos="5328"/>
        </w:tabs>
        <w:ind w:left="5328" w:hanging="360"/>
      </w:pPr>
      <w:rPr>
        <w:rFonts w:cs="Times New Roman"/>
      </w:rPr>
    </w:lvl>
    <w:lvl w:ilvl="8" w:tentative="1">
      <w:start w:val="1"/>
      <w:numFmt w:val="lowerRoman"/>
      <w:lvlText w:val="%9."/>
      <w:lvlJc w:val="right"/>
      <w:pPr>
        <w:tabs>
          <w:tab w:val="num" w:pos="6048"/>
        </w:tabs>
        <w:ind w:left="6048" w:hanging="180"/>
      </w:pPr>
      <w:rPr>
        <w:rFonts w:cs="Times New Roman"/>
      </w:rPr>
    </w:lvl>
  </w:abstractNum>
  <w:abstractNum w:abstractNumId="3">
    <w:nsid w:val="01AA7B1C"/>
    <w:multiLevelType w:val="hybridMultilevel"/>
    <w:tmpl w:val="7E60B5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26D4DF2"/>
    <w:multiLevelType w:val="hybridMultilevel"/>
    <w:tmpl w:val="150CD2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32E31DE"/>
    <w:multiLevelType w:val="hybridMultilevel"/>
    <w:tmpl w:val="AD2611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nsid w:val="0AEF3515"/>
    <w:multiLevelType w:val="hybridMultilevel"/>
    <w:tmpl w:val="3ED8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064D82"/>
    <w:multiLevelType w:val="hybridMultilevel"/>
    <w:tmpl w:val="8B2E03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1B27EFF"/>
    <w:multiLevelType w:val="hybridMultilevel"/>
    <w:tmpl w:val="A70E31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30436BA"/>
    <w:multiLevelType w:val="hybridMultilevel"/>
    <w:tmpl w:val="66BA4FA6"/>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0">
    <w:nsid w:val="131A71F4"/>
    <w:multiLevelType w:val="hybridMultilevel"/>
    <w:tmpl w:val="D2CEB00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nsid w:val="14787851"/>
    <w:multiLevelType w:val="hybridMultilevel"/>
    <w:tmpl w:val="326E08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nsid w:val="16631432"/>
    <w:multiLevelType w:val="hybridMultilevel"/>
    <w:tmpl w:val="0D142662"/>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18D727B0"/>
    <w:multiLevelType w:val="hybridMultilevel"/>
    <w:tmpl w:val="8EFA77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1A031157"/>
    <w:multiLevelType w:val="hybridMultilevel"/>
    <w:tmpl w:val="CD26B6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88129F"/>
    <w:multiLevelType w:val="hybridMultilevel"/>
    <w:tmpl w:val="10C25D74"/>
    <w:lvl w:ilvl="0" w:tplc="0C070001">
      <w:start w:val="1"/>
      <w:numFmt w:val="bullet"/>
      <w:lvlText w:val=""/>
      <w:lvlJc w:val="left"/>
      <w:pPr>
        <w:ind w:left="840" w:hanging="360"/>
      </w:pPr>
      <w:rPr>
        <w:rFonts w:ascii="Symbol" w:hAnsi="Symbol" w:hint="default"/>
      </w:rPr>
    </w:lvl>
    <w:lvl w:ilvl="1" w:tplc="0C070003" w:tentative="1">
      <w:start w:val="1"/>
      <w:numFmt w:val="bullet"/>
      <w:lvlText w:val="o"/>
      <w:lvlJc w:val="left"/>
      <w:pPr>
        <w:ind w:left="1560" w:hanging="360"/>
      </w:pPr>
      <w:rPr>
        <w:rFonts w:ascii="Courier New" w:hAnsi="Courier New" w:cs="Courier New" w:hint="default"/>
      </w:rPr>
    </w:lvl>
    <w:lvl w:ilvl="2" w:tplc="0C070005" w:tentative="1">
      <w:start w:val="1"/>
      <w:numFmt w:val="bullet"/>
      <w:lvlText w:val=""/>
      <w:lvlJc w:val="left"/>
      <w:pPr>
        <w:ind w:left="2280" w:hanging="360"/>
      </w:pPr>
      <w:rPr>
        <w:rFonts w:ascii="Wingdings" w:hAnsi="Wingdings" w:hint="default"/>
      </w:rPr>
    </w:lvl>
    <w:lvl w:ilvl="3" w:tplc="0C070001" w:tentative="1">
      <w:start w:val="1"/>
      <w:numFmt w:val="bullet"/>
      <w:lvlText w:val=""/>
      <w:lvlJc w:val="left"/>
      <w:pPr>
        <w:ind w:left="3000" w:hanging="360"/>
      </w:pPr>
      <w:rPr>
        <w:rFonts w:ascii="Symbol" w:hAnsi="Symbol" w:hint="default"/>
      </w:rPr>
    </w:lvl>
    <w:lvl w:ilvl="4" w:tplc="0C070003" w:tentative="1">
      <w:start w:val="1"/>
      <w:numFmt w:val="bullet"/>
      <w:lvlText w:val="o"/>
      <w:lvlJc w:val="left"/>
      <w:pPr>
        <w:ind w:left="3720" w:hanging="360"/>
      </w:pPr>
      <w:rPr>
        <w:rFonts w:ascii="Courier New" w:hAnsi="Courier New" w:cs="Courier New" w:hint="default"/>
      </w:rPr>
    </w:lvl>
    <w:lvl w:ilvl="5" w:tplc="0C070005" w:tentative="1">
      <w:start w:val="1"/>
      <w:numFmt w:val="bullet"/>
      <w:lvlText w:val=""/>
      <w:lvlJc w:val="left"/>
      <w:pPr>
        <w:ind w:left="4440" w:hanging="360"/>
      </w:pPr>
      <w:rPr>
        <w:rFonts w:ascii="Wingdings" w:hAnsi="Wingdings" w:hint="default"/>
      </w:rPr>
    </w:lvl>
    <w:lvl w:ilvl="6" w:tplc="0C070001" w:tentative="1">
      <w:start w:val="1"/>
      <w:numFmt w:val="bullet"/>
      <w:lvlText w:val=""/>
      <w:lvlJc w:val="left"/>
      <w:pPr>
        <w:ind w:left="5160" w:hanging="360"/>
      </w:pPr>
      <w:rPr>
        <w:rFonts w:ascii="Symbol" w:hAnsi="Symbol" w:hint="default"/>
      </w:rPr>
    </w:lvl>
    <w:lvl w:ilvl="7" w:tplc="0C070003" w:tentative="1">
      <w:start w:val="1"/>
      <w:numFmt w:val="bullet"/>
      <w:lvlText w:val="o"/>
      <w:lvlJc w:val="left"/>
      <w:pPr>
        <w:ind w:left="5880" w:hanging="360"/>
      </w:pPr>
      <w:rPr>
        <w:rFonts w:ascii="Courier New" w:hAnsi="Courier New" w:cs="Courier New" w:hint="default"/>
      </w:rPr>
    </w:lvl>
    <w:lvl w:ilvl="8" w:tplc="0C070005" w:tentative="1">
      <w:start w:val="1"/>
      <w:numFmt w:val="bullet"/>
      <w:lvlText w:val=""/>
      <w:lvlJc w:val="left"/>
      <w:pPr>
        <w:ind w:left="6600" w:hanging="360"/>
      </w:pPr>
      <w:rPr>
        <w:rFonts w:ascii="Wingdings" w:hAnsi="Wingdings" w:hint="default"/>
      </w:rPr>
    </w:lvl>
  </w:abstractNum>
  <w:abstractNum w:abstractNumId="16">
    <w:nsid w:val="2118427B"/>
    <w:multiLevelType w:val="multilevel"/>
    <w:tmpl w:val="A5E858C6"/>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696" w:hanging="576"/>
      </w:pPr>
      <w:rPr>
        <w:rFonts w:hint="default"/>
        <w:color w:val="auto"/>
        <w:lang w:val="en-GB"/>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17">
    <w:nsid w:val="217834DA"/>
    <w:multiLevelType w:val="hybridMultilevel"/>
    <w:tmpl w:val="8662015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22E02B40"/>
    <w:multiLevelType w:val="hybridMultilevel"/>
    <w:tmpl w:val="F606DC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23C86637"/>
    <w:multiLevelType w:val="hybridMultilevel"/>
    <w:tmpl w:val="256E3B20"/>
    <w:lvl w:ilvl="0" w:tplc="041D0001">
      <w:start w:val="1"/>
      <w:numFmt w:val="bullet"/>
      <w:lvlText w:val=""/>
      <w:lvlJc w:val="left"/>
      <w:pPr>
        <w:ind w:left="1069" w:hanging="360"/>
      </w:pPr>
      <w:rPr>
        <w:rFonts w:ascii="Symbol" w:hAnsi="Symbol"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20">
    <w:nsid w:val="2E117CED"/>
    <w:multiLevelType w:val="hybridMultilevel"/>
    <w:tmpl w:val="DA6873A6"/>
    <w:name w:val="WW8Num11"/>
    <w:lvl w:ilvl="0" w:tplc="FFFFFFFF">
      <w:start w:val="1"/>
      <w:numFmt w:val="decimal"/>
      <w:pStyle w:val="ASAMPSAFigure"/>
      <w:lvlText w:val="Fig. %1"/>
      <w:lvlJc w:val="left"/>
      <w:pPr>
        <w:tabs>
          <w:tab w:val="num" w:pos="567"/>
        </w:tabs>
        <w:ind w:left="737" w:hanging="73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01"/>
      <w:numFmt w:val="bullet"/>
      <w:lvlText w:val="-"/>
      <w:lvlJc w:val="left"/>
      <w:pPr>
        <w:tabs>
          <w:tab w:val="num" w:pos="2340"/>
        </w:tabs>
        <w:ind w:left="2340" w:hanging="360"/>
      </w:pPr>
      <w:rPr>
        <w:rFonts w:ascii="Arial" w:eastAsia="Times New Roman" w:hAnsi="Arial" w:cs="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31251D98"/>
    <w:multiLevelType w:val="hybridMultilevel"/>
    <w:tmpl w:val="09E02D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316A59F4"/>
    <w:multiLevelType w:val="hybridMultilevel"/>
    <w:tmpl w:val="76D89E86"/>
    <w:lvl w:ilvl="0" w:tplc="04090001">
      <w:start w:val="1"/>
      <w:numFmt w:val="decimal"/>
      <w:pStyle w:val="Style1"/>
      <w:lvlText w:val="Fig. %1"/>
      <w:lvlJc w:val="left"/>
      <w:pPr>
        <w:tabs>
          <w:tab w:val="num" w:pos="567"/>
        </w:tabs>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320E0E00"/>
    <w:multiLevelType w:val="hybridMultilevel"/>
    <w:tmpl w:val="6B3425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2A3538F"/>
    <w:multiLevelType w:val="hybridMultilevel"/>
    <w:tmpl w:val="BE7E6EE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nsid w:val="33DB095C"/>
    <w:multiLevelType w:val="hybridMultilevel"/>
    <w:tmpl w:val="6FA2397A"/>
    <w:lvl w:ilvl="0" w:tplc="0C070001">
      <w:start w:val="1"/>
      <w:numFmt w:val="bullet"/>
      <w:lvlText w:val=""/>
      <w:lvlJc w:val="left"/>
      <w:pPr>
        <w:ind w:left="840" w:hanging="360"/>
      </w:pPr>
      <w:rPr>
        <w:rFonts w:ascii="Symbol" w:hAnsi="Symbol" w:hint="default"/>
      </w:rPr>
    </w:lvl>
    <w:lvl w:ilvl="1" w:tplc="0C070003" w:tentative="1">
      <w:start w:val="1"/>
      <w:numFmt w:val="bullet"/>
      <w:lvlText w:val="o"/>
      <w:lvlJc w:val="left"/>
      <w:pPr>
        <w:ind w:left="1560" w:hanging="360"/>
      </w:pPr>
      <w:rPr>
        <w:rFonts w:ascii="Courier New" w:hAnsi="Courier New" w:cs="Courier New" w:hint="default"/>
      </w:rPr>
    </w:lvl>
    <w:lvl w:ilvl="2" w:tplc="0C070005" w:tentative="1">
      <w:start w:val="1"/>
      <w:numFmt w:val="bullet"/>
      <w:lvlText w:val=""/>
      <w:lvlJc w:val="left"/>
      <w:pPr>
        <w:ind w:left="2280" w:hanging="360"/>
      </w:pPr>
      <w:rPr>
        <w:rFonts w:ascii="Wingdings" w:hAnsi="Wingdings" w:hint="default"/>
      </w:rPr>
    </w:lvl>
    <w:lvl w:ilvl="3" w:tplc="0C070001" w:tentative="1">
      <w:start w:val="1"/>
      <w:numFmt w:val="bullet"/>
      <w:lvlText w:val=""/>
      <w:lvlJc w:val="left"/>
      <w:pPr>
        <w:ind w:left="3000" w:hanging="360"/>
      </w:pPr>
      <w:rPr>
        <w:rFonts w:ascii="Symbol" w:hAnsi="Symbol" w:hint="default"/>
      </w:rPr>
    </w:lvl>
    <w:lvl w:ilvl="4" w:tplc="0C070003" w:tentative="1">
      <w:start w:val="1"/>
      <w:numFmt w:val="bullet"/>
      <w:lvlText w:val="o"/>
      <w:lvlJc w:val="left"/>
      <w:pPr>
        <w:ind w:left="3720" w:hanging="360"/>
      </w:pPr>
      <w:rPr>
        <w:rFonts w:ascii="Courier New" w:hAnsi="Courier New" w:cs="Courier New" w:hint="default"/>
      </w:rPr>
    </w:lvl>
    <w:lvl w:ilvl="5" w:tplc="0C070005" w:tentative="1">
      <w:start w:val="1"/>
      <w:numFmt w:val="bullet"/>
      <w:lvlText w:val=""/>
      <w:lvlJc w:val="left"/>
      <w:pPr>
        <w:ind w:left="4440" w:hanging="360"/>
      </w:pPr>
      <w:rPr>
        <w:rFonts w:ascii="Wingdings" w:hAnsi="Wingdings" w:hint="default"/>
      </w:rPr>
    </w:lvl>
    <w:lvl w:ilvl="6" w:tplc="0C070001" w:tentative="1">
      <w:start w:val="1"/>
      <w:numFmt w:val="bullet"/>
      <w:lvlText w:val=""/>
      <w:lvlJc w:val="left"/>
      <w:pPr>
        <w:ind w:left="5160" w:hanging="360"/>
      </w:pPr>
      <w:rPr>
        <w:rFonts w:ascii="Symbol" w:hAnsi="Symbol" w:hint="default"/>
      </w:rPr>
    </w:lvl>
    <w:lvl w:ilvl="7" w:tplc="0C070003" w:tentative="1">
      <w:start w:val="1"/>
      <w:numFmt w:val="bullet"/>
      <w:lvlText w:val="o"/>
      <w:lvlJc w:val="left"/>
      <w:pPr>
        <w:ind w:left="5880" w:hanging="360"/>
      </w:pPr>
      <w:rPr>
        <w:rFonts w:ascii="Courier New" w:hAnsi="Courier New" w:cs="Courier New" w:hint="default"/>
      </w:rPr>
    </w:lvl>
    <w:lvl w:ilvl="8" w:tplc="0C070005" w:tentative="1">
      <w:start w:val="1"/>
      <w:numFmt w:val="bullet"/>
      <w:lvlText w:val=""/>
      <w:lvlJc w:val="left"/>
      <w:pPr>
        <w:ind w:left="6600" w:hanging="360"/>
      </w:pPr>
      <w:rPr>
        <w:rFonts w:ascii="Wingdings" w:hAnsi="Wingdings" w:hint="default"/>
      </w:rPr>
    </w:lvl>
  </w:abstractNum>
  <w:abstractNum w:abstractNumId="26">
    <w:nsid w:val="34B54C61"/>
    <w:multiLevelType w:val="hybridMultilevel"/>
    <w:tmpl w:val="D2580CF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nsid w:val="388E4EBB"/>
    <w:multiLevelType w:val="hybridMultilevel"/>
    <w:tmpl w:val="7D76879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nsid w:val="39FB11BD"/>
    <w:multiLevelType w:val="hybridMultilevel"/>
    <w:tmpl w:val="7E6ED1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F8A5FA1"/>
    <w:multiLevelType w:val="hybridMultilevel"/>
    <w:tmpl w:val="01708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45786070"/>
    <w:multiLevelType w:val="hybridMultilevel"/>
    <w:tmpl w:val="EDAC7E92"/>
    <w:lvl w:ilvl="0" w:tplc="0C070001">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31">
    <w:nsid w:val="48B33C7F"/>
    <w:multiLevelType w:val="multilevel"/>
    <w:tmpl w:val="3F180AFE"/>
    <w:lvl w:ilvl="0">
      <w:start w:val="1"/>
      <w:numFmt w:val="bullet"/>
      <w:pStyle w:val="Listepuces"/>
      <w:lvlText w:val="-"/>
      <w:lvlJc w:val="left"/>
      <w:pPr>
        <w:tabs>
          <w:tab w:val="num" w:pos="1134"/>
        </w:tabs>
        <w:ind w:left="1134" w:hanging="567"/>
      </w:pPr>
      <w:rPr>
        <w:rFonts w:ascii="Arial" w:hAnsi="Arial" w:hint="default"/>
        <w:b w:val="0"/>
        <w:i w:val="0"/>
        <w:caps w:val="0"/>
        <w:strike w:val="0"/>
        <w:dstrike w:val="0"/>
        <w:shadow w:val="0"/>
        <w:emboss w:val="0"/>
        <w:imprint w:val="0"/>
        <w:vanish w:val="0"/>
        <w:sz w:val="22"/>
        <w:vertAlign w:val="baseline"/>
      </w:rPr>
    </w:lvl>
    <w:lvl w:ilvl="1">
      <w:start w:val="1"/>
      <w:numFmt w:val="bullet"/>
      <w:pStyle w:val="Listepuces2"/>
      <w:lvlText w:val="*"/>
      <w:lvlJc w:val="left"/>
      <w:pPr>
        <w:tabs>
          <w:tab w:val="num" w:pos="1701"/>
        </w:tabs>
        <w:ind w:left="1701" w:hanging="567"/>
      </w:pPr>
      <w:rPr>
        <w:rFonts w:ascii="YouYuan" w:eastAsia="YouYuan" w:hint="eastAsia"/>
      </w:rPr>
    </w:lvl>
    <w:lvl w:ilvl="2">
      <w:start w:val="1"/>
      <w:numFmt w:val="bullet"/>
      <w:pStyle w:val="Listepuces3"/>
      <w:lvlText w:val=""/>
      <w:lvlJc w:val="left"/>
      <w:pPr>
        <w:tabs>
          <w:tab w:val="num" w:pos="2268"/>
        </w:tabs>
        <w:ind w:left="2268" w:hanging="567"/>
      </w:pPr>
      <w:rPr>
        <w:rFonts w:ascii="Symbol" w:hAnsi="Symbol" w:hint="default"/>
        <w:color w:val="auto"/>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4A345FB2"/>
    <w:multiLevelType w:val="hybridMultilevel"/>
    <w:tmpl w:val="191207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4D243462"/>
    <w:multiLevelType w:val="hybridMultilevel"/>
    <w:tmpl w:val="7D52371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507971FE"/>
    <w:multiLevelType w:val="hybridMultilevel"/>
    <w:tmpl w:val="F7B4787E"/>
    <w:lvl w:ilvl="0" w:tplc="0C070001">
      <w:start w:val="1"/>
      <w:numFmt w:val="bullet"/>
      <w:lvlText w:val=""/>
      <w:lvlJc w:val="left"/>
      <w:pPr>
        <w:ind w:left="840" w:hanging="360"/>
      </w:pPr>
      <w:rPr>
        <w:rFonts w:ascii="Symbol" w:hAnsi="Symbol" w:hint="default"/>
      </w:rPr>
    </w:lvl>
    <w:lvl w:ilvl="1" w:tplc="0C070003" w:tentative="1">
      <w:start w:val="1"/>
      <w:numFmt w:val="bullet"/>
      <w:lvlText w:val="o"/>
      <w:lvlJc w:val="left"/>
      <w:pPr>
        <w:ind w:left="1560" w:hanging="360"/>
      </w:pPr>
      <w:rPr>
        <w:rFonts w:ascii="Courier New" w:hAnsi="Courier New" w:cs="Courier New" w:hint="default"/>
      </w:rPr>
    </w:lvl>
    <w:lvl w:ilvl="2" w:tplc="0C070005" w:tentative="1">
      <w:start w:val="1"/>
      <w:numFmt w:val="bullet"/>
      <w:lvlText w:val=""/>
      <w:lvlJc w:val="left"/>
      <w:pPr>
        <w:ind w:left="2280" w:hanging="360"/>
      </w:pPr>
      <w:rPr>
        <w:rFonts w:ascii="Wingdings" w:hAnsi="Wingdings" w:hint="default"/>
      </w:rPr>
    </w:lvl>
    <w:lvl w:ilvl="3" w:tplc="0C070001" w:tentative="1">
      <w:start w:val="1"/>
      <w:numFmt w:val="bullet"/>
      <w:lvlText w:val=""/>
      <w:lvlJc w:val="left"/>
      <w:pPr>
        <w:ind w:left="3000" w:hanging="360"/>
      </w:pPr>
      <w:rPr>
        <w:rFonts w:ascii="Symbol" w:hAnsi="Symbol" w:hint="default"/>
      </w:rPr>
    </w:lvl>
    <w:lvl w:ilvl="4" w:tplc="0C070003" w:tentative="1">
      <w:start w:val="1"/>
      <w:numFmt w:val="bullet"/>
      <w:lvlText w:val="o"/>
      <w:lvlJc w:val="left"/>
      <w:pPr>
        <w:ind w:left="3720" w:hanging="360"/>
      </w:pPr>
      <w:rPr>
        <w:rFonts w:ascii="Courier New" w:hAnsi="Courier New" w:cs="Courier New" w:hint="default"/>
      </w:rPr>
    </w:lvl>
    <w:lvl w:ilvl="5" w:tplc="0C070005" w:tentative="1">
      <w:start w:val="1"/>
      <w:numFmt w:val="bullet"/>
      <w:lvlText w:val=""/>
      <w:lvlJc w:val="left"/>
      <w:pPr>
        <w:ind w:left="4440" w:hanging="360"/>
      </w:pPr>
      <w:rPr>
        <w:rFonts w:ascii="Wingdings" w:hAnsi="Wingdings" w:hint="default"/>
      </w:rPr>
    </w:lvl>
    <w:lvl w:ilvl="6" w:tplc="0C070001" w:tentative="1">
      <w:start w:val="1"/>
      <w:numFmt w:val="bullet"/>
      <w:lvlText w:val=""/>
      <w:lvlJc w:val="left"/>
      <w:pPr>
        <w:ind w:left="5160" w:hanging="360"/>
      </w:pPr>
      <w:rPr>
        <w:rFonts w:ascii="Symbol" w:hAnsi="Symbol" w:hint="default"/>
      </w:rPr>
    </w:lvl>
    <w:lvl w:ilvl="7" w:tplc="0C070003" w:tentative="1">
      <w:start w:val="1"/>
      <w:numFmt w:val="bullet"/>
      <w:lvlText w:val="o"/>
      <w:lvlJc w:val="left"/>
      <w:pPr>
        <w:ind w:left="5880" w:hanging="360"/>
      </w:pPr>
      <w:rPr>
        <w:rFonts w:ascii="Courier New" w:hAnsi="Courier New" w:cs="Courier New" w:hint="default"/>
      </w:rPr>
    </w:lvl>
    <w:lvl w:ilvl="8" w:tplc="0C070005" w:tentative="1">
      <w:start w:val="1"/>
      <w:numFmt w:val="bullet"/>
      <w:lvlText w:val=""/>
      <w:lvlJc w:val="left"/>
      <w:pPr>
        <w:ind w:left="6600" w:hanging="360"/>
      </w:pPr>
      <w:rPr>
        <w:rFonts w:ascii="Wingdings" w:hAnsi="Wingdings" w:hint="default"/>
      </w:rPr>
    </w:lvl>
  </w:abstractNum>
  <w:abstractNum w:abstractNumId="35">
    <w:nsid w:val="52CA5948"/>
    <w:multiLevelType w:val="hybridMultilevel"/>
    <w:tmpl w:val="C1067E86"/>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542F4F47"/>
    <w:multiLevelType w:val="hybridMultilevel"/>
    <w:tmpl w:val="C5F6063A"/>
    <w:lvl w:ilvl="0">
      <w:start w:val="1"/>
      <w:numFmt w:val="decimal"/>
      <w:pStyle w:val="TABLEAU"/>
      <w:isLgl/>
      <w:lvlText w:val="Tableau  %1  -"/>
      <w:lvlJc w:val="left"/>
      <w:pPr>
        <w:tabs>
          <w:tab w:val="num" w:pos="1701"/>
        </w:tabs>
        <w:ind w:left="1237"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5439552A"/>
    <w:multiLevelType w:val="hybridMultilevel"/>
    <w:tmpl w:val="D1C8792E"/>
    <w:lvl w:ilvl="0" w:tplc="E8C68058">
      <w:start w:val="1"/>
      <w:numFmt w:val="bullet"/>
      <w:lvlText w:val=""/>
      <w:lvlJc w:val="left"/>
      <w:pPr>
        <w:tabs>
          <w:tab w:val="num" w:pos="360"/>
        </w:tabs>
        <w:ind w:left="360" w:hanging="360"/>
      </w:pPr>
      <w:rPr>
        <w:rFonts w:ascii="Symbol" w:hAnsi="Symbol" w:hint="default"/>
      </w:rPr>
    </w:lvl>
    <w:lvl w:ilvl="1" w:tplc="04090003">
      <w:start w:val="57"/>
      <w:numFmt w:val="decimal"/>
      <w:pStyle w:val="Paragraph2"/>
      <w:lvlText w:val="3.%2."/>
      <w:lvlJc w:val="left"/>
      <w:pPr>
        <w:tabs>
          <w:tab w:val="num" w:pos="445"/>
        </w:tabs>
        <w:ind w:left="-122"/>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51F41F5"/>
    <w:multiLevelType w:val="hybridMultilevel"/>
    <w:tmpl w:val="1B9486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571D4111"/>
    <w:multiLevelType w:val="hybridMultilevel"/>
    <w:tmpl w:val="EF02E7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nsid w:val="5AB04E88"/>
    <w:multiLevelType w:val="hybridMultilevel"/>
    <w:tmpl w:val="0ACEFFBA"/>
    <w:lvl w:ilvl="0" w:tplc="0C070001">
      <w:start w:val="1"/>
      <w:numFmt w:val="bullet"/>
      <w:lvlText w:val=""/>
      <w:lvlJc w:val="left"/>
      <w:pPr>
        <w:ind w:left="840" w:hanging="360"/>
      </w:pPr>
      <w:rPr>
        <w:rFonts w:ascii="Symbol" w:hAnsi="Symbol" w:hint="default"/>
      </w:rPr>
    </w:lvl>
    <w:lvl w:ilvl="1" w:tplc="0C070003" w:tentative="1">
      <w:start w:val="1"/>
      <w:numFmt w:val="bullet"/>
      <w:lvlText w:val="o"/>
      <w:lvlJc w:val="left"/>
      <w:pPr>
        <w:ind w:left="1560" w:hanging="360"/>
      </w:pPr>
      <w:rPr>
        <w:rFonts w:ascii="Courier New" w:hAnsi="Courier New" w:cs="Courier New" w:hint="default"/>
      </w:rPr>
    </w:lvl>
    <w:lvl w:ilvl="2" w:tplc="0C070005" w:tentative="1">
      <w:start w:val="1"/>
      <w:numFmt w:val="bullet"/>
      <w:lvlText w:val=""/>
      <w:lvlJc w:val="left"/>
      <w:pPr>
        <w:ind w:left="2280" w:hanging="360"/>
      </w:pPr>
      <w:rPr>
        <w:rFonts w:ascii="Wingdings" w:hAnsi="Wingdings" w:hint="default"/>
      </w:rPr>
    </w:lvl>
    <w:lvl w:ilvl="3" w:tplc="0C070001" w:tentative="1">
      <w:start w:val="1"/>
      <w:numFmt w:val="bullet"/>
      <w:lvlText w:val=""/>
      <w:lvlJc w:val="left"/>
      <w:pPr>
        <w:ind w:left="3000" w:hanging="360"/>
      </w:pPr>
      <w:rPr>
        <w:rFonts w:ascii="Symbol" w:hAnsi="Symbol" w:hint="default"/>
      </w:rPr>
    </w:lvl>
    <w:lvl w:ilvl="4" w:tplc="0C070003" w:tentative="1">
      <w:start w:val="1"/>
      <w:numFmt w:val="bullet"/>
      <w:lvlText w:val="o"/>
      <w:lvlJc w:val="left"/>
      <w:pPr>
        <w:ind w:left="3720" w:hanging="360"/>
      </w:pPr>
      <w:rPr>
        <w:rFonts w:ascii="Courier New" w:hAnsi="Courier New" w:cs="Courier New" w:hint="default"/>
      </w:rPr>
    </w:lvl>
    <w:lvl w:ilvl="5" w:tplc="0C070005" w:tentative="1">
      <w:start w:val="1"/>
      <w:numFmt w:val="bullet"/>
      <w:lvlText w:val=""/>
      <w:lvlJc w:val="left"/>
      <w:pPr>
        <w:ind w:left="4440" w:hanging="360"/>
      </w:pPr>
      <w:rPr>
        <w:rFonts w:ascii="Wingdings" w:hAnsi="Wingdings" w:hint="default"/>
      </w:rPr>
    </w:lvl>
    <w:lvl w:ilvl="6" w:tplc="0C070001" w:tentative="1">
      <w:start w:val="1"/>
      <w:numFmt w:val="bullet"/>
      <w:lvlText w:val=""/>
      <w:lvlJc w:val="left"/>
      <w:pPr>
        <w:ind w:left="5160" w:hanging="360"/>
      </w:pPr>
      <w:rPr>
        <w:rFonts w:ascii="Symbol" w:hAnsi="Symbol" w:hint="default"/>
      </w:rPr>
    </w:lvl>
    <w:lvl w:ilvl="7" w:tplc="0C070003" w:tentative="1">
      <w:start w:val="1"/>
      <w:numFmt w:val="bullet"/>
      <w:lvlText w:val="o"/>
      <w:lvlJc w:val="left"/>
      <w:pPr>
        <w:ind w:left="5880" w:hanging="360"/>
      </w:pPr>
      <w:rPr>
        <w:rFonts w:ascii="Courier New" w:hAnsi="Courier New" w:cs="Courier New" w:hint="default"/>
      </w:rPr>
    </w:lvl>
    <w:lvl w:ilvl="8" w:tplc="0C070005" w:tentative="1">
      <w:start w:val="1"/>
      <w:numFmt w:val="bullet"/>
      <w:lvlText w:val=""/>
      <w:lvlJc w:val="left"/>
      <w:pPr>
        <w:ind w:left="6600" w:hanging="360"/>
      </w:pPr>
      <w:rPr>
        <w:rFonts w:ascii="Wingdings" w:hAnsi="Wingdings" w:hint="default"/>
      </w:rPr>
    </w:lvl>
  </w:abstractNum>
  <w:abstractNum w:abstractNumId="41">
    <w:nsid w:val="5C57320C"/>
    <w:multiLevelType w:val="hybridMultilevel"/>
    <w:tmpl w:val="59CAF27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nsid w:val="5C6F5A98"/>
    <w:multiLevelType w:val="hybridMultilevel"/>
    <w:tmpl w:val="7A98AD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EDC7838"/>
    <w:multiLevelType w:val="hybridMultilevel"/>
    <w:tmpl w:val="FD2AF6CC"/>
    <w:lvl w:ilvl="0" w:tplc="0C070001">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44">
    <w:nsid w:val="64B00EDB"/>
    <w:multiLevelType w:val="singleLevel"/>
    <w:tmpl w:val="52D8BF22"/>
    <w:lvl w:ilvl="0">
      <w:start w:val="1"/>
      <w:numFmt w:val="bullet"/>
      <w:pStyle w:val="Punktmrk2"/>
      <w:lvlText w:val="*"/>
      <w:lvlJc w:val="left"/>
      <w:pPr>
        <w:tabs>
          <w:tab w:val="num" w:pos="567"/>
        </w:tabs>
        <w:ind w:left="567" w:hanging="567"/>
      </w:pPr>
      <w:rPr>
        <w:rFonts w:ascii="Times New Roman" w:hAnsi="Times New Roman" w:hint="default"/>
      </w:rPr>
    </w:lvl>
  </w:abstractNum>
  <w:abstractNum w:abstractNumId="45">
    <w:nsid w:val="65222045"/>
    <w:multiLevelType w:val="hybridMultilevel"/>
    <w:tmpl w:val="BF8E3A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nsid w:val="66226DB0"/>
    <w:multiLevelType w:val="hybridMultilevel"/>
    <w:tmpl w:val="7E54DA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nsid w:val="6E115E70"/>
    <w:multiLevelType w:val="hybridMultilevel"/>
    <w:tmpl w:val="9462F26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nsid w:val="71535954"/>
    <w:multiLevelType w:val="hybridMultilevel"/>
    <w:tmpl w:val="77A808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9">
    <w:nsid w:val="722E224D"/>
    <w:multiLevelType w:val="hybridMultilevel"/>
    <w:tmpl w:val="349EFD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nsid w:val="72935190"/>
    <w:multiLevelType w:val="hybridMultilevel"/>
    <w:tmpl w:val="8466D64E"/>
    <w:lvl w:ilvl="0">
      <w:start w:val="1"/>
      <w:numFmt w:val="decimal"/>
      <w:pStyle w:val="ASAMPSAtable"/>
      <w:lvlText w:val="Table %1."/>
      <w:lvlJc w:val="left"/>
      <w:pPr>
        <w:tabs>
          <w:tab w:val="num" w:pos="720"/>
        </w:tabs>
        <w:ind w:left="720" w:hanging="360"/>
      </w:pPr>
      <w:rPr>
        <w:rFont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1">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2">
    <w:nsid w:val="75A6300C"/>
    <w:multiLevelType w:val="hybridMultilevel"/>
    <w:tmpl w:val="91FAC3B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7484600"/>
    <w:multiLevelType w:val="hybridMultilevel"/>
    <w:tmpl w:val="62F263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nsid w:val="79674911"/>
    <w:multiLevelType w:val="hybridMultilevel"/>
    <w:tmpl w:val="98EE7376"/>
    <w:lvl w:ilvl="0" w:tplc="0C070001">
      <w:start w:val="1"/>
      <w:numFmt w:val="bullet"/>
      <w:lvlText w:val=""/>
      <w:lvlJc w:val="left"/>
      <w:pPr>
        <w:ind w:left="840" w:hanging="360"/>
      </w:pPr>
      <w:rPr>
        <w:rFonts w:ascii="Symbol" w:hAnsi="Symbol" w:hint="default"/>
      </w:rPr>
    </w:lvl>
    <w:lvl w:ilvl="1" w:tplc="0C070003" w:tentative="1">
      <w:start w:val="1"/>
      <w:numFmt w:val="bullet"/>
      <w:lvlText w:val="o"/>
      <w:lvlJc w:val="left"/>
      <w:pPr>
        <w:ind w:left="1560" w:hanging="360"/>
      </w:pPr>
      <w:rPr>
        <w:rFonts w:ascii="Courier New" w:hAnsi="Courier New" w:cs="Courier New" w:hint="default"/>
      </w:rPr>
    </w:lvl>
    <w:lvl w:ilvl="2" w:tplc="0C070005" w:tentative="1">
      <w:start w:val="1"/>
      <w:numFmt w:val="bullet"/>
      <w:lvlText w:val=""/>
      <w:lvlJc w:val="left"/>
      <w:pPr>
        <w:ind w:left="2280" w:hanging="360"/>
      </w:pPr>
      <w:rPr>
        <w:rFonts w:ascii="Wingdings" w:hAnsi="Wingdings" w:hint="default"/>
      </w:rPr>
    </w:lvl>
    <w:lvl w:ilvl="3" w:tplc="0C070001" w:tentative="1">
      <w:start w:val="1"/>
      <w:numFmt w:val="bullet"/>
      <w:lvlText w:val=""/>
      <w:lvlJc w:val="left"/>
      <w:pPr>
        <w:ind w:left="3000" w:hanging="360"/>
      </w:pPr>
      <w:rPr>
        <w:rFonts w:ascii="Symbol" w:hAnsi="Symbol" w:hint="default"/>
      </w:rPr>
    </w:lvl>
    <w:lvl w:ilvl="4" w:tplc="0C070003" w:tentative="1">
      <w:start w:val="1"/>
      <w:numFmt w:val="bullet"/>
      <w:lvlText w:val="o"/>
      <w:lvlJc w:val="left"/>
      <w:pPr>
        <w:ind w:left="3720" w:hanging="360"/>
      </w:pPr>
      <w:rPr>
        <w:rFonts w:ascii="Courier New" w:hAnsi="Courier New" w:cs="Courier New" w:hint="default"/>
      </w:rPr>
    </w:lvl>
    <w:lvl w:ilvl="5" w:tplc="0C070005" w:tentative="1">
      <w:start w:val="1"/>
      <w:numFmt w:val="bullet"/>
      <w:lvlText w:val=""/>
      <w:lvlJc w:val="left"/>
      <w:pPr>
        <w:ind w:left="4440" w:hanging="360"/>
      </w:pPr>
      <w:rPr>
        <w:rFonts w:ascii="Wingdings" w:hAnsi="Wingdings" w:hint="default"/>
      </w:rPr>
    </w:lvl>
    <w:lvl w:ilvl="6" w:tplc="0C070001" w:tentative="1">
      <w:start w:val="1"/>
      <w:numFmt w:val="bullet"/>
      <w:lvlText w:val=""/>
      <w:lvlJc w:val="left"/>
      <w:pPr>
        <w:ind w:left="5160" w:hanging="360"/>
      </w:pPr>
      <w:rPr>
        <w:rFonts w:ascii="Symbol" w:hAnsi="Symbol" w:hint="default"/>
      </w:rPr>
    </w:lvl>
    <w:lvl w:ilvl="7" w:tplc="0C070003" w:tentative="1">
      <w:start w:val="1"/>
      <w:numFmt w:val="bullet"/>
      <w:lvlText w:val="o"/>
      <w:lvlJc w:val="left"/>
      <w:pPr>
        <w:ind w:left="5880" w:hanging="360"/>
      </w:pPr>
      <w:rPr>
        <w:rFonts w:ascii="Courier New" w:hAnsi="Courier New" w:cs="Courier New" w:hint="default"/>
      </w:rPr>
    </w:lvl>
    <w:lvl w:ilvl="8" w:tplc="0C070005" w:tentative="1">
      <w:start w:val="1"/>
      <w:numFmt w:val="bullet"/>
      <w:lvlText w:val=""/>
      <w:lvlJc w:val="left"/>
      <w:pPr>
        <w:ind w:left="6600" w:hanging="360"/>
      </w:pPr>
      <w:rPr>
        <w:rFonts w:ascii="Wingdings" w:hAnsi="Wingdings" w:hint="default"/>
      </w:rPr>
    </w:lvl>
  </w:abstractNum>
  <w:abstractNum w:abstractNumId="55">
    <w:nsid w:val="7D0614F7"/>
    <w:multiLevelType w:val="hybridMultilevel"/>
    <w:tmpl w:val="5AA2622A"/>
    <w:lvl w:ilvl="0" w:tplc="FFFFFFFF">
      <w:start w:val="1"/>
      <w:numFmt w:val="decimal"/>
      <w:pStyle w:val="ASAMPSAReference"/>
      <w:lvlText w:val="[%1]"/>
      <w:lvlJc w:val="left"/>
      <w:pPr>
        <w:tabs>
          <w:tab w:val="num" w:pos="720"/>
        </w:tabs>
        <w:ind w:left="720" w:hanging="720"/>
      </w:pPr>
      <w:rPr>
        <w:rFonts w:cs="Times New Roman" w:hint="default"/>
        <w:b w:val="0"/>
      </w:rPr>
    </w:lvl>
    <w:lvl w:ilvl="1" w:tplc="FFFFFFFF">
      <w:start w:val="1"/>
      <w:numFmt w:val="decimal"/>
      <w:lvlText w:val="%2."/>
      <w:lvlJc w:val="left"/>
      <w:pPr>
        <w:tabs>
          <w:tab w:val="num" w:pos="1440"/>
        </w:tabs>
        <w:ind w:left="144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nsid w:val="7D353B57"/>
    <w:multiLevelType w:val="hybridMultilevel"/>
    <w:tmpl w:val="7CEA88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51"/>
  </w:num>
  <w:num w:numId="4">
    <w:abstractNumId w:val="37"/>
  </w:num>
  <w:num w:numId="5">
    <w:abstractNumId w:val="2"/>
  </w:num>
  <w:num w:numId="6">
    <w:abstractNumId w:val="50"/>
  </w:num>
  <w:num w:numId="7">
    <w:abstractNumId w:val="55"/>
  </w:num>
  <w:num w:numId="8">
    <w:abstractNumId w:val="22"/>
  </w:num>
  <w:num w:numId="9">
    <w:abstractNumId w:val="20"/>
  </w:num>
  <w:num w:numId="10">
    <w:abstractNumId w:val="31"/>
  </w:num>
  <w:num w:numId="11">
    <w:abstractNumId w:val="44"/>
  </w:num>
  <w:num w:numId="12">
    <w:abstractNumId w:val="27"/>
  </w:num>
  <w:num w:numId="13">
    <w:abstractNumId w:val="5"/>
  </w:num>
  <w:num w:numId="14">
    <w:abstractNumId w:val="24"/>
  </w:num>
  <w:num w:numId="15">
    <w:abstractNumId w:val="48"/>
  </w:num>
  <w:num w:numId="16">
    <w:abstractNumId w:val="46"/>
  </w:num>
  <w:num w:numId="17">
    <w:abstractNumId w:val="26"/>
  </w:num>
  <w:num w:numId="18">
    <w:abstractNumId w:val="11"/>
  </w:num>
  <w:num w:numId="19">
    <w:abstractNumId w:val="25"/>
  </w:num>
  <w:num w:numId="20">
    <w:abstractNumId w:val="40"/>
  </w:num>
  <w:num w:numId="21">
    <w:abstractNumId w:val="43"/>
  </w:num>
  <w:num w:numId="22">
    <w:abstractNumId w:val="30"/>
  </w:num>
  <w:num w:numId="23">
    <w:abstractNumId w:val="45"/>
  </w:num>
  <w:num w:numId="24">
    <w:abstractNumId w:val="35"/>
  </w:num>
  <w:num w:numId="25">
    <w:abstractNumId w:val="29"/>
  </w:num>
  <w:num w:numId="26">
    <w:abstractNumId w:val="4"/>
  </w:num>
  <w:num w:numId="27">
    <w:abstractNumId w:val="15"/>
  </w:num>
  <w:num w:numId="28">
    <w:abstractNumId w:val="34"/>
  </w:num>
  <w:num w:numId="29">
    <w:abstractNumId w:val="54"/>
  </w:num>
  <w:num w:numId="30">
    <w:abstractNumId w:val="3"/>
  </w:num>
  <w:num w:numId="31">
    <w:abstractNumId w:val="49"/>
  </w:num>
  <w:num w:numId="32">
    <w:abstractNumId w:val="39"/>
  </w:num>
  <w:num w:numId="33">
    <w:abstractNumId w:val="21"/>
  </w:num>
  <w:num w:numId="34">
    <w:abstractNumId w:val="12"/>
  </w:num>
  <w:num w:numId="35">
    <w:abstractNumId w:val="17"/>
  </w:num>
  <w:num w:numId="36">
    <w:abstractNumId w:val="8"/>
  </w:num>
  <w:num w:numId="37">
    <w:abstractNumId w:val="7"/>
  </w:num>
  <w:num w:numId="38">
    <w:abstractNumId w:val="9"/>
  </w:num>
  <w:num w:numId="39">
    <w:abstractNumId w:val="10"/>
  </w:num>
  <w:num w:numId="40">
    <w:abstractNumId w:val="13"/>
  </w:num>
  <w:num w:numId="41">
    <w:abstractNumId w:val="53"/>
  </w:num>
  <w:num w:numId="42">
    <w:abstractNumId w:val="32"/>
  </w:num>
  <w:num w:numId="43">
    <w:abstractNumId w:val="38"/>
  </w:num>
  <w:num w:numId="44">
    <w:abstractNumId w:val="56"/>
  </w:num>
  <w:num w:numId="45">
    <w:abstractNumId w:val="28"/>
  </w:num>
  <w:num w:numId="46">
    <w:abstractNumId w:val="14"/>
  </w:num>
  <w:num w:numId="47">
    <w:abstractNumId w:val="33"/>
  </w:num>
  <w:num w:numId="48">
    <w:abstractNumId w:val="47"/>
  </w:num>
  <w:num w:numId="49">
    <w:abstractNumId w:val="41"/>
  </w:num>
  <w:num w:numId="50">
    <w:abstractNumId w:val="23"/>
  </w:num>
  <w:num w:numId="51">
    <w:abstractNumId w:val="42"/>
  </w:num>
  <w:num w:numId="52">
    <w:abstractNumId w:val="18"/>
  </w:num>
  <w:num w:numId="53">
    <w:abstractNumId w:val="6"/>
  </w:num>
  <w:num w:numId="54">
    <w:abstractNumId w:val="19"/>
  </w:num>
  <w:num w:numId="55">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3074" style="mso-position-vertical-relative:line" fill="f" fillcolor="white" stroke="f">
      <v:fill color="white" on="f"/>
      <v:stroke on="f"/>
      <o:colormru v:ext="edit" colors="#fd18b9,#fd1813"/>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058D"/>
    <w:rsid w:val="00000650"/>
    <w:rsid w:val="00001170"/>
    <w:rsid w:val="00001FFF"/>
    <w:rsid w:val="0000264C"/>
    <w:rsid w:val="00002842"/>
    <w:rsid w:val="000039C3"/>
    <w:rsid w:val="00003A03"/>
    <w:rsid w:val="0000684C"/>
    <w:rsid w:val="000068D2"/>
    <w:rsid w:val="0000763C"/>
    <w:rsid w:val="00011774"/>
    <w:rsid w:val="00012258"/>
    <w:rsid w:val="0001235A"/>
    <w:rsid w:val="00012973"/>
    <w:rsid w:val="00014E59"/>
    <w:rsid w:val="00016138"/>
    <w:rsid w:val="00016AEA"/>
    <w:rsid w:val="000174BC"/>
    <w:rsid w:val="000176A8"/>
    <w:rsid w:val="000239B0"/>
    <w:rsid w:val="000244E8"/>
    <w:rsid w:val="00024672"/>
    <w:rsid w:val="00025BE5"/>
    <w:rsid w:val="00025D79"/>
    <w:rsid w:val="00026241"/>
    <w:rsid w:val="0003077B"/>
    <w:rsid w:val="00030A4E"/>
    <w:rsid w:val="00031E12"/>
    <w:rsid w:val="0003470C"/>
    <w:rsid w:val="000348BB"/>
    <w:rsid w:val="00034F37"/>
    <w:rsid w:val="000359E1"/>
    <w:rsid w:val="000402C4"/>
    <w:rsid w:val="0004085C"/>
    <w:rsid w:val="00041411"/>
    <w:rsid w:val="00042295"/>
    <w:rsid w:val="00042AA3"/>
    <w:rsid w:val="00043854"/>
    <w:rsid w:val="000455AC"/>
    <w:rsid w:val="0004688B"/>
    <w:rsid w:val="000475E6"/>
    <w:rsid w:val="0005073B"/>
    <w:rsid w:val="00050B28"/>
    <w:rsid w:val="00050B40"/>
    <w:rsid w:val="00051892"/>
    <w:rsid w:val="00051C99"/>
    <w:rsid w:val="000525CC"/>
    <w:rsid w:val="00053240"/>
    <w:rsid w:val="00053411"/>
    <w:rsid w:val="00053C9C"/>
    <w:rsid w:val="00054432"/>
    <w:rsid w:val="00055334"/>
    <w:rsid w:val="000560DC"/>
    <w:rsid w:val="0005678F"/>
    <w:rsid w:val="000575D3"/>
    <w:rsid w:val="000606B9"/>
    <w:rsid w:val="00061397"/>
    <w:rsid w:val="000634C7"/>
    <w:rsid w:val="00063554"/>
    <w:rsid w:val="00063AB0"/>
    <w:rsid w:val="00064C01"/>
    <w:rsid w:val="00065FE8"/>
    <w:rsid w:val="000672A9"/>
    <w:rsid w:val="00067A53"/>
    <w:rsid w:val="0007024C"/>
    <w:rsid w:val="0007032D"/>
    <w:rsid w:val="00070560"/>
    <w:rsid w:val="00070F9B"/>
    <w:rsid w:val="00072792"/>
    <w:rsid w:val="00072F80"/>
    <w:rsid w:val="0007305C"/>
    <w:rsid w:val="0007329C"/>
    <w:rsid w:val="000749B1"/>
    <w:rsid w:val="00076909"/>
    <w:rsid w:val="000773CF"/>
    <w:rsid w:val="000806E2"/>
    <w:rsid w:val="000807DF"/>
    <w:rsid w:val="0008147E"/>
    <w:rsid w:val="00081717"/>
    <w:rsid w:val="00082E34"/>
    <w:rsid w:val="0008301D"/>
    <w:rsid w:val="00083BDD"/>
    <w:rsid w:val="00085819"/>
    <w:rsid w:val="000868F0"/>
    <w:rsid w:val="00086A42"/>
    <w:rsid w:val="00086B52"/>
    <w:rsid w:val="00087F97"/>
    <w:rsid w:val="000914BC"/>
    <w:rsid w:val="00091B13"/>
    <w:rsid w:val="00093025"/>
    <w:rsid w:val="00094412"/>
    <w:rsid w:val="000954F3"/>
    <w:rsid w:val="0009566B"/>
    <w:rsid w:val="00095CB5"/>
    <w:rsid w:val="000974CF"/>
    <w:rsid w:val="00097D71"/>
    <w:rsid w:val="000A0824"/>
    <w:rsid w:val="000A0F4E"/>
    <w:rsid w:val="000A28D8"/>
    <w:rsid w:val="000A38F1"/>
    <w:rsid w:val="000A3A61"/>
    <w:rsid w:val="000A3BA6"/>
    <w:rsid w:val="000A6F63"/>
    <w:rsid w:val="000A735E"/>
    <w:rsid w:val="000A7FC6"/>
    <w:rsid w:val="000B2959"/>
    <w:rsid w:val="000B41E3"/>
    <w:rsid w:val="000B4E2C"/>
    <w:rsid w:val="000B5F0A"/>
    <w:rsid w:val="000B76B8"/>
    <w:rsid w:val="000C089C"/>
    <w:rsid w:val="000C12EF"/>
    <w:rsid w:val="000C1B28"/>
    <w:rsid w:val="000C2B8D"/>
    <w:rsid w:val="000C37F3"/>
    <w:rsid w:val="000C3A42"/>
    <w:rsid w:val="000C5BD6"/>
    <w:rsid w:val="000C5CDA"/>
    <w:rsid w:val="000C6852"/>
    <w:rsid w:val="000C68B4"/>
    <w:rsid w:val="000C6E90"/>
    <w:rsid w:val="000C7670"/>
    <w:rsid w:val="000D1A17"/>
    <w:rsid w:val="000D205D"/>
    <w:rsid w:val="000D41D0"/>
    <w:rsid w:val="000D432C"/>
    <w:rsid w:val="000D4EE7"/>
    <w:rsid w:val="000D53A8"/>
    <w:rsid w:val="000D576B"/>
    <w:rsid w:val="000D5D08"/>
    <w:rsid w:val="000E09FE"/>
    <w:rsid w:val="000E24D6"/>
    <w:rsid w:val="000E2B00"/>
    <w:rsid w:val="000E468E"/>
    <w:rsid w:val="000E47A3"/>
    <w:rsid w:val="000E529B"/>
    <w:rsid w:val="000E57AA"/>
    <w:rsid w:val="000E6820"/>
    <w:rsid w:val="000F0625"/>
    <w:rsid w:val="000F06A7"/>
    <w:rsid w:val="000F1682"/>
    <w:rsid w:val="000F196E"/>
    <w:rsid w:val="000F1E65"/>
    <w:rsid w:val="000F271A"/>
    <w:rsid w:val="000F4581"/>
    <w:rsid w:val="000F4F4B"/>
    <w:rsid w:val="000F5848"/>
    <w:rsid w:val="000F6266"/>
    <w:rsid w:val="000F6EDE"/>
    <w:rsid w:val="000F7AE8"/>
    <w:rsid w:val="001000CA"/>
    <w:rsid w:val="00100B26"/>
    <w:rsid w:val="00101AFE"/>
    <w:rsid w:val="00101FB1"/>
    <w:rsid w:val="00102D3B"/>
    <w:rsid w:val="00103125"/>
    <w:rsid w:val="00103174"/>
    <w:rsid w:val="00103223"/>
    <w:rsid w:val="00103F85"/>
    <w:rsid w:val="0010476E"/>
    <w:rsid w:val="00105DAD"/>
    <w:rsid w:val="00106060"/>
    <w:rsid w:val="0011053B"/>
    <w:rsid w:val="001111E6"/>
    <w:rsid w:val="001117CA"/>
    <w:rsid w:val="00112D25"/>
    <w:rsid w:val="001134F9"/>
    <w:rsid w:val="001157FB"/>
    <w:rsid w:val="0012087D"/>
    <w:rsid w:val="0012138D"/>
    <w:rsid w:val="00122DCF"/>
    <w:rsid w:val="00123855"/>
    <w:rsid w:val="00125691"/>
    <w:rsid w:val="00125FC2"/>
    <w:rsid w:val="001303C1"/>
    <w:rsid w:val="00130883"/>
    <w:rsid w:val="001317C3"/>
    <w:rsid w:val="00133A00"/>
    <w:rsid w:val="00134111"/>
    <w:rsid w:val="00135B37"/>
    <w:rsid w:val="00135D4D"/>
    <w:rsid w:val="001360CC"/>
    <w:rsid w:val="001365C1"/>
    <w:rsid w:val="00136FAE"/>
    <w:rsid w:val="001373BB"/>
    <w:rsid w:val="001378C5"/>
    <w:rsid w:val="00137F22"/>
    <w:rsid w:val="0014020B"/>
    <w:rsid w:val="00140AE3"/>
    <w:rsid w:val="001416DE"/>
    <w:rsid w:val="00141A69"/>
    <w:rsid w:val="00142209"/>
    <w:rsid w:val="001432A8"/>
    <w:rsid w:val="00143592"/>
    <w:rsid w:val="00143611"/>
    <w:rsid w:val="00144DBE"/>
    <w:rsid w:val="00144DD5"/>
    <w:rsid w:val="0014631C"/>
    <w:rsid w:val="00150182"/>
    <w:rsid w:val="0015080D"/>
    <w:rsid w:val="00150BC9"/>
    <w:rsid w:val="00150FA5"/>
    <w:rsid w:val="001519FE"/>
    <w:rsid w:val="00151B23"/>
    <w:rsid w:val="00151C81"/>
    <w:rsid w:val="00152140"/>
    <w:rsid w:val="0015310F"/>
    <w:rsid w:val="0015373B"/>
    <w:rsid w:val="00156E63"/>
    <w:rsid w:val="00157AFA"/>
    <w:rsid w:val="001609B0"/>
    <w:rsid w:val="00160C53"/>
    <w:rsid w:val="00161386"/>
    <w:rsid w:val="00161598"/>
    <w:rsid w:val="001621F1"/>
    <w:rsid w:val="00162477"/>
    <w:rsid w:val="00162F0B"/>
    <w:rsid w:val="00163D01"/>
    <w:rsid w:val="00164C19"/>
    <w:rsid w:val="0016587C"/>
    <w:rsid w:val="00166993"/>
    <w:rsid w:val="001678E0"/>
    <w:rsid w:val="00170362"/>
    <w:rsid w:val="001707DF"/>
    <w:rsid w:val="00171639"/>
    <w:rsid w:val="00173034"/>
    <w:rsid w:val="0017315F"/>
    <w:rsid w:val="00174177"/>
    <w:rsid w:val="00175910"/>
    <w:rsid w:val="00181872"/>
    <w:rsid w:val="00186821"/>
    <w:rsid w:val="00187C4D"/>
    <w:rsid w:val="0019142E"/>
    <w:rsid w:val="0019249C"/>
    <w:rsid w:val="0019297D"/>
    <w:rsid w:val="00192F48"/>
    <w:rsid w:val="001939FD"/>
    <w:rsid w:val="00194134"/>
    <w:rsid w:val="00194ECB"/>
    <w:rsid w:val="001952AD"/>
    <w:rsid w:val="00195AAF"/>
    <w:rsid w:val="0019757F"/>
    <w:rsid w:val="001A0EB2"/>
    <w:rsid w:val="001A1C34"/>
    <w:rsid w:val="001A21C7"/>
    <w:rsid w:val="001A21F1"/>
    <w:rsid w:val="001A39A0"/>
    <w:rsid w:val="001A3DE3"/>
    <w:rsid w:val="001A47AE"/>
    <w:rsid w:val="001A5A68"/>
    <w:rsid w:val="001A5B87"/>
    <w:rsid w:val="001B0BD7"/>
    <w:rsid w:val="001B1538"/>
    <w:rsid w:val="001B1C50"/>
    <w:rsid w:val="001B40E3"/>
    <w:rsid w:val="001B563D"/>
    <w:rsid w:val="001B5FD4"/>
    <w:rsid w:val="001B652C"/>
    <w:rsid w:val="001B7924"/>
    <w:rsid w:val="001C0579"/>
    <w:rsid w:val="001C0A86"/>
    <w:rsid w:val="001C1DD4"/>
    <w:rsid w:val="001C21C1"/>
    <w:rsid w:val="001C2706"/>
    <w:rsid w:val="001C2AF2"/>
    <w:rsid w:val="001C38CD"/>
    <w:rsid w:val="001C3B78"/>
    <w:rsid w:val="001C3BD6"/>
    <w:rsid w:val="001C3CBA"/>
    <w:rsid w:val="001C3ED4"/>
    <w:rsid w:val="001C44C8"/>
    <w:rsid w:val="001C458A"/>
    <w:rsid w:val="001C4656"/>
    <w:rsid w:val="001C52BE"/>
    <w:rsid w:val="001D0C5C"/>
    <w:rsid w:val="001D19B8"/>
    <w:rsid w:val="001D235D"/>
    <w:rsid w:val="001D2827"/>
    <w:rsid w:val="001D2C7F"/>
    <w:rsid w:val="001D3241"/>
    <w:rsid w:val="001D3AF0"/>
    <w:rsid w:val="001D4183"/>
    <w:rsid w:val="001D4323"/>
    <w:rsid w:val="001D48AD"/>
    <w:rsid w:val="001D5A87"/>
    <w:rsid w:val="001D5C72"/>
    <w:rsid w:val="001D5ED4"/>
    <w:rsid w:val="001D61E2"/>
    <w:rsid w:val="001D6BC5"/>
    <w:rsid w:val="001D6F9D"/>
    <w:rsid w:val="001E034F"/>
    <w:rsid w:val="001E0520"/>
    <w:rsid w:val="001E1341"/>
    <w:rsid w:val="001E1414"/>
    <w:rsid w:val="001E14CF"/>
    <w:rsid w:val="001E198A"/>
    <w:rsid w:val="001E25F5"/>
    <w:rsid w:val="001E2AB2"/>
    <w:rsid w:val="001E2B46"/>
    <w:rsid w:val="001E2D8C"/>
    <w:rsid w:val="001E359D"/>
    <w:rsid w:val="001E3D4C"/>
    <w:rsid w:val="001E610F"/>
    <w:rsid w:val="001E649E"/>
    <w:rsid w:val="001E6567"/>
    <w:rsid w:val="001E6D92"/>
    <w:rsid w:val="001E747B"/>
    <w:rsid w:val="001E7973"/>
    <w:rsid w:val="001F05F7"/>
    <w:rsid w:val="001F0E65"/>
    <w:rsid w:val="001F40E7"/>
    <w:rsid w:val="001F4482"/>
    <w:rsid w:val="001F48DA"/>
    <w:rsid w:val="001F4D60"/>
    <w:rsid w:val="001F5560"/>
    <w:rsid w:val="001F6BAD"/>
    <w:rsid w:val="001F76B8"/>
    <w:rsid w:val="00200043"/>
    <w:rsid w:val="0020155F"/>
    <w:rsid w:val="00202315"/>
    <w:rsid w:val="00206212"/>
    <w:rsid w:val="00206D87"/>
    <w:rsid w:val="0021128D"/>
    <w:rsid w:val="00211E25"/>
    <w:rsid w:val="00213989"/>
    <w:rsid w:val="0022027F"/>
    <w:rsid w:val="00220C3D"/>
    <w:rsid w:val="002217B2"/>
    <w:rsid w:val="00222810"/>
    <w:rsid w:val="00224472"/>
    <w:rsid w:val="00224838"/>
    <w:rsid w:val="0022632B"/>
    <w:rsid w:val="00227F27"/>
    <w:rsid w:val="00231E16"/>
    <w:rsid w:val="00232602"/>
    <w:rsid w:val="00232ED8"/>
    <w:rsid w:val="00233FE7"/>
    <w:rsid w:val="00234EC6"/>
    <w:rsid w:val="00240F01"/>
    <w:rsid w:val="0024108E"/>
    <w:rsid w:val="00241C71"/>
    <w:rsid w:val="00242DC8"/>
    <w:rsid w:val="00243045"/>
    <w:rsid w:val="002439FF"/>
    <w:rsid w:val="00243AE4"/>
    <w:rsid w:val="0024546D"/>
    <w:rsid w:val="00246335"/>
    <w:rsid w:val="002477C5"/>
    <w:rsid w:val="00250BAE"/>
    <w:rsid w:val="002521F4"/>
    <w:rsid w:val="00252292"/>
    <w:rsid w:val="00253691"/>
    <w:rsid w:val="00254F3A"/>
    <w:rsid w:val="002557AA"/>
    <w:rsid w:val="00255BC3"/>
    <w:rsid w:val="00255CD0"/>
    <w:rsid w:val="002563E1"/>
    <w:rsid w:val="0026162E"/>
    <w:rsid w:val="00261F72"/>
    <w:rsid w:val="00262BBD"/>
    <w:rsid w:val="00263A38"/>
    <w:rsid w:val="00264416"/>
    <w:rsid w:val="00264C4B"/>
    <w:rsid w:val="00264CCF"/>
    <w:rsid w:val="00265231"/>
    <w:rsid w:val="0026534B"/>
    <w:rsid w:val="0026554E"/>
    <w:rsid w:val="00265995"/>
    <w:rsid w:val="00266599"/>
    <w:rsid w:val="002670C9"/>
    <w:rsid w:val="00267D22"/>
    <w:rsid w:val="0027108B"/>
    <w:rsid w:val="0027435C"/>
    <w:rsid w:val="00274AD4"/>
    <w:rsid w:val="00274B1C"/>
    <w:rsid w:val="00274CE2"/>
    <w:rsid w:val="00274DEE"/>
    <w:rsid w:val="00280C98"/>
    <w:rsid w:val="002818FD"/>
    <w:rsid w:val="00281B42"/>
    <w:rsid w:val="002824D5"/>
    <w:rsid w:val="00282B52"/>
    <w:rsid w:val="0028328E"/>
    <w:rsid w:val="00286E90"/>
    <w:rsid w:val="002875B2"/>
    <w:rsid w:val="00287726"/>
    <w:rsid w:val="00287B2F"/>
    <w:rsid w:val="002915B0"/>
    <w:rsid w:val="0029174A"/>
    <w:rsid w:val="00293198"/>
    <w:rsid w:val="0029321B"/>
    <w:rsid w:val="0029474D"/>
    <w:rsid w:val="00294F5B"/>
    <w:rsid w:val="00295070"/>
    <w:rsid w:val="002958D2"/>
    <w:rsid w:val="002974A8"/>
    <w:rsid w:val="00297541"/>
    <w:rsid w:val="00297A8A"/>
    <w:rsid w:val="002A0AC2"/>
    <w:rsid w:val="002A179A"/>
    <w:rsid w:val="002A2D49"/>
    <w:rsid w:val="002A36FE"/>
    <w:rsid w:val="002A3CAE"/>
    <w:rsid w:val="002A544E"/>
    <w:rsid w:val="002A5A54"/>
    <w:rsid w:val="002A603B"/>
    <w:rsid w:val="002A693A"/>
    <w:rsid w:val="002A73FE"/>
    <w:rsid w:val="002B0307"/>
    <w:rsid w:val="002B0CAE"/>
    <w:rsid w:val="002B17ED"/>
    <w:rsid w:val="002B1C8B"/>
    <w:rsid w:val="002B67A7"/>
    <w:rsid w:val="002B6E6B"/>
    <w:rsid w:val="002B791D"/>
    <w:rsid w:val="002C0DCB"/>
    <w:rsid w:val="002C15E7"/>
    <w:rsid w:val="002C21C7"/>
    <w:rsid w:val="002C29E9"/>
    <w:rsid w:val="002C2E16"/>
    <w:rsid w:val="002C4443"/>
    <w:rsid w:val="002C46EE"/>
    <w:rsid w:val="002C50FE"/>
    <w:rsid w:val="002C5461"/>
    <w:rsid w:val="002C58AC"/>
    <w:rsid w:val="002C58C9"/>
    <w:rsid w:val="002C67A0"/>
    <w:rsid w:val="002C7CF9"/>
    <w:rsid w:val="002D109D"/>
    <w:rsid w:val="002D211C"/>
    <w:rsid w:val="002D5B42"/>
    <w:rsid w:val="002D5BA4"/>
    <w:rsid w:val="002D669F"/>
    <w:rsid w:val="002D7223"/>
    <w:rsid w:val="002D7D69"/>
    <w:rsid w:val="002E0845"/>
    <w:rsid w:val="002E2F8C"/>
    <w:rsid w:val="002E3E76"/>
    <w:rsid w:val="002E4C6B"/>
    <w:rsid w:val="002E4E84"/>
    <w:rsid w:val="002E5EA3"/>
    <w:rsid w:val="002E78A8"/>
    <w:rsid w:val="002F05B7"/>
    <w:rsid w:val="002F0C77"/>
    <w:rsid w:val="002F1320"/>
    <w:rsid w:val="002F2730"/>
    <w:rsid w:val="002F308E"/>
    <w:rsid w:val="002F3504"/>
    <w:rsid w:val="002F4765"/>
    <w:rsid w:val="002F52EC"/>
    <w:rsid w:val="002F6CBF"/>
    <w:rsid w:val="002F7BB0"/>
    <w:rsid w:val="00300579"/>
    <w:rsid w:val="00303860"/>
    <w:rsid w:val="003041CF"/>
    <w:rsid w:val="00306A60"/>
    <w:rsid w:val="0030782D"/>
    <w:rsid w:val="00307F36"/>
    <w:rsid w:val="00310D20"/>
    <w:rsid w:val="0031136B"/>
    <w:rsid w:val="003122BF"/>
    <w:rsid w:val="003132F5"/>
    <w:rsid w:val="003134EB"/>
    <w:rsid w:val="00314711"/>
    <w:rsid w:val="00314EDC"/>
    <w:rsid w:val="00315CD9"/>
    <w:rsid w:val="003161A1"/>
    <w:rsid w:val="003166E2"/>
    <w:rsid w:val="00320723"/>
    <w:rsid w:val="00322A02"/>
    <w:rsid w:val="00323237"/>
    <w:rsid w:val="00323C1B"/>
    <w:rsid w:val="0032529F"/>
    <w:rsid w:val="00326C7A"/>
    <w:rsid w:val="00327B8A"/>
    <w:rsid w:val="00327E15"/>
    <w:rsid w:val="00331312"/>
    <w:rsid w:val="00331D01"/>
    <w:rsid w:val="00332426"/>
    <w:rsid w:val="00333A4A"/>
    <w:rsid w:val="0033496B"/>
    <w:rsid w:val="00335044"/>
    <w:rsid w:val="00335E2A"/>
    <w:rsid w:val="0033776A"/>
    <w:rsid w:val="00340869"/>
    <w:rsid w:val="00343764"/>
    <w:rsid w:val="003442A1"/>
    <w:rsid w:val="00345B08"/>
    <w:rsid w:val="00345FD1"/>
    <w:rsid w:val="003475DD"/>
    <w:rsid w:val="00350627"/>
    <w:rsid w:val="003520F7"/>
    <w:rsid w:val="003524A4"/>
    <w:rsid w:val="00354878"/>
    <w:rsid w:val="0035579E"/>
    <w:rsid w:val="003561DA"/>
    <w:rsid w:val="003573AD"/>
    <w:rsid w:val="00357F16"/>
    <w:rsid w:val="00361828"/>
    <w:rsid w:val="0036283A"/>
    <w:rsid w:val="00362A94"/>
    <w:rsid w:val="003632AA"/>
    <w:rsid w:val="00363A7F"/>
    <w:rsid w:val="00363D0D"/>
    <w:rsid w:val="00365051"/>
    <w:rsid w:val="003666CC"/>
    <w:rsid w:val="00370D7F"/>
    <w:rsid w:val="00370DA2"/>
    <w:rsid w:val="0037291F"/>
    <w:rsid w:val="003735B5"/>
    <w:rsid w:val="00373E7E"/>
    <w:rsid w:val="00374C6C"/>
    <w:rsid w:val="003750CA"/>
    <w:rsid w:val="00375CA3"/>
    <w:rsid w:val="00375DCF"/>
    <w:rsid w:val="00376EBA"/>
    <w:rsid w:val="0038201C"/>
    <w:rsid w:val="003830FD"/>
    <w:rsid w:val="00383797"/>
    <w:rsid w:val="00383C76"/>
    <w:rsid w:val="00384F9F"/>
    <w:rsid w:val="0038522C"/>
    <w:rsid w:val="0038600E"/>
    <w:rsid w:val="003861C2"/>
    <w:rsid w:val="003906ED"/>
    <w:rsid w:val="003907FB"/>
    <w:rsid w:val="00392B68"/>
    <w:rsid w:val="003933A9"/>
    <w:rsid w:val="00393A5E"/>
    <w:rsid w:val="00395086"/>
    <w:rsid w:val="00395E74"/>
    <w:rsid w:val="00395EE8"/>
    <w:rsid w:val="00395FC4"/>
    <w:rsid w:val="00396274"/>
    <w:rsid w:val="00397186"/>
    <w:rsid w:val="00397CC4"/>
    <w:rsid w:val="003A0F6B"/>
    <w:rsid w:val="003A1703"/>
    <w:rsid w:val="003A1F53"/>
    <w:rsid w:val="003A22D2"/>
    <w:rsid w:val="003A2B53"/>
    <w:rsid w:val="003A36E8"/>
    <w:rsid w:val="003A37B7"/>
    <w:rsid w:val="003A7105"/>
    <w:rsid w:val="003A7E88"/>
    <w:rsid w:val="003B00F7"/>
    <w:rsid w:val="003B069C"/>
    <w:rsid w:val="003B0FDE"/>
    <w:rsid w:val="003B14FF"/>
    <w:rsid w:val="003B2855"/>
    <w:rsid w:val="003B4AB0"/>
    <w:rsid w:val="003B51C2"/>
    <w:rsid w:val="003B6060"/>
    <w:rsid w:val="003B6A41"/>
    <w:rsid w:val="003B7852"/>
    <w:rsid w:val="003C0499"/>
    <w:rsid w:val="003C050D"/>
    <w:rsid w:val="003C082F"/>
    <w:rsid w:val="003C1B8A"/>
    <w:rsid w:val="003C334E"/>
    <w:rsid w:val="003C3525"/>
    <w:rsid w:val="003C4C72"/>
    <w:rsid w:val="003C6A66"/>
    <w:rsid w:val="003C7A0A"/>
    <w:rsid w:val="003C7D90"/>
    <w:rsid w:val="003D05BA"/>
    <w:rsid w:val="003D1BFB"/>
    <w:rsid w:val="003D1E76"/>
    <w:rsid w:val="003D2346"/>
    <w:rsid w:val="003D400A"/>
    <w:rsid w:val="003D5B13"/>
    <w:rsid w:val="003D60BF"/>
    <w:rsid w:val="003D673D"/>
    <w:rsid w:val="003D6CA1"/>
    <w:rsid w:val="003D6E8F"/>
    <w:rsid w:val="003D7239"/>
    <w:rsid w:val="003D7CBC"/>
    <w:rsid w:val="003E1616"/>
    <w:rsid w:val="003E30A2"/>
    <w:rsid w:val="003E3409"/>
    <w:rsid w:val="003E4344"/>
    <w:rsid w:val="003E4689"/>
    <w:rsid w:val="003E5169"/>
    <w:rsid w:val="003E6D30"/>
    <w:rsid w:val="003E6D52"/>
    <w:rsid w:val="003E6FAD"/>
    <w:rsid w:val="003E71C0"/>
    <w:rsid w:val="003E74B9"/>
    <w:rsid w:val="003F0A61"/>
    <w:rsid w:val="003F0DA0"/>
    <w:rsid w:val="003F14F1"/>
    <w:rsid w:val="003F193B"/>
    <w:rsid w:val="003F22C3"/>
    <w:rsid w:val="003F44F7"/>
    <w:rsid w:val="003F6103"/>
    <w:rsid w:val="00403002"/>
    <w:rsid w:val="0040411F"/>
    <w:rsid w:val="004041B9"/>
    <w:rsid w:val="00405FF3"/>
    <w:rsid w:val="004066BB"/>
    <w:rsid w:val="004068C6"/>
    <w:rsid w:val="004120E6"/>
    <w:rsid w:val="004121AB"/>
    <w:rsid w:val="00412475"/>
    <w:rsid w:val="00413D06"/>
    <w:rsid w:val="00413E4E"/>
    <w:rsid w:val="00414252"/>
    <w:rsid w:val="0041430F"/>
    <w:rsid w:val="004150EE"/>
    <w:rsid w:val="0041512C"/>
    <w:rsid w:val="00416052"/>
    <w:rsid w:val="00416CB4"/>
    <w:rsid w:val="0041706C"/>
    <w:rsid w:val="00420B16"/>
    <w:rsid w:val="00421254"/>
    <w:rsid w:val="00421B31"/>
    <w:rsid w:val="00422F25"/>
    <w:rsid w:val="00423452"/>
    <w:rsid w:val="00423604"/>
    <w:rsid w:val="00423762"/>
    <w:rsid w:val="0042382F"/>
    <w:rsid w:val="0042471B"/>
    <w:rsid w:val="00424806"/>
    <w:rsid w:val="00425133"/>
    <w:rsid w:val="00425A67"/>
    <w:rsid w:val="004268D6"/>
    <w:rsid w:val="00426E3B"/>
    <w:rsid w:val="00427315"/>
    <w:rsid w:val="00431169"/>
    <w:rsid w:val="00432890"/>
    <w:rsid w:val="0043343A"/>
    <w:rsid w:val="00437EAD"/>
    <w:rsid w:val="004403F4"/>
    <w:rsid w:val="004404FB"/>
    <w:rsid w:val="00440591"/>
    <w:rsid w:val="00440749"/>
    <w:rsid w:val="00441709"/>
    <w:rsid w:val="0044193D"/>
    <w:rsid w:val="00443277"/>
    <w:rsid w:val="00444085"/>
    <w:rsid w:val="00444CFD"/>
    <w:rsid w:val="00446B3E"/>
    <w:rsid w:val="0044763A"/>
    <w:rsid w:val="00450F19"/>
    <w:rsid w:val="00451BB4"/>
    <w:rsid w:val="00452C9D"/>
    <w:rsid w:val="004560CA"/>
    <w:rsid w:val="00456348"/>
    <w:rsid w:val="00456681"/>
    <w:rsid w:val="00460113"/>
    <w:rsid w:val="00460BBE"/>
    <w:rsid w:val="00461A41"/>
    <w:rsid w:val="00461B3D"/>
    <w:rsid w:val="00463000"/>
    <w:rsid w:val="00463020"/>
    <w:rsid w:val="004637FC"/>
    <w:rsid w:val="00463A7A"/>
    <w:rsid w:val="00465144"/>
    <w:rsid w:val="00465DAE"/>
    <w:rsid w:val="00467180"/>
    <w:rsid w:val="00470203"/>
    <w:rsid w:val="00470410"/>
    <w:rsid w:val="00471504"/>
    <w:rsid w:val="00472A72"/>
    <w:rsid w:val="00472EE3"/>
    <w:rsid w:val="004738F1"/>
    <w:rsid w:val="004757D9"/>
    <w:rsid w:val="004760FD"/>
    <w:rsid w:val="00476CE0"/>
    <w:rsid w:val="00477A4D"/>
    <w:rsid w:val="004821B2"/>
    <w:rsid w:val="004839B9"/>
    <w:rsid w:val="00484902"/>
    <w:rsid w:val="00485D39"/>
    <w:rsid w:val="00486444"/>
    <w:rsid w:val="00486B63"/>
    <w:rsid w:val="00487C6F"/>
    <w:rsid w:val="00490D15"/>
    <w:rsid w:val="00491663"/>
    <w:rsid w:val="00491993"/>
    <w:rsid w:val="004919D6"/>
    <w:rsid w:val="00492322"/>
    <w:rsid w:val="00492A3E"/>
    <w:rsid w:val="00493383"/>
    <w:rsid w:val="00493C88"/>
    <w:rsid w:val="004944B6"/>
    <w:rsid w:val="00494BD1"/>
    <w:rsid w:val="004953A5"/>
    <w:rsid w:val="00495DC5"/>
    <w:rsid w:val="00497233"/>
    <w:rsid w:val="004A09B6"/>
    <w:rsid w:val="004A0FF3"/>
    <w:rsid w:val="004A21D3"/>
    <w:rsid w:val="004A28A8"/>
    <w:rsid w:val="004A2AE7"/>
    <w:rsid w:val="004A3BC8"/>
    <w:rsid w:val="004A47FB"/>
    <w:rsid w:val="004A4F60"/>
    <w:rsid w:val="004A5FF6"/>
    <w:rsid w:val="004A60BD"/>
    <w:rsid w:val="004A6327"/>
    <w:rsid w:val="004A6E9C"/>
    <w:rsid w:val="004A72BC"/>
    <w:rsid w:val="004B0147"/>
    <w:rsid w:val="004B117D"/>
    <w:rsid w:val="004B1406"/>
    <w:rsid w:val="004B20F0"/>
    <w:rsid w:val="004B248E"/>
    <w:rsid w:val="004B2687"/>
    <w:rsid w:val="004B3B07"/>
    <w:rsid w:val="004B4821"/>
    <w:rsid w:val="004B6A97"/>
    <w:rsid w:val="004B6DE6"/>
    <w:rsid w:val="004B7C0A"/>
    <w:rsid w:val="004C03AF"/>
    <w:rsid w:val="004C1180"/>
    <w:rsid w:val="004C1A39"/>
    <w:rsid w:val="004C2EE4"/>
    <w:rsid w:val="004C3221"/>
    <w:rsid w:val="004C3A46"/>
    <w:rsid w:val="004C41DA"/>
    <w:rsid w:val="004C46CE"/>
    <w:rsid w:val="004C4AA3"/>
    <w:rsid w:val="004C4B57"/>
    <w:rsid w:val="004C5213"/>
    <w:rsid w:val="004C5557"/>
    <w:rsid w:val="004C5897"/>
    <w:rsid w:val="004C6014"/>
    <w:rsid w:val="004C63D5"/>
    <w:rsid w:val="004C6829"/>
    <w:rsid w:val="004C69FD"/>
    <w:rsid w:val="004C7377"/>
    <w:rsid w:val="004C7DFC"/>
    <w:rsid w:val="004D0EF2"/>
    <w:rsid w:val="004D19B7"/>
    <w:rsid w:val="004D245D"/>
    <w:rsid w:val="004D345A"/>
    <w:rsid w:val="004D5573"/>
    <w:rsid w:val="004D651D"/>
    <w:rsid w:val="004D6776"/>
    <w:rsid w:val="004D72F9"/>
    <w:rsid w:val="004D7689"/>
    <w:rsid w:val="004E072F"/>
    <w:rsid w:val="004E1319"/>
    <w:rsid w:val="004E2F99"/>
    <w:rsid w:val="004E3715"/>
    <w:rsid w:val="004E4118"/>
    <w:rsid w:val="004E4DBE"/>
    <w:rsid w:val="004E597B"/>
    <w:rsid w:val="004E5D84"/>
    <w:rsid w:val="004E6A69"/>
    <w:rsid w:val="004E7A15"/>
    <w:rsid w:val="004F0B70"/>
    <w:rsid w:val="004F0C38"/>
    <w:rsid w:val="004F0E6E"/>
    <w:rsid w:val="004F1B6E"/>
    <w:rsid w:val="004F1E83"/>
    <w:rsid w:val="004F4038"/>
    <w:rsid w:val="004F4E1C"/>
    <w:rsid w:val="004F51D7"/>
    <w:rsid w:val="004F540F"/>
    <w:rsid w:val="004F7014"/>
    <w:rsid w:val="004F754E"/>
    <w:rsid w:val="004F7B6E"/>
    <w:rsid w:val="005016D3"/>
    <w:rsid w:val="00501CCA"/>
    <w:rsid w:val="00501DEE"/>
    <w:rsid w:val="00502A81"/>
    <w:rsid w:val="00502BA8"/>
    <w:rsid w:val="00502EBF"/>
    <w:rsid w:val="0050471E"/>
    <w:rsid w:val="00504F88"/>
    <w:rsid w:val="0050507E"/>
    <w:rsid w:val="0050536F"/>
    <w:rsid w:val="005057D1"/>
    <w:rsid w:val="00505E14"/>
    <w:rsid w:val="00507961"/>
    <w:rsid w:val="00510E95"/>
    <w:rsid w:val="00511E99"/>
    <w:rsid w:val="0051245B"/>
    <w:rsid w:val="00514691"/>
    <w:rsid w:val="00514B95"/>
    <w:rsid w:val="00514DC4"/>
    <w:rsid w:val="005164F9"/>
    <w:rsid w:val="00517AA8"/>
    <w:rsid w:val="00520D05"/>
    <w:rsid w:val="00521403"/>
    <w:rsid w:val="00522CBF"/>
    <w:rsid w:val="00524217"/>
    <w:rsid w:val="00524282"/>
    <w:rsid w:val="00524CC6"/>
    <w:rsid w:val="005252B9"/>
    <w:rsid w:val="005254A8"/>
    <w:rsid w:val="00525598"/>
    <w:rsid w:val="0052660A"/>
    <w:rsid w:val="00526C50"/>
    <w:rsid w:val="0052729B"/>
    <w:rsid w:val="00527CC3"/>
    <w:rsid w:val="00527CD3"/>
    <w:rsid w:val="0053094F"/>
    <w:rsid w:val="00530E98"/>
    <w:rsid w:val="005318EC"/>
    <w:rsid w:val="005319DA"/>
    <w:rsid w:val="005325CE"/>
    <w:rsid w:val="00532ACD"/>
    <w:rsid w:val="005335A3"/>
    <w:rsid w:val="00534374"/>
    <w:rsid w:val="00534653"/>
    <w:rsid w:val="00534955"/>
    <w:rsid w:val="00535C75"/>
    <w:rsid w:val="0053628E"/>
    <w:rsid w:val="005363AE"/>
    <w:rsid w:val="00536B1E"/>
    <w:rsid w:val="00540EB8"/>
    <w:rsid w:val="00541783"/>
    <w:rsid w:val="005429AA"/>
    <w:rsid w:val="00543050"/>
    <w:rsid w:val="00543BAC"/>
    <w:rsid w:val="00543BFF"/>
    <w:rsid w:val="00544127"/>
    <w:rsid w:val="00545779"/>
    <w:rsid w:val="00547BBE"/>
    <w:rsid w:val="00547D51"/>
    <w:rsid w:val="00550035"/>
    <w:rsid w:val="00550C51"/>
    <w:rsid w:val="00552C42"/>
    <w:rsid w:val="0055303C"/>
    <w:rsid w:val="005534E1"/>
    <w:rsid w:val="00553B16"/>
    <w:rsid w:val="00554522"/>
    <w:rsid w:val="00555EC5"/>
    <w:rsid w:val="005561B7"/>
    <w:rsid w:val="005562CA"/>
    <w:rsid w:val="00557AD7"/>
    <w:rsid w:val="0056009A"/>
    <w:rsid w:val="005606CB"/>
    <w:rsid w:val="00560973"/>
    <w:rsid w:val="00563556"/>
    <w:rsid w:val="00564765"/>
    <w:rsid w:val="00564C10"/>
    <w:rsid w:val="0057014D"/>
    <w:rsid w:val="005701D1"/>
    <w:rsid w:val="005729F3"/>
    <w:rsid w:val="00573681"/>
    <w:rsid w:val="00574A0F"/>
    <w:rsid w:val="0057572A"/>
    <w:rsid w:val="00575B22"/>
    <w:rsid w:val="005764CF"/>
    <w:rsid w:val="00576DE2"/>
    <w:rsid w:val="0058052A"/>
    <w:rsid w:val="00581032"/>
    <w:rsid w:val="0058205C"/>
    <w:rsid w:val="00582261"/>
    <w:rsid w:val="005822D3"/>
    <w:rsid w:val="0058292F"/>
    <w:rsid w:val="00582E4E"/>
    <w:rsid w:val="005830AD"/>
    <w:rsid w:val="00583747"/>
    <w:rsid w:val="005837D7"/>
    <w:rsid w:val="005849C3"/>
    <w:rsid w:val="00585A11"/>
    <w:rsid w:val="00587F43"/>
    <w:rsid w:val="005905E2"/>
    <w:rsid w:val="00591ED5"/>
    <w:rsid w:val="00592A03"/>
    <w:rsid w:val="0059473E"/>
    <w:rsid w:val="005947D5"/>
    <w:rsid w:val="00595B56"/>
    <w:rsid w:val="005964FC"/>
    <w:rsid w:val="00597D1C"/>
    <w:rsid w:val="005A0506"/>
    <w:rsid w:val="005A09B0"/>
    <w:rsid w:val="005A1CA8"/>
    <w:rsid w:val="005A28AF"/>
    <w:rsid w:val="005A2D11"/>
    <w:rsid w:val="005A44EE"/>
    <w:rsid w:val="005A5C47"/>
    <w:rsid w:val="005A5EB9"/>
    <w:rsid w:val="005A6965"/>
    <w:rsid w:val="005A7558"/>
    <w:rsid w:val="005B0C8F"/>
    <w:rsid w:val="005B0DC9"/>
    <w:rsid w:val="005B3906"/>
    <w:rsid w:val="005B6ECC"/>
    <w:rsid w:val="005B74C8"/>
    <w:rsid w:val="005B75D4"/>
    <w:rsid w:val="005C495C"/>
    <w:rsid w:val="005C4F5D"/>
    <w:rsid w:val="005C522D"/>
    <w:rsid w:val="005C52CE"/>
    <w:rsid w:val="005C5D1E"/>
    <w:rsid w:val="005C624C"/>
    <w:rsid w:val="005D0E5C"/>
    <w:rsid w:val="005D0F78"/>
    <w:rsid w:val="005D188D"/>
    <w:rsid w:val="005D33E5"/>
    <w:rsid w:val="005D3AD5"/>
    <w:rsid w:val="005D3C4C"/>
    <w:rsid w:val="005D6780"/>
    <w:rsid w:val="005D685C"/>
    <w:rsid w:val="005E0286"/>
    <w:rsid w:val="005E03C3"/>
    <w:rsid w:val="005E0507"/>
    <w:rsid w:val="005E13BB"/>
    <w:rsid w:val="005E1F6F"/>
    <w:rsid w:val="005E2313"/>
    <w:rsid w:val="005E24AD"/>
    <w:rsid w:val="005E2AEF"/>
    <w:rsid w:val="005E349A"/>
    <w:rsid w:val="005E3BE8"/>
    <w:rsid w:val="005E4CC9"/>
    <w:rsid w:val="005E68AC"/>
    <w:rsid w:val="005F0DDE"/>
    <w:rsid w:val="005F177F"/>
    <w:rsid w:val="005F3456"/>
    <w:rsid w:val="005F366D"/>
    <w:rsid w:val="005F36D2"/>
    <w:rsid w:val="005F4B2B"/>
    <w:rsid w:val="005F55EC"/>
    <w:rsid w:val="005F5610"/>
    <w:rsid w:val="005F786B"/>
    <w:rsid w:val="005F7ED6"/>
    <w:rsid w:val="00600940"/>
    <w:rsid w:val="00601EA7"/>
    <w:rsid w:val="00602629"/>
    <w:rsid w:val="006026E7"/>
    <w:rsid w:val="0060506F"/>
    <w:rsid w:val="00605C73"/>
    <w:rsid w:val="0060688A"/>
    <w:rsid w:val="00607CA9"/>
    <w:rsid w:val="006103DB"/>
    <w:rsid w:val="00610D91"/>
    <w:rsid w:val="006113FF"/>
    <w:rsid w:val="00612EE0"/>
    <w:rsid w:val="006141FC"/>
    <w:rsid w:val="00615235"/>
    <w:rsid w:val="006162E7"/>
    <w:rsid w:val="0062047B"/>
    <w:rsid w:val="00621DE6"/>
    <w:rsid w:val="00621F6D"/>
    <w:rsid w:val="00622611"/>
    <w:rsid w:val="006242F7"/>
    <w:rsid w:val="00624CF3"/>
    <w:rsid w:val="0062523C"/>
    <w:rsid w:val="006257C3"/>
    <w:rsid w:val="00625D8D"/>
    <w:rsid w:val="00625DD7"/>
    <w:rsid w:val="00625E70"/>
    <w:rsid w:val="00627162"/>
    <w:rsid w:val="00627432"/>
    <w:rsid w:val="00630206"/>
    <w:rsid w:val="0063112F"/>
    <w:rsid w:val="006314E3"/>
    <w:rsid w:val="00634837"/>
    <w:rsid w:val="0063672A"/>
    <w:rsid w:val="0063761D"/>
    <w:rsid w:val="006406B1"/>
    <w:rsid w:val="00640729"/>
    <w:rsid w:val="00640A41"/>
    <w:rsid w:val="00640FAD"/>
    <w:rsid w:val="006411AB"/>
    <w:rsid w:val="006419EC"/>
    <w:rsid w:val="00641B22"/>
    <w:rsid w:val="00641B91"/>
    <w:rsid w:val="00641EA4"/>
    <w:rsid w:val="006420B4"/>
    <w:rsid w:val="006420C0"/>
    <w:rsid w:val="006426E2"/>
    <w:rsid w:val="00642C90"/>
    <w:rsid w:val="0064543C"/>
    <w:rsid w:val="0064586C"/>
    <w:rsid w:val="006458B5"/>
    <w:rsid w:val="00646ABA"/>
    <w:rsid w:val="00647733"/>
    <w:rsid w:val="00647E8E"/>
    <w:rsid w:val="00650C04"/>
    <w:rsid w:val="00650F02"/>
    <w:rsid w:val="00654B96"/>
    <w:rsid w:val="006567F1"/>
    <w:rsid w:val="00657E77"/>
    <w:rsid w:val="00657F67"/>
    <w:rsid w:val="00660327"/>
    <w:rsid w:val="006612E0"/>
    <w:rsid w:val="0066178B"/>
    <w:rsid w:val="00661AD1"/>
    <w:rsid w:val="006628F7"/>
    <w:rsid w:val="00662E7B"/>
    <w:rsid w:val="0066390A"/>
    <w:rsid w:val="00664236"/>
    <w:rsid w:val="006648D5"/>
    <w:rsid w:val="00664A6F"/>
    <w:rsid w:val="00665278"/>
    <w:rsid w:val="006658A0"/>
    <w:rsid w:val="00665E73"/>
    <w:rsid w:val="006674EA"/>
    <w:rsid w:val="006715BA"/>
    <w:rsid w:val="00671FE3"/>
    <w:rsid w:val="00672604"/>
    <w:rsid w:val="00674062"/>
    <w:rsid w:val="00674320"/>
    <w:rsid w:val="00674F55"/>
    <w:rsid w:val="006756B6"/>
    <w:rsid w:val="00675ADA"/>
    <w:rsid w:val="00676E8A"/>
    <w:rsid w:val="00680554"/>
    <w:rsid w:val="00680EB6"/>
    <w:rsid w:val="00681111"/>
    <w:rsid w:val="006816C7"/>
    <w:rsid w:val="00681DC9"/>
    <w:rsid w:val="00683A7B"/>
    <w:rsid w:val="00683BD8"/>
    <w:rsid w:val="006841CD"/>
    <w:rsid w:val="00684839"/>
    <w:rsid w:val="0068549C"/>
    <w:rsid w:val="0068619E"/>
    <w:rsid w:val="00686779"/>
    <w:rsid w:val="006904E9"/>
    <w:rsid w:val="0069068C"/>
    <w:rsid w:val="00691582"/>
    <w:rsid w:val="00691C03"/>
    <w:rsid w:val="006938D1"/>
    <w:rsid w:val="00693F1A"/>
    <w:rsid w:val="006946CC"/>
    <w:rsid w:val="0069595A"/>
    <w:rsid w:val="006966FD"/>
    <w:rsid w:val="00697692"/>
    <w:rsid w:val="00697D45"/>
    <w:rsid w:val="006A0241"/>
    <w:rsid w:val="006A1192"/>
    <w:rsid w:val="006A22A4"/>
    <w:rsid w:val="006A369E"/>
    <w:rsid w:val="006A5599"/>
    <w:rsid w:val="006A5793"/>
    <w:rsid w:val="006A5945"/>
    <w:rsid w:val="006A6BC2"/>
    <w:rsid w:val="006B2811"/>
    <w:rsid w:val="006B2DFD"/>
    <w:rsid w:val="006B38BC"/>
    <w:rsid w:val="006B3B24"/>
    <w:rsid w:val="006B4EC6"/>
    <w:rsid w:val="006B573D"/>
    <w:rsid w:val="006B6143"/>
    <w:rsid w:val="006B6387"/>
    <w:rsid w:val="006C22A9"/>
    <w:rsid w:val="006C2ADC"/>
    <w:rsid w:val="006C423E"/>
    <w:rsid w:val="006C4CC5"/>
    <w:rsid w:val="006C51B3"/>
    <w:rsid w:val="006C581C"/>
    <w:rsid w:val="006C7DE8"/>
    <w:rsid w:val="006D0B59"/>
    <w:rsid w:val="006D0CCA"/>
    <w:rsid w:val="006D383C"/>
    <w:rsid w:val="006D3E87"/>
    <w:rsid w:val="006D4EE1"/>
    <w:rsid w:val="006D689D"/>
    <w:rsid w:val="006D7586"/>
    <w:rsid w:val="006E07A3"/>
    <w:rsid w:val="006E1169"/>
    <w:rsid w:val="006E1C4C"/>
    <w:rsid w:val="006E25C8"/>
    <w:rsid w:val="006E4071"/>
    <w:rsid w:val="006E6A5E"/>
    <w:rsid w:val="006E740E"/>
    <w:rsid w:val="006F0A64"/>
    <w:rsid w:val="006F0D80"/>
    <w:rsid w:val="006F32A8"/>
    <w:rsid w:val="006F44DE"/>
    <w:rsid w:val="006F6004"/>
    <w:rsid w:val="006F6737"/>
    <w:rsid w:val="006F6C86"/>
    <w:rsid w:val="006F71C1"/>
    <w:rsid w:val="006F7F71"/>
    <w:rsid w:val="00700DFD"/>
    <w:rsid w:val="007010EB"/>
    <w:rsid w:val="0070285E"/>
    <w:rsid w:val="007039BB"/>
    <w:rsid w:val="007047B7"/>
    <w:rsid w:val="00704D8D"/>
    <w:rsid w:val="00705EEC"/>
    <w:rsid w:val="0070606F"/>
    <w:rsid w:val="007061AC"/>
    <w:rsid w:val="00706BF8"/>
    <w:rsid w:val="00707CA8"/>
    <w:rsid w:val="007103A4"/>
    <w:rsid w:val="00711532"/>
    <w:rsid w:val="00713CE0"/>
    <w:rsid w:val="00713E27"/>
    <w:rsid w:val="00714C33"/>
    <w:rsid w:val="00715343"/>
    <w:rsid w:val="00716839"/>
    <w:rsid w:val="0072036E"/>
    <w:rsid w:val="007216EB"/>
    <w:rsid w:val="007228FC"/>
    <w:rsid w:val="00723A4C"/>
    <w:rsid w:val="00723D5D"/>
    <w:rsid w:val="0072646D"/>
    <w:rsid w:val="00727381"/>
    <w:rsid w:val="0072787A"/>
    <w:rsid w:val="00727DC3"/>
    <w:rsid w:val="0073014E"/>
    <w:rsid w:val="0073162D"/>
    <w:rsid w:val="00731DDD"/>
    <w:rsid w:val="0073212B"/>
    <w:rsid w:val="00732547"/>
    <w:rsid w:val="00733CC1"/>
    <w:rsid w:val="0073415C"/>
    <w:rsid w:val="0073503B"/>
    <w:rsid w:val="007354CB"/>
    <w:rsid w:val="00735E6F"/>
    <w:rsid w:val="00735F19"/>
    <w:rsid w:val="00736F72"/>
    <w:rsid w:val="007400F1"/>
    <w:rsid w:val="00740C53"/>
    <w:rsid w:val="00740F20"/>
    <w:rsid w:val="00740FF3"/>
    <w:rsid w:val="00741EE5"/>
    <w:rsid w:val="00744B01"/>
    <w:rsid w:val="00745063"/>
    <w:rsid w:val="007521BA"/>
    <w:rsid w:val="00752C2D"/>
    <w:rsid w:val="00752D77"/>
    <w:rsid w:val="00753C4B"/>
    <w:rsid w:val="00753DFF"/>
    <w:rsid w:val="00756067"/>
    <w:rsid w:val="0075608E"/>
    <w:rsid w:val="00756314"/>
    <w:rsid w:val="00757A3E"/>
    <w:rsid w:val="00757BA1"/>
    <w:rsid w:val="00760913"/>
    <w:rsid w:val="00760C6A"/>
    <w:rsid w:val="0076231F"/>
    <w:rsid w:val="00763641"/>
    <w:rsid w:val="0076423B"/>
    <w:rsid w:val="00765521"/>
    <w:rsid w:val="00765ACA"/>
    <w:rsid w:val="00765CD3"/>
    <w:rsid w:val="00766742"/>
    <w:rsid w:val="007701F9"/>
    <w:rsid w:val="00771D15"/>
    <w:rsid w:val="00772291"/>
    <w:rsid w:val="00772C20"/>
    <w:rsid w:val="00773155"/>
    <w:rsid w:val="0077374F"/>
    <w:rsid w:val="0077388E"/>
    <w:rsid w:val="00773D74"/>
    <w:rsid w:val="007743D8"/>
    <w:rsid w:val="007747CD"/>
    <w:rsid w:val="00774CA8"/>
    <w:rsid w:val="0077617A"/>
    <w:rsid w:val="007766E3"/>
    <w:rsid w:val="00776901"/>
    <w:rsid w:val="00781019"/>
    <w:rsid w:val="00781296"/>
    <w:rsid w:val="00782292"/>
    <w:rsid w:val="0078466C"/>
    <w:rsid w:val="00791666"/>
    <w:rsid w:val="00791953"/>
    <w:rsid w:val="00791D59"/>
    <w:rsid w:val="007971F0"/>
    <w:rsid w:val="00797706"/>
    <w:rsid w:val="007A0E12"/>
    <w:rsid w:val="007A1E29"/>
    <w:rsid w:val="007A284F"/>
    <w:rsid w:val="007A30A9"/>
    <w:rsid w:val="007A30C9"/>
    <w:rsid w:val="007A32D6"/>
    <w:rsid w:val="007A4060"/>
    <w:rsid w:val="007A4071"/>
    <w:rsid w:val="007A5C96"/>
    <w:rsid w:val="007A60FF"/>
    <w:rsid w:val="007A678B"/>
    <w:rsid w:val="007A736B"/>
    <w:rsid w:val="007A78D6"/>
    <w:rsid w:val="007B0C96"/>
    <w:rsid w:val="007B1B10"/>
    <w:rsid w:val="007B1E75"/>
    <w:rsid w:val="007B1FE2"/>
    <w:rsid w:val="007B2D9D"/>
    <w:rsid w:val="007B5EA4"/>
    <w:rsid w:val="007B616C"/>
    <w:rsid w:val="007B7342"/>
    <w:rsid w:val="007B76D0"/>
    <w:rsid w:val="007C0E64"/>
    <w:rsid w:val="007C1A78"/>
    <w:rsid w:val="007C2501"/>
    <w:rsid w:val="007C52C1"/>
    <w:rsid w:val="007C54A1"/>
    <w:rsid w:val="007C56EA"/>
    <w:rsid w:val="007C6255"/>
    <w:rsid w:val="007C7CBD"/>
    <w:rsid w:val="007D08EA"/>
    <w:rsid w:val="007D097D"/>
    <w:rsid w:val="007D1AC5"/>
    <w:rsid w:val="007D2041"/>
    <w:rsid w:val="007D35A1"/>
    <w:rsid w:val="007D4583"/>
    <w:rsid w:val="007D5BDD"/>
    <w:rsid w:val="007D6D4B"/>
    <w:rsid w:val="007D6F47"/>
    <w:rsid w:val="007E0565"/>
    <w:rsid w:val="007E1D31"/>
    <w:rsid w:val="007E1FC3"/>
    <w:rsid w:val="007E3CA3"/>
    <w:rsid w:val="007E587E"/>
    <w:rsid w:val="007E774A"/>
    <w:rsid w:val="007E78D5"/>
    <w:rsid w:val="007E7B34"/>
    <w:rsid w:val="007F130A"/>
    <w:rsid w:val="007F18DD"/>
    <w:rsid w:val="007F26F9"/>
    <w:rsid w:val="007F4C5D"/>
    <w:rsid w:val="007F622A"/>
    <w:rsid w:val="007F7FAA"/>
    <w:rsid w:val="00801153"/>
    <w:rsid w:val="00802DC5"/>
    <w:rsid w:val="00802EA7"/>
    <w:rsid w:val="00803450"/>
    <w:rsid w:val="008042A7"/>
    <w:rsid w:val="00804568"/>
    <w:rsid w:val="00805C6C"/>
    <w:rsid w:val="00806C20"/>
    <w:rsid w:val="008107E2"/>
    <w:rsid w:val="00810E81"/>
    <w:rsid w:val="008117B7"/>
    <w:rsid w:val="00812737"/>
    <w:rsid w:val="00812D03"/>
    <w:rsid w:val="00812D91"/>
    <w:rsid w:val="00813151"/>
    <w:rsid w:val="0081574E"/>
    <w:rsid w:val="00815B65"/>
    <w:rsid w:val="00817035"/>
    <w:rsid w:val="0081763A"/>
    <w:rsid w:val="00817AEB"/>
    <w:rsid w:val="00817D65"/>
    <w:rsid w:val="00821987"/>
    <w:rsid w:val="008227BF"/>
    <w:rsid w:val="008229E5"/>
    <w:rsid w:val="00824C9E"/>
    <w:rsid w:val="00824D72"/>
    <w:rsid w:val="00825E64"/>
    <w:rsid w:val="008266F6"/>
    <w:rsid w:val="008279E9"/>
    <w:rsid w:val="00827C57"/>
    <w:rsid w:val="00830BCA"/>
    <w:rsid w:val="00832F9F"/>
    <w:rsid w:val="008336AE"/>
    <w:rsid w:val="0083595F"/>
    <w:rsid w:val="00837465"/>
    <w:rsid w:val="008378D2"/>
    <w:rsid w:val="008421B2"/>
    <w:rsid w:val="008429F4"/>
    <w:rsid w:val="00842A2D"/>
    <w:rsid w:val="00842A88"/>
    <w:rsid w:val="00842AD6"/>
    <w:rsid w:val="00845B3F"/>
    <w:rsid w:val="00846CC8"/>
    <w:rsid w:val="0084787C"/>
    <w:rsid w:val="008478AB"/>
    <w:rsid w:val="008501B9"/>
    <w:rsid w:val="0085039B"/>
    <w:rsid w:val="00852087"/>
    <w:rsid w:val="00853418"/>
    <w:rsid w:val="008543D0"/>
    <w:rsid w:val="00854592"/>
    <w:rsid w:val="008545E8"/>
    <w:rsid w:val="0085609E"/>
    <w:rsid w:val="00857C32"/>
    <w:rsid w:val="00857F39"/>
    <w:rsid w:val="00860D1D"/>
    <w:rsid w:val="008614C6"/>
    <w:rsid w:val="00861A9B"/>
    <w:rsid w:val="008620DD"/>
    <w:rsid w:val="00862A79"/>
    <w:rsid w:val="00862BFD"/>
    <w:rsid w:val="00864447"/>
    <w:rsid w:val="0086487E"/>
    <w:rsid w:val="00865A72"/>
    <w:rsid w:val="00865F98"/>
    <w:rsid w:val="008660BE"/>
    <w:rsid w:val="00866D26"/>
    <w:rsid w:val="00870195"/>
    <w:rsid w:val="00870297"/>
    <w:rsid w:val="00870B5F"/>
    <w:rsid w:val="008715B2"/>
    <w:rsid w:val="00871E75"/>
    <w:rsid w:val="00872516"/>
    <w:rsid w:val="0087403F"/>
    <w:rsid w:val="008748B7"/>
    <w:rsid w:val="00874F91"/>
    <w:rsid w:val="00880C4D"/>
    <w:rsid w:val="00880D0F"/>
    <w:rsid w:val="00881088"/>
    <w:rsid w:val="00881653"/>
    <w:rsid w:val="0088339E"/>
    <w:rsid w:val="0088433D"/>
    <w:rsid w:val="00884717"/>
    <w:rsid w:val="00885426"/>
    <w:rsid w:val="008856A2"/>
    <w:rsid w:val="00885F0F"/>
    <w:rsid w:val="008870BC"/>
    <w:rsid w:val="0089039E"/>
    <w:rsid w:val="00891921"/>
    <w:rsid w:val="00891E09"/>
    <w:rsid w:val="008929F9"/>
    <w:rsid w:val="00894D88"/>
    <w:rsid w:val="00895A15"/>
    <w:rsid w:val="00896239"/>
    <w:rsid w:val="008970A5"/>
    <w:rsid w:val="008A139E"/>
    <w:rsid w:val="008A1D2E"/>
    <w:rsid w:val="008A24D2"/>
    <w:rsid w:val="008A2B64"/>
    <w:rsid w:val="008A38EC"/>
    <w:rsid w:val="008A3991"/>
    <w:rsid w:val="008A5BB1"/>
    <w:rsid w:val="008A5D20"/>
    <w:rsid w:val="008A6131"/>
    <w:rsid w:val="008A691F"/>
    <w:rsid w:val="008A6E4E"/>
    <w:rsid w:val="008A7FEE"/>
    <w:rsid w:val="008B06F3"/>
    <w:rsid w:val="008B5280"/>
    <w:rsid w:val="008B67BA"/>
    <w:rsid w:val="008B7B26"/>
    <w:rsid w:val="008B7B8B"/>
    <w:rsid w:val="008B7CAF"/>
    <w:rsid w:val="008C0367"/>
    <w:rsid w:val="008C134D"/>
    <w:rsid w:val="008C1520"/>
    <w:rsid w:val="008C257B"/>
    <w:rsid w:val="008C3EA0"/>
    <w:rsid w:val="008C443E"/>
    <w:rsid w:val="008C4523"/>
    <w:rsid w:val="008C4923"/>
    <w:rsid w:val="008C6388"/>
    <w:rsid w:val="008D06D5"/>
    <w:rsid w:val="008D173E"/>
    <w:rsid w:val="008D1B37"/>
    <w:rsid w:val="008D1E15"/>
    <w:rsid w:val="008D36BC"/>
    <w:rsid w:val="008D3B37"/>
    <w:rsid w:val="008D49BA"/>
    <w:rsid w:val="008D4AFC"/>
    <w:rsid w:val="008D6D84"/>
    <w:rsid w:val="008D6E2F"/>
    <w:rsid w:val="008D769C"/>
    <w:rsid w:val="008D7D49"/>
    <w:rsid w:val="008E16D3"/>
    <w:rsid w:val="008E3BFC"/>
    <w:rsid w:val="008E5323"/>
    <w:rsid w:val="008E5CB4"/>
    <w:rsid w:val="008E714A"/>
    <w:rsid w:val="008F0D06"/>
    <w:rsid w:val="008F2506"/>
    <w:rsid w:val="008F2952"/>
    <w:rsid w:val="008F53E2"/>
    <w:rsid w:val="008F685E"/>
    <w:rsid w:val="0090184C"/>
    <w:rsid w:val="00902525"/>
    <w:rsid w:val="009029F3"/>
    <w:rsid w:val="00902A77"/>
    <w:rsid w:val="00902AB1"/>
    <w:rsid w:val="00902CEE"/>
    <w:rsid w:val="009055D3"/>
    <w:rsid w:val="0090767E"/>
    <w:rsid w:val="00907F07"/>
    <w:rsid w:val="009118FB"/>
    <w:rsid w:val="00911C3F"/>
    <w:rsid w:val="009120B5"/>
    <w:rsid w:val="009121DE"/>
    <w:rsid w:val="0091266D"/>
    <w:rsid w:val="00912901"/>
    <w:rsid w:val="00912F97"/>
    <w:rsid w:val="009150F5"/>
    <w:rsid w:val="009153F0"/>
    <w:rsid w:val="00916706"/>
    <w:rsid w:val="0091731E"/>
    <w:rsid w:val="00917C2A"/>
    <w:rsid w:val="00920163"/>
    <w:rsid w:val="009212B1"/>
    <w:rsid w:val="00922555"/>
    <w:rsid w:val="00923C7F"/>
    <w:rsid w:val="009326A9"/>
    <w:rsid w:val="009342D0"/>
    <w:rsid w:val="00934804"/>
    <w:rsid w:val="00935413"/>
    <w:rsid w:val="00937A36"/>
    <w:rsid w:val="009401BF"/>
    <w:rsid w:val="00940CA4"/>
    <w:rsid w:val="00942786"/>
    <w:rsid w:val="00942A90"/>
    <w:rsid w:val="00942F8A"/>
    <w:rsid w:val="0094535F"/>
    <w:rsid w:val="009461A7"/>
    <w:rsid w:val="0094714B"/>
    <w:rsid w:val="00947444"/>
    <w:rsid w:val="009508D0"/>
    <w:rsid w:val="00950BF2"/>
    <w:rsid w:val="009519D1"/>
    <w:rsid w:val="00952B3F"/>
    <w:rsid w:val="00953207"/>
    <w:rsid w:val="00953665"/>
    <w:rsid w:val="009552CE"/>
    <w:rsid w:val="00955FEC"/>
    <w:rsid w:val="0095677A"/>
    <w:rsid w:val="00960CC2"/>
    <w:rsid w:val="00961A7E"/>
    <w:rsid w:val="00962177"/>
    <w:rsid w:val="009635B9"/>
    <w:rsid w:val="00963602"/>
    <w:rsid w:val="0096419D"/>
    <w:rsid w:val="0096643A"/>
    <w:rsid w:val="009669ED"/>
    <w:rsid w:val="0096770F"/>
    <w:rsid w:val="0097123E"/>
    <w:rsid w:val="00971B78"/>
    <w:rsid w:val="0097272E"/>
    <w:rsid w:val="0097354D"/>
    <w:rsid w:val="00973586"/>
    <w:rsid w:val="009738B5"/>
    <w:rsid w:val="00974BEB"/>
    <w:rsid w:val="00975D49"/>
    <w:rsid w:val="00976A09"/>
    <w:rsid w:val="00980E0E"/>
    <w:rsid w:val="00981C1F"/>
    <w:rsid w:val="009820EF"/>
    <w:rsid w:val="0098440C"/>
    <w:rsid w:val="0098537E"/>
    <w:rsid w:val="00990A0F"/>
    <w:rsid w:val="00991405"/>
    <w:rsid w:val="00992223"/>
    <w:rsid w:val="009927EA"/>
    <w:rsid w:val="0099287B"/>
    <w:rsid w:val="00992F61"/>
    <w:rsid w:val="0099315F"/>
    <w:rsid w:val="0099406A"/>
    <w:rsid w:val="009948AB"/>
    <w:rsid w:val="00994AC5"/>
    <w:rsid w:val="00995385"/>
    <w:rsid w:val="009958C7"/>
    <w:rsid w:val="00997213"/>
    <w:rsid w:val="00997E3A"/>
    <w:rsid w:val="00997F72"/>
    <w:rsid w:val="009A0789"/>
    <w:rsid w:val="009A0DC6"/>
    <w:rsid w:val="009A1023"/>
    <w:rsid w:val="009A1091"/>
    <w:rsid w:val="009A1423"/>
    <w:rsid w:val="009A1C44"/>
    <w:rsid w:val="009A2792"/>
    <w:rsid w:val="009A2BD2"/>
    <w:rsid w:val="009A50D9"/>
    <w:rsid w:val="009A5A3A"/>
    <w:rsid w:val="009A6CB3"/>
    <w:rsid w:val="009B0775"/>
    <w:rsid w:val="009B134A"/>
    <w:rsid w:val="009B1B49"/>
    <w:rsid w:val="009B28B3"/>
    <w:rsid w:val="009B3F7D"/>
    <w:rsid w:val="009B4504"/>
    <w:rsid w:val="009B48B9"/>
    <w:rsid w:val="009B56CC"/>
    <w:rsid w:val="009B6897"/>
    <w:rsid w:val="009B6C2D"/>
    <w:rsid w:val="009B7B99"/>
    <w:rsid w:val="009C09DD"/>
    <w:rsid w:val="009C1316"/>
    <w:rsid w:val="009C13D0"/>
    <w:rsid w:val="009C260B"/>
    <w:rsid w:val="009C33ED"/>
    <w:rsid w:val="009C4269"/>
    <w:rsid w:val="009C7105"/>
    <w:rsid w:val="009C74C3"/>
    <w:rsid w:val="009D06CC"/>
    <w:rsid w:val="009D1934"/>
    <w:rsid w:val="009D22B3"/>
    <w:rsid w:val="009D32C5"/>
    <w:rsid w:val="009D39D8"/>
    <w:rsid w:val="009D3D7A"/>
    <w:rsid w:val="009D4DCD"/>
    <w:rsid w:val="009D6286"/>
    <w:rsid w:val="009D644E"/>
    <w:rsid w:val="009E00B8"/>
    <w:rsid w:val="009E0D36"/>
    <w:rsid w:val="009E139D"/>
    <w:rsid w:val="009E1B42"/>
    <w:rsid w:val="009E2090"/>
    <w:rsid w:val="009E26BF"/>
    <w:rsid w:val="009E29ED"/>
    <w:rsid w:val="009E2A59"/>
    <w:rsid w:val="009E35D2"/>
    <w:rsid w:val="009E4AF2"/>
    <w:rsid w:val="009E4F3F"/>
    <w:rsid w:val="009E5327"/>
    <w:rsid w:val="009E5AE5"/>
    <w:rsid w:val="009E5CD1"/>
    <w:rsid w:val="009E692D"/>
    <w:rsid w:val="009E7D25"/>
    <w:rsid w:val="009F076B"/>
    <w:rsid w:val="009F0DD8"/>
    <w:rsid w:val="009F14B2"/>
    <w:rsid w:val="009F1F70"/>
    <w:rsid w:val="009F247C"/>
    <w:rsid w:val="009F2694"/>
    <w:rsid w:val="009F56FE"/>
    <w:rsid w:val="009F600A"/>
    <w:rsid w:val="009F6989"/>
    <w:rsid w:val="00A014E2"/>
    <w:rsid w:val="00A03D2F"/>
    <w:rsid w:val="00A04A47"/>
    <w:rsid w:val="00A06402"/>
    <w:rsid w:val="00A0694D"/>
    <w:rsid w:val="00A07465"/>
    <w:rsid w:val="00A07F71"/>
    <w:rsid w:val="00A10FF4"/>
    <w:rsid w:val="00A1210F"/>
    <w:rsid w:val="00A12310"/>
    <w:rsid w:val="00A1327C"/>
    <w:rsid w:val="00A13727"/>
    <w:rsid w:val="00A138CB"/>
    <w:rsid w:val="00A14503"/>
    <w:rsid w:val="00A15976"/>
    <w:rsid w:val="00A1721C"/>
    <w:rsid w:val="00A17E62"/>
    <w:rsid w:val="00A20052"/>
    <w:rsid w:val="00A20420"/>
    <w:rsid w:val="00A210FA"/>
    <w:rsid w:val="00A21E5B"/>
    <w:rsid w:val="00A22132"/>
    <w:rsid w:val="00A24F11"/>
    <w:rsid w:val="00A25DF9"/>
    <w:rsid w:val="00A26AE2"/>
    <w:rsid w:val="00A275CB"/>
    <w:rsid w:val="00A2787D"/>
    <w:rsid w:val="00A31C34"/>
    <w:rsid w:val="00A33966"/>
    <w:rsid w:val="00A33A40"/>
    <w:rsid w:val="00A33D6F"/>
    <w:rsid w:val="00A343DD"/>
    <w:rsid w:val="00A34834"/>
    <w:rsid w:val="00A36F82"/>
    <w:rsid w:val="00A373C3"/>
    <w:rsid w:val="00A376F3"/>
    <w:rsid w:val="00A400A9"/>
    <w:rsid w:val="00A41ACB"/>
    <w:rsid w:val="00A4201A"/>
    <w:rsid w:val="00A425FD"/>
    <w:rsid w:val="00A43FCE"/>
    <w:rsid w:val="00A44D8E"/>
    <w:rsid w:val="00A45749"/>
    <w:rsid w:val="00A47AA6"/>
    <w:rsid w:val="00A50702"/>
    <w:rsid w:val="00A50828"/>
    <w:rsid w:val="00A51678"/>
    <w:rsid w:val="00A51FEF"/>
    <w:rsid w:val="00A53DEE"/>
    <w:rsid w:val="00A56CA9"/>
    <w:rsid w:val="00A6249F"/>
    <w:rsid w:val="00A627E4"/>
    <w:rsid w:val="00A62976"/>
    <w:rsid w:val="00A63CAC"/>
    <w:rsid w:val="00A64EE4"/>
    <w:rsid w:val="00A66AE8"/>
    <w:rsid w:val="00A674EC"/>
    <w:rsid w:val="00A67AEE"/>
    <w:rsid w:val="00A70454"/>
    <w:rsid w:val="00A7047C"/>
    <w:rsid w:val="00A71BE1"/>
    <w:rsid w:val="00A71D8A"/>
    <w:rsid w:val="00A7397D"/>
    <w:rsid w:val="00A74CB8"/>
    <w:rsid w:val="00A7523D"/>
    <w:rsid w:val="00A75984"/>
    <w:rsid w:val="00A75B8B"/>
    <w:rsid w:val="00A76358"/>
    <w:rsid w:val="00A773C7"/>
    <w:rsid w:val="00A77B52"/>
    <w:rsid w:val="00A8009D"/>
    <w:rsid w:val="00A802E4"/>
    <w:rsid w:val="00A81097"/>
    <w:rsid w:val="00A81EB3"/>
    <w:rsid w:val="00A8381D"/>
    <w:rsid w:val="00A8394B"/>
    <w:rsid w:val="00A84E42"/>
    <w:rsid w:val="00A86AEC"/>
    <w:rsid w:val="00A86CF0"/>
    <w:rsid w:val="00A87311"/>
    <w:rsid w:val="00A87F86"/>
    <w:rsid w:val="00A90BA3"/>
    <w:rsid w:val="00A92ADD"/>
    <w:rsid w:val="00A9383F"/>
    <w:rsid w:val="00A94533"/>
    <w:rsid w:val="00A94714"/>
    <w:rsid w:val="00A947BB"/>
    <w:rsid w:val="00A94D34"/>
    <w:rsid w:val="00A94EFE"/>
    <w:rsid w:val="00A95BAE"/>
    <w:rsid w:val="00A96C5E"/>
    <w:rsid w:val="00A97F1F"/>
    <w:rsid w:val="00AA0B75"/>
    <w:rsid w:val="00AA124F"/>
    <w:rsid w:val="00AA19FC"/>
    <w:rsid w:val="00AA27D1"/>
    <w:rsid w:val="00AA298C"/>
    <w:rsid w:val="00AA3017"/>
    <w:rsid w:val="00AA3FD0"/>
    <w:rsid w:val="00AA6EA9"/>
    <w:rsid w:val="00AA6FDA"/>
    <w:rsid w:val="00AA75D7"/>
    <w:rsid w:val="00AB0F31"/>
    <w:rsid w:val="00AB1882"/>
    <w:rsid w:val="00AB2DE1"/>
    <w:rsid w:val="00AB3D7A"/>
    <w:rsid w:val="00AB42A8"/>
    <w:rsid w:val="00AB5286"/>
    <w:rsid w:val="00AB5597"/>
    <w:rsid w:val="00AC04A9"/>
    <w:rsid w:val="00AC0C31"/>
    <w:rsid w:val="00AC0FCE"/>
    <w:rsid w:val="00AC157E"/>
    <w:rsid w:val="00AC1B96"/>
    <w:rsid w:val="00AC1C18"/>
    <w:rsid w:val="00AC2A34"/>
    <w:rsid w:val="00AC4F5F"/>
    <w:rsid w:val="00AC506F"/>
    <w:rsid w:val="00AC6AB3"/>
    <w:rsid w:val="00AC6E24"/>
    <w:rsid w:val="00AD0214"/>
    <w:rsid w:val="00AD0702"/>
    <w:rsid w:val="00AD0D87"/>
    <w:rsid w:val="00AD65C8"/>
    <w:rsid w:val="00AD6A96"/>
    <w:rsid w:val="00AD711E"/>
    <w:rsid w:val="00AD7227"/>
    <w:rsid w:val="00AE0069"/>
    <w:rsid w:val="00AE023F"/>
    <w:rsid w:val="00AE17C4"/>
    <w:rsid w:val="00AE243E"/>
    <w:rsid w:val="00AE2A89"/>
    <w:rsid w:val="00AE3F15"/>
    <w:rsid w:val="00AE55CA"/>
    <w:rsid w:val="00AE60A2"/>
    <w:rsid w:val="00AE741A"/>
    <w:rsid w:val="00AE7705"/>
    <w:rsid w:val="00AE7721"/>
    <w:rsid w:val="00AF04A9"/>
    <w:rsid w:val="00AF0C57"/>
    <w:rsid w:val="00AF0EBA"/>
    <w:rsid w:val="00AF1442"/>
    <w:rsid w:val="00AF1ADD"/>
    <w:rsid w:val="00AF2F1F"/>
    <w:rsid w:val="00AF3378"/>
    <w:rsid w:val="00AF566D"/>
    <w:rsid w:val="00AF61C4"/>
    <w:rsid w:val="00AF78DA"/>
    <w:rsid w:val="00AF7CA4"/>
    <w:rsid w:val="00B0008D"/>
    <w:rsid w:val="00B004AE"/>
    <w:rsid w:val="00B01568"/>
    <w:rsid w:val="00B0314A"/>
    <w:rsid w:val="00B03B6C"/>
    <w:rsid w:val="00B047C3"/>
    <w:rsid w:val="00B04E5D"/>
    <w:rsid w:val="00B0632C"/>
    <w:rsid w:val="00B06516"/>
    <w:rsid w:val="00B06870"/>
    <w:rsid w:val="00B06AAA"/>
    <w:rsid w:val="00B07367"/>
    <w:rsid w:val="00B07A60"/>
    <w:rsid w:val="00B07AE4"/>
    <w:rsid w:val="00B128FB"/>
    <w:rsid w:val="00B13410"/>
    <w:rsid w:val="00B14DDC"/>
    <w:rsid w:val="00B15303"/>
    <w:rsid w:val="00B16B06"/>
    <w:rsid w:val="00B17248"/>
    <w:rsid w:val="00B1776B"/>
    <w:rsid w:val="00B179DE"/>
    <w:rsid w:val="00B21047"/>
    <w:rsid w:val="00B2162B"/>
    <w:rsid w:val="00B2190E"/>
    <w:rsid w:val="00B21F86"/>
    <w:rsid w:val="00B23F0E"/>
    <w:rsid w:val="00B23F73"/>
    <w:rsid w:val="00B2424D"/>
    <w:rsid w:val="00B258AA"/>
    <w:rsid w:val="00B25EB9"/>
    <w:rsid w:val="00B27BE8"/>
    <w:rsid w:val="00B27F07"/>
    <w:rsid w:val="00B3052B"/>
    <w:rsid w:val="00B30CB1"/>
    <w:rsid w:val="00B31041"/>
    <w:rsid w:val="00B316CF"/>
    <w:rsid w:val="00B32412"/>
    <w:rsid w:val="00B32D46"/>
    <w:rsid w:val="00B3323D"/>
    <w:rsid w:val="00B339CB"/>
    <w:rsid w:val="00B33AFD"/>
    <w:rsid w:val="00B33F80"/>
    <w:rsid w:val="00B35C5D"/>
    <w:rsid w:val="00B35F0C"/>
    <w:rsid w:val="00B36753"/>
    <w:rsid w:val="00B36BB8"/>
    <w:rsid w:val="00B36E1C"/>
    <w:rsid w:val="00B37526"/>
    <w:rsid w:val="00B407B2"/>
    <w:rsid w:val="00B40ED6"/>
    <w:rsid w:val="00B41BEE"/>
    <w:rsid w:val="00B41DAF"/>
    <w:rsid w:val="00B41F0C"/>
    <w:rsid w:val="00B42AC0"/>
    <w:rsid w:val="00B4524D"/>
    <w:rsid w:val="00B45F6E"/>
    <w:rsid w:val="00B4632E"/>
    <w:rsid w:val="00B5026E"/>
    <w:rsid w:val="00B510FB"/>
    <w:rsid w:val="00B5192B"/>
    <w:rsid w:val="00B51B42"/>
    <w:rsid w:val="00B5216C"/>
    <w:rsid w:val="00B52555"/>
    <w:rsid w:val="00B5291B"/>
    <w:rsid w:val="00B54751"/>
    <w:rsid w:val="00B550EB"/>
    <w:rsid w:val="00B553CA"/>
    <w:rsid w:val="00B55631"/>
    <w:rsid w:val="00B5687F"/>
    <w:rsid w:val="00B57226"/>
    <w:rsid w:val="00B57470"/>
    <w:rsid w:val="00B57C5F"/>
    <w:rsid w:val="00B57D5F"/>
    <w:rsid w:val="00B57E89"/>
    <w:rsid w:val="00B61ECD"/>
    <w:rsid w:val="00B62616"/>
    <w:rsid w:val="00B6288F"/>
    <w:rsid w:val="00B62907"/>
    <w:rsid w:val="00B6292B"/>
    <w:rsid w:val="00B6652C"/>
    <w:rsid w:val="00B67CCA"/>
    <w:rsid w:val="00B703DC"/>
    <w:rsid w:val="00B72D81"/>
    <w:rsid w:val="00B72FC6"/>
    <w:rsid w:val="00B75B33"/>
    <w:rsid w:val="00B76959"/>
    <w:rsid w:val="00B76BD6"/>
    <w:rsid w:val="00B808E6"/>
    <w:rsid w:val="00B8425A"/>
    <w:rsid w:val="00B84E00"/>
    <w:rsid w:val="00B85C5F"/>
    <w:rsid w:val="00B86FD4"/>
    <w:rsid w:val="00B873CD"/>
    <w:rsid w:val="00B878B3"/>
    <w:rsid w:val="00B87EC9"/>
    <w:rsid w:val="00B90153"/>
    <w:rsid w:val="00B9065F"/>
    <w:rsid w:val="00B91DCD"/>
    <w:rsid w:val="00B954BD"/>
    <w:rsid w:val="00B95DA6"/>
    <w:rsid w:val="00B96479"/>
    <w:rsid w:val="00BA083F"/>
    <w:rsid w:val="00BA0D7B"/>
    <w:rsid w:val="00BA5348"/>
    <w:rsid w:val="00BA652E"/>
    <w:rsid w:val="00BA66D5"/>
    <w:rsid w:val="00BA6ECE"/>
    <w:rsid w:val="00BA6F9C"/>
    <w:rsid w:val="00BA7849"/>
    <w:rsid w:val="00BB2653"/>
    <w:rsid w:val="00BB27FD"/>
    <w:rsid w:val="00BB3B4C"/>
    <w:rsid w:val="00BB3D7E"/>
    <w:rsid w:val="00BB501E"/>
    <w:rsid w:val="00BB5258"/>
    <w:rsid w:val="00BB5631"/>
    <w:rsid w:val="00BB60F1"/>
    <w:rsid w:val="00BB6E76"/>
    <w:rsid w:val="00BB7022"/>
    <w:rsid w:val="00BC0DAE"/>
    <w:rsid w:val="00BC1E55"/>
    <w:rsid w:val="00BC2697"/>
    <w:rsid w:val="00BC2CC2"/>
    <w:rsid w:val="00BC3F2B"/>
    <w:rsid w:val="00BC51EC"/>
    <w:rsid w:val="00BC52C1"/>
    <w:rsid w:val="00BC5399"/>
    <w:rsid w:val="00BC761B"/>
    <w:rsid w:val="00BC7B34"/>
    <w:rsid w:val="00BC7F7D"/>
    <w:rsid w:val="00BD0203"/>
    <w:rsid w:val="00BD0711"/>
    <w:rsid w:val="00BD0934"/>
    <w:rsid w:val="00BD3125"/>
    <w:rsid w:val="00BD3266"/>
    <w:rsid w:val="00BD50BE"/>
    <w:rsid w:val="00BD5268"/>
    <w:rsid w:val="00BD55E6"/>
    <w:rsid w:val="00BD5A9E"/>
    <w:rsid w:val="00BD6598"/>
    <w:rsid w:val="00BD7C5F"/>
    <w:rsid w:val="00BD7F52"/>
    <w:rsid w:val="00BE0E3B"/>
    <w:rsid w:val="00BE1BC4"/>
    <w:rsid w:val="00BE2AE3"/>
    <w:rsid w:val="00BE2B58"/>
    <w:rsid w:val="00BE3520"/>
    <w:rsid w:val="00BE3BB3"/>
    <w:rsid w:val="00BE3F49"/>
    <w:rsid w:val="00BE4A65"/>
    <w:rsid w:val="00BE4DA0"/>
    <w:rsid w:val="00BE61E7"/>
    <w:rsid w:val="00BE6334"/>
    <w:rsid w:val="00BE728B"/>
    <w:rsid w:val="00BE7F05"/>
    <w:rsid w:val="00BF1E2D"/>
    <w:rsid w:val="00BF2BAA"/>
    <w:rsid w:val="00BF2D99"/>
    <w:rsid w:val="00BF3DE6"/>
    <w:rsid w:val="00BF3FBE"/>
    <w:rsid w:val="00BF410D"/>
    <w:rsid w:val="00BF54C6"/>
    <w:rsid w:val="00BF57B0"/>
    <w:rsid w:val="00BF64A1"/>
    <w:rsid w:val="00BF6A7E"/>
    <w:rsid w:val="00C00ACD"/>
    <w:rsid w:val="00C00CFA"/>
    <w:rsid w:val="00C02D4A"/>
    <w:rsid w:val="00C0552E"/>
    <w:rsid w:val="00C05CDA"/>
    <w:rsid w:val="00C05E5E"/>
    <w:rsid w:val="00C0749E"/>
    <w:rsid w:val="00C07E5C"/>
    <w:rsid w:val="00C07EC2"/>
    <w:rsid w:val="00C10426"/>
    <w:rsid w:val="00C11B27"/>
    <w:rsid w:val="00C126D7"/>
    <w:rsid w:val="00C1368E"/>
    <w:rsid w:val="00C1499B"/>
    <w:rsid w:val="00C16892"/>
    <w:rsid w:val="00C17C20"/>
    <w:rsid w:val="00C17E68"/>
    <w:rsid w:val="00C20102"/>
    <w:rsid w:val="00C20D30"/>
    <w:rsid w:val="00C21502"/>
    <w:rsid w:val="00C242A9"/>
    <w:rsid w:val="00C24488"/>
    <w:rsid w:val="00C24D41"/>
    <w:rsid w:val="00C25CBF"/>
    <w:rsid w:val="00C25F4D"/>
    <w:rsid w:val="00C26241"/>
    <w:rsid w:val="00C26C9A"/>
    <w:rsid w:val="00C272B2"/>
    <w:rsid w:val="00C32521"/>
    <w:rsid w:val="00C33648"/>
    <w:rsid w:val="00C33B29"/>
    <w:rsid w:val="00C34167"/>
    <w:rsid w:val="00C341CA"/>
    <w:rsid w:val="00C3541F"/>
    <w:rsid w:val="00C361C3"/>
    <w:rsid w:val="00C36314"/>
    <w:rsid w:val="00C36B37"/>
    <w:rsid w:val="00C36CE1"/>
    <w:rsid w:val="00C37747"/>
    <w:rsid w:val="00C42C1D"/>
    <w:rsid w:val="00C42DC9"/>
    <w:rsid w:val="00C44D68"/>
    <w:rsid w:val="00C44E23"/>
    <w:rsid w:val="00C45A0F"/>
    <w:rsid w:val="00C464FF"/>
    <w:rsid w:val="00C466B1"/>
    <w:rsid w:val="00C4720E"/>
    <w:rsid w:val="00C47A47"/>
    <w:rsid w:val="00C47C14"/>
    <w:rsid w:val="00C52258"/>
    <w:rsid w:val="00C5254B"/>
    <w:rsid w:val="00C52FC0"/>
    <w:rsid w:val="00C534DD"/>
    <w:rsid w:val="00C54C01"/>
    <w:rsid w:val="00C55390"/>
    <w:rsid w:val="00C55E22"/>
    <w:rsid w:val="00C57CA7"/>
    <w:rsid w:val="00C60880"/>
    <w:rsid w:val="00C60A00"/>
    <w:rsid w:val="00C61344"/>
    <w:rsid w:val="00C61B58"/>
    <w:rsid w:val="00C6297E"/>
    <w:rsid w:val="00C62CDC"/>
    <w:rsid w:val="00C64764"/>
    <w:rsid w:val="00C64D07"/>
    <w:rsid w:val="00C65A7D"/>
    <w:rsid w:val="00C66E95"/>
    <w:rsid w:val="00C66FDD"/>
    <w:rsid w:val="00C67888"/>
    <w:rsid w:val="00C70565"/>
    <w:rsid w:val="00C70DDE"/>
    <w:rsid w:val="00C71212"/>
    <w:rsid w:val="00C7431C"/>
    <w:rsid w:val="00C7689D"/>
    <w:rsid w:val="00C77059"/>
    <w:rsid w:val="00C77BCD"/>
    <w:rsid w:val="00C80063"/>
    <w:rsid w:val="00C81545"/>
    <w:rsid w:val="00C81701"/>
    <w:rsid w:val="00C82D29"/>
    <w:rsid w:val="00C83853"/>
    <w:rsid w:val="00C83EFB"/>
    <w:rsid w:val="00C840DF"/>
    <w:rsid w:val="00C85721"/>
    <w:rsid w:val="00C859C7"/>
    <w:rsid w:val="00C85E5B"/>
    <w:rsid w:val="00C8762A"/>
    <w:rsid w:val="00C879FD"/>
    <w:rsid w:val="00C9131B"/>
    <w:rsid w:val="00C913A9"/>
    <w:rsid w:val="00C92178"/>
    <w:rsid w:val="00C9334D"/>
    <w:rsid w:val="00C9463F"/>
    <w:rsid w:val="00C953D3"/>
    <w:rsid w:val="00C956CD"/>
    <w:rsid w:val="00C95E28"/>
    <w:rsid w:val="00C96492"/>
    <w:rsid w:val="00C96EE2"/>
    <w:rsid w:val="00C96F0F"/>
    <w:rsid w:val="00CA0EB3"/>
    <w:rsid w:val="00CA35F2"/>
    <w:rsid w:val="00CA38B9"/>
    <w:rsid w:val="00CA52EA"/>
    <w:rsid w:val="00CA5710"/>
    <w:rsid w:val="00CA6C9B"/>
    <w:rsid w:val="00CA7383"/>
    <w:rsid w:val="00CB033C"/>
    <w:rsid w:val="00CB0A58"/>
    <w:rsid w:val="00CB1508"/>
    <w:rsid w:val="00CB1828"/>
    <w:rsid w:val="00CB20BD"/>
    <w:rsid w:val="00CB2C1A"/>
    <w:rsid w:val="00CB3CC7"/>
    <w:rsid w:val="00CB3DAF"/>
    <w:rsid w:val="00CB4C33"/>
    <w:rsid w:val="00CB4D11"/>
    <w:rsid w:val="00CB57FD"/>
    <w:rsid w:val="00CB631A"/>
    <w:rsid w:val="00CB6E0E"/>
    <w:rsid w:val="00CC04DD"/>
    <w:rsid w:val="00CC0862"/>
    <w:rsid w:val="00CC0921"/>
    <w:rsid w:val="00CC0B38"/>
    <w:rsid w:val="00CC1E7D"/>
    <w:rsid w:val="00CC311C"/>
    <w:rsid w:val="00CC31A9"/>
    <w:rsid w:val="00CC52AF"/>
    <w:rsid w:val="00CC629C"/>
    <w:rsid w:val="00CC63D1"/>
    <w:rsid w:val="00CC687F"/>
    <w:rsid w:val="00CC7CF1"/>
    <w:rsid w:val="00CD1070"/>
    <w:rsid w:val="00CD2CB1"/>
    <w:rsid w:val="00CD378F"/>
    <w:rsid w:val="00CD4E6B"/>
    <w:rsid w:val="00CD5DE5"/>
    <w:rsid w:val="00CD5EDA"/>
    <w:rsid w:val="00CD7AA3"/>
    <w:rsid w:val="00CE08DF"/>
    <w:rsid w:val="00CE0B13"/>
    <w:rsid w:val="00CE245D"/>
    <w:rsid w:val="00CE2D6F"/>
    <w:rsid w:val="00CE2E19"/>
    <w:rsid w:val="00CE3DF2"/>
    <w:rsid w:val="00CE3E14"/>
    <w:rsid w:val="00CE5282"/>
    <w:rsid w:val="00CE696A"/>
    <w:rsid w:val="00CE6F0F"/>
    <w:rsid w:val="00CE7598"/>
    <w:rsid w:val="00CF01F8"/>
    <w:rsid w:val="00CF053A"/>
    <w:rsid w:val="00CF248A"/>
    <w:rsid w:val="00CF2E68"/>
    <w:rsid w:val="00CF3550"/>
    <w:rsid w:val="00CF35AB"/>
    <w:rsid w:val="00CF55FF"/>
    <w:rsid w:val="00CF6029"/>
    <w:rsid w:val="00CF6AEA"/>
    <w:rsid w:val="00CF6AFA"/>
    <w:rsid w:val="00D002D0"/>
    <w:rsid w:val="00D01BFD"/>
    <w:rsid w:val="00D0246A"/>
    <w:rsid w:val="00D05174"/>
    <w:rsid w:val="00D05AAD"/>
    <w:rsid w:val="00D05FFB"/>
    <w:rsid w:val="00D060D7"/>
    <w:rsid w:val="00D06C76"/>
    <w:rsid w:val="00D12F4C"/>
    <w:rsid w:val="00D13976"/>
    <w:rsid w:val="00D13DD8"/>
    <w:rsid w:val="00D15187"/>
    <w:rsid w:val="00D1703B"/>
    <w:rsid w:val="00D21081"/>
    <w:rsid w:val="00D212AD"/>
    <w:rsid w:val="00D2180C"/>
    <w:rsid w:val="00D233A7"/>
    <w:rsid w:val="00D25691"/>
    <w:rsid w:val="00D257D4"/>
    <w:rsid w:val="00D274BD"/>
    <w:rsid w:val="00D30B06"/>
    <w:rsid w:val="00D314A1"/>
    <w:rsid w:val="00D3276D"/>
    <w:rsid w:val="00D32FB1"/>
    <w:rsid w:val="00D33666"/>
    <w:rsid w:val="00D3428E"/>
    <w:rsid w:val="00D34C69"/>
    <w:rsid w:val="00D361B1"/>
    <w:rsid w:val="00D43145"/>
    <w:rsid w:val="00D439D1"/>
    <w:rsid w:val="00D43DB3"/>
    <w:rsid w:val="00D448E9"/>
    <w:rsid w:val="00D44A60"/>
    <w:rsid w:val="00D44C7E"/>
    <w:rsid w:val="00D46C47"/>
    <w:rsid w:val="00D46D1E"/>
    <w:rsid w:val="00D5166F"/>
    <w:rsid w:val="00D532DA"/>
    <w:rsid w:val="00D5376E"/>
    <w:rsid w:val="00D53B2C"/>
    <w:rsid w:val="00D53D06"/>
    <w:rsid w:val="00D56CD1"/>
    <w:rsid w:val="00D576CB"/>
    <w:rsid w:val="00D57A91"/>
    <w:rsid w:val="00D6035D"/>
    <w:rsid w:val="00D6058A"/>
    <w:rsid w:val="00D60773"/>
    <w:rsid w:val="00D60D0B"/>
    <w:rsid w:val="00D60F91"/>
    <w:rsid w:val="00D61199"/>
    <w:rsid w:val="00D61BA6"/>
    <w:rsid w:val="00D62072"/>
    <w:rsid w:val="00D623A2"/>
    <w:rsid w:val="00D623CE"/>
    <w:rsid w:val="00D63C83"/>
    <w:rsid w:val="00D63F3C"/>
    <w:rsid w:val="00D651ED"/>
    <w:rsid w:val="00D6734B"/>
    <w:rsid w:val="00D70305"/>
    <w:rsid w:val="00D70AA6"/>
    <w:rsid w:val="00D70B1F"/>
    <w:rsid w:val="00D71AC2"/>
    <w:rsid w:val="00D71C66"/>
    <w:rsid w:val="00D72110"/>
    <w:rsid w:val="00D72271"/>
    <w:rsid w:val="00D7258D"/>
    <w:rsid w:val="00D738FC"/>
    <w:rsid w:val="00D73E17"/>
    <w:rsid w:val="00D73FD5"/>
    <w:rsid w:val="00D742C9"/>
    <w:rsid w:val="00D745A4"/>
    <w:rsid w:val="00D75303"/>
    <w:rsid w:val="00D75B7F"/>
    <w:rsid w:val="00D808BC"/>
    <w:rsid w:val="00D80C7A"/>
    <w:rsid w:val="00D80DBB"/>
    <w:rsid w:val="00D813FA"/>
    <w:rsid w:val="00D81E51"/>
    <w:rsid w:val="00D84E65"/>
    <w:rsid w:val="00D85334"/>
    <w:rsid w:val="00D85368"/>
    <w:rsid w:val="00D855EF"/>
    <w:rsid w:val="00D85C16"/>
    <w:rsid w:val="00D86A13"/>
    <w:rsid w:val="00D87B50"/>
    <w:rsid w:val="00D91886"/>
    <w:rsid w:val="00D9397A"/>
    <w:rsid w:val="00D94004"/>
    <w:rsid w:val="00D94C92"/>
    <w:rsid w:val="00D95356"/>
    <w:rsid w:val="00D95BA8"/>
    <w:rsid w:val="00D96C0E"/>
    <w:rsid w:val="00DA054C"/>
    <w:rsid w:val="00DA12C2"/>
    <w:rsid w:val="00DA30B5"/>
    <w:rsid w:val="00DA333A"/>
    <w:rsid w:val="00DA4412"/>
    <w:rsid w:val="00DA5555"/>
    <w:rsid w:val="00DA602B"/>
    <w:rsid w:val="00DA6896"/>
    <w:rsid w:val="00DA6975"/>
    <w:rsid w:val="00DA7336"/>
    <w:rsid w:val="00DA78C3"/>
    <w:rsid w:val="00DB00A2"/>
    <w:rsid w:val="00DB030B"/>
    <w:rsid w:val="00DB0E9D"/>
    <w:rsid w:val="00DB1AE2"/>
    <w:rsid w:val="00DB20F5"/>
    <w:rsid w:val="00DB2A66"/>
    <w:rsid w:val="00DB30B0"/>
    <w:rsid w:val="00DB3722"/>
    <w:rsid w:val="00DB62D4"/>
    <w:rsid w:val="00DB69D7"/>
    <w:rsid w:val="00DB6F50"/>
    <w:rsid w:val="00DB7A4B"/>
    <w:rsid w:val="00DC0037"/>
    <w:rsid w:val="00DC130D"/>
    <w:rsid w:val="00DC233F"/>
    <w:rsid w:val="00DC285A"/>
    <w:rsid w:val="00DC46B1"/>
    <w:rsid w:val="00DD0E6A"/>
    <w:rsid w:val="00DD10E1"/>
    <w:rsid w:val="00DD2BFC"/>
    <w:rsid w:val="00DD2E54"/>
    <w:rsid w:val="00DD2F5E"/>
    <w:rsid w:val="00DD3D6E"/>
    <w:rsid w:val="00DD416E"/>
    <w:rsid w:val="00DD43C1"/>
    <w:rsid w:val="00DD4760"/>
    <w:rsid w:val="00DD49FB"/>
    <w:rsid w:val="00DD55AA"/>
    <w:rsid w:val="00DD6CAF"/>
    <w:rsid w:val="00DE04F5"/>
    <w:rsid w:val="00DE3940"/>
    <w:rsid w:val="00DE5513"/>
    <w:rsid w:val="00DE5621"/>
    <w:rsid w:val="00DE59CE"/>
    <w:rsid w:val="00DE683A"/>
    <w:rsid w:val="00DF058D"/>
    <w:rsid w:val="00DF0872"/>
    <w:rsid w:val="00DF1864"/>
    <w:rsid w:val="00DF212F"/>
    <w:rsid w:val="00DF2C13"/>
    <w:rsid w:val="00DF38FF"/>
    <w:rsid w:val="00DF4A0C"/>
    <w:rsid w:val="00DF4C1D"/>
    <w:rsid w:val="00DF4DC4"/>
    <w:rsid w:val="00DF5880"/>
    <w:rsid w:val="00DF6EEA"/>
    <w:rsid w:val="00DF7985"/>
    <w:rsid w:val="00E00CDE"/>
    <w:rsid w:val="00E01D15"/>
    <w:rsid w:val="00E02119"/>
    <w:rsid w:val="00E026D1"/>
    <w:rsid w:val="00E03116"/>
    <w:rsid w:val="00E03281"/>
    <w:rsid w:val="00E0398E"/>
    <w:rsid w:val="00E044B8"/>
    <w:rsid w:val="00E04647"/>
    <w:rsid w:val="00E047E9"/>
    <w:rsid w:val="00E04C94"/>
    <w:rsid w:val="00E05399"/>
    <w:rsid w:val="00E055C6"/>
    <w:rsid w:val="00E05A94"/>
    <w:rsid w:val="00E06034"/>
    <w:rsid w:val="00E069EF"/>
    <w:rsid w:val="00E07B52"/>
    <w:rsid w:val="00E10FA4"/>
    <w:rsid w:val="00E14482"/>
    <w:rsid w:val="00E1466D"/>
    <w:rsid w:val="00E1507E"/>
    <w:rsid w:val="00E16D4C"/>
    <w:rsid w:val="00E172D7"/>
    <w:rsid w:val="00E20C80"/>
    <w:rsid w:val="00E2103C"/>
    <w:rsid w:val="00E21DE5"/>
    <w:rsid w:val="00E22594"/>
    <w:rsid w:val="00E23544"/>
    <w:rsid w:val="00E26283"/>
    <w:rsid w:val="00E26565"/>
    <w:rsid w:val="00E26EEC"/>
    <w:rsid w:val="00E3079A"/>
    <w:rsid w:val="00E30CC3"/>
    <w:rsid w:val="00E33133"/>
    <w:rsid w:val="00E336FF"/>
    <w:rsid w:val="00E33FCF"/>
    <w:rsid w:val="00E353A1"/>
    <w:rsid w:val="00E364B2"/>
    <w:rsid w:val="00E3663A"/>
    <w:rsid w:val="00E4074B"/>
    <w:rsid w:val="00E4103C"/>
    <w:rsid w:val="00E42A76"/>
    <w:rsid w:val="00E44524"/>
    <w:rsid w:val="00E44C22"/>
    <w:rsid w:val="00E453CA"/>
    <w:rsid w:val="00E4656B"/>
    <w:rsid w:val="00E466BA"/>
    <w:rsid w:val="00E46716"/>
    <w:rsid w:val="00E46AA4"/>
    <w:rsid w:val="00E47A0E"/>
    <w:rsid w:val="00E50080"/>
    <w:rsid w:val="00E51209"/>
    <w:rsid w:val="00E52C15"/>
    <w:rsid w:val="00E543CC"/>
    <w:rsid w:val="00E555C7"/>
    <w:rsid w:val="00E55C9E"/>
    <w:rsid w:val="00E5615E"/>
    <w:rsid w:val="00E56AC7"/>
    <w:rsid w:val="00E57114"/>
    <w:rsid w:val="00E57F6C"/>
    <w:rsid w:val="00E6154E"/>
    <w:rsid w:val="00E616B6"/>
    <w:rsid w:val="00E647C5"/>
    <w:rsid w:val="00E66521"/>
    <w:rsid w:val="00E66FD9"/>
    <w:rsid w:val="00E67BB8"/>
    <w:rsid w:val="00E67C0C"/>
    <w:rsid w:val="00E70948"/>
    <w:rsid w:val="00E70EC4"/>
    <w:rsid w:val="00E71A49"/>
    <w:rsid w:val="00E72F0B"/>
    <w:rsid w:val="00E73535"/>
    <w:rsid w:val="00E739EB"/>
    <w:rsid w:val="00E741B5"/>
    <w:rsid w:val="00E7436D"/>
    <w:rsid w:val="00E74424"/>
    <w:rsid w:val="00E75469"/>
    <w:rsid w:val="00E75EA8"/>
    <w:rsid w:val="00E7720D"/>
    <w:rsid w:val="00E7744D"/>
    <w:rsid w:val="00E776CD"/>
    <w:rsid w:val="00E77712"/>
    <w:rsid w:val="00E801CC"/>
    <w:rsid w:val="00E80AA6"/>
    <w:rsid w:val="00E8210A"/>
    <w:rsid w:val="00E83394"/>
    <w:rsid w:val="00E84190"/>
    <w:rsid w:val="00E848EA"/>
    <w:rsid w:val="00E84E33"/>
    <w:rsid w:val="00E85F3F"/>
    <w:rsid w:val="00E86C5C"/>
    <w:rsid w:val="00E87FF1"/>
    <w:rsid w:val="00E90B8F"/>
    <w:rsid w:val="00E91A71"/>
    <w:rsid w:val="00E920A1"/>
    <w:rsid w:val="00E92641"/>
    <w:rsid w:val="00E928BE"/>
    <w:rsid w:val="00E93152"/>
    <w:rsid w:val="00E93C7E"/>
    <w:rsid w:val="00E949CE"/>
    <w:rsid w:val="00E94C78"/>
    <w:rsid w:val="00E958F3"/>
    <w:rsid w:val="00E9591F"/>
    <w:rsid w:val="00E95943"/>
    <w:rsid w:val="00E9798B"/>
    <w:rsid w:val="00EA037C"/>
    <w:rsid w:val="00EA14DA"/>
    <w:rsid w:val="00EA215A"/>
    <w:rsid w:val="00EA2382"/>
    <w:rsid w:val="00EA35DD"/>
    <w:rsid w:val="00EA37A8"/>
    <w:rsid w:val="00EA49F7"/>
    <w:rsid w:val="00EA51A0"/>
    <w:rsid w:val="00EA5C1D"/>
    <w:rsid w:val="00EA6171"/>
    <w:rsid w:val="00EA72BB"/>
    <w:rsid w:val="00EA78AA"/>
    <w:rsid w:val="00EB0603"/>
    <w:rsid w:val="00EB0E41"/>
    <w:rsid w:val="00EB19AB"/>
    <w:rsid w:val="00EB1AA4"/>
    <w:rsid w:val="00EB3457"/>
    <w:rsid w:val="00EB461F"/>
    <w:rsid w:val="00EB5833"/>
    <w:rsid w:val="00EB76CB"/>
    <w:rsid w:val="00EB7E5A"/>
    <w:rsid w:val="00EC3235"/>
    <w:rsid w:val="00EC412F"/>
    <w:rsid w:val="00EC43D6"/>
    <w:rsid w:val="00EC53D4"/>
    <w:rsid w:val="00EC5F32"/>
    <w:rsid w:val="00EC630F"/>
    <w:rsid w:val="00EC6E2E"/>
    <w:rsid w:val="00EC6F5C"/>
    <w:rsid w:val="00EC7543"/>
    <w:rsid w:val="00ED01FB"/>
    <w:rsid w:val="00ED2369"/>
    <w:rsid w:val="00ED2388"/>
    <w:rsid w:val="00ED29FA"/>
    <w:rsid w:val="00ED4070"/>
    <w:rsid w:val="00ED493A"/>
    <w:rsid w:val="00ED65F7"/>
    <w:rsid w:val="00ED716C"/>
    <w:rsid w:val="00EE08B5"/>
    <w:rsid w:val="00EE08D8"/>
    <w:rsid w:val="00EE0A39"/>
    <w:rsid w:val="00EE15C8"/>
    <w:rsid w:val="00EE2371"/>
    <w:rsid w:val="00EE2B96"/>
    <w:rsid w:val="00EE3373"/>
    <w:rsid w:val="00EE5010"/>
    <w:rsid w:val="00EE61FE"/>
    <w:rsid w:val="00EE6B2C"/>
    <w:rsid w:val="00EE767C"/>
    <w:rsid w:val="00EE7D06"/>
    <w:rsid w:val="00EF0DBC"/>
    <w:rsid w:val="00EF0E68"/>
    <w:rsid w:val="00EF1A39"/>
    <w:rsid w:val="00EF224D"/>
    <w:rsid w:val="00EF2661"/>
    <w:rsid w:val="00EF3ECA"/>
    <w:rsid w:val="00EF42B2"/>
    <w:rsid w:val="00EF494F"/>
    <w:rsid w:val="00EF7D4D"/>
    <w:rsid w:val="00F00B86"/>
    <w:rsid w:val="00F0157E"/>
    <w:rsid w:val="00F02632"/>
    <w:rsid w:val="00F04893"/>
    <w:rsid w:val="00F05069"/>
    <w:rsid w:val="00F05469"/>
    <w:rsid w:val="00F06059"/>
    <w:rsid w:val="00F06D67"/>
    <w:rsid w:val="00F07A7F"/>
    <w:rsid w:val="00F10ADC"/>
    <w:rsid w:val="00F10FCA"/>
    <w:rsid w:val="00F12FD6"/>
    <w:rsid w:val="00F13400"/>
    <w:rsid w:val="00F13639"/>
    <w:rsid w:val="00F13878"/>
    <w:rsid w:val="00F168FE"/>
    <w:rsid w:val="00F174A9"/>
    <w:rsid w:val="00F21CE9"/>
    <w:rsid w:val="00F2285C"/>
    <w:rsid w:val="00F23B1B"/>
    <w:rsid w:val="00F242E1"/>
    <w:rsid w:val="00F25916"/>
    <w:rsid w:val="00F25D2B"/>
    <w:rsid w:val="00F261EF"/>
    <w:rsid w:val="00F26D4B"/>
    <w:rsid w:val="00F27299"/>
    <w:rsid w:val="00F30422"/>
    <w:rsid w:val="00F3110D"/>
    <w:rsid w:val="00F32CF2"/>
    <w:rsid w:val="00F37A08"/>
    <w:rsid w:val="00F412C9"/>
    <w:rsid w:val="00F452F3"/>
    <w:rsid w:val="00F457AD"/>
    <w:rsid w:val="00F457FB"/>
    <w:rsid w:val="00F5040E"/>
    <w:rsid w:val="00F5075A"/>
    <w:rsid w:val="00F5075C"/>
    <w:rsid w:val="00F51A0C"/>
    <w:rsid w:val="00F5211D"/>
    <w:rsid w:val="00F524B5"/>
    <w:rsid w:val="00F52CE6"/>
    <w:rsid w:val="00F5301C"/>
    <w:rsid w:val="00F533F9"/>
    <w:rsid w:val="00F54E51"/>
    <w:rsid w:val="00F5573C"/>
    <w:rsid w:val="00F55C0D"/>
    <w:rsid w:val="00F5720B"/>
    <w:rsid w:val="00F57405"/>
    <w:rsid w:val="00F60647"/>
    <w:rsid w:val="00F61093"/>
    <w:rsid w:val="00F61501"/>
    <w:rsid w:val="00F62E6F"/>
    <w:rsid w:val="00F63872"/>
    <w:rsid w:val="00F6424B"/>
    <w:rsid w:val="00F65162"/>
    <w:rsid w:val="00F6519F"/>
    <w:rsid w:val="00F651E9"/>
    <w:rsid w:val="00F65897"/>
    <w:rsid w:val="00F6651A"/>
    <w:rsid w:val="00F66A5A"/>
    <w:rsid w:val="00F6757B"/>
    <w:rsid w:val="00F72337"/>
    <w:rsid w:val="00F73393"/>
    <w:rsid w:val="00F74238"/>
    <w:rsid w:val="00F7467B"/>
    <w:rsid w:val="00F758EA"/>
    <w:rsid w:val="00F76646"/>
    <w:rsid w:val="00F76F80"/>
    <w:rsid w:val="00F7701C"/>
    <w:rsid w:val="00F77F70"/>
    <w:rsid w:val="00F80A13"/>
    <w:rsid w:val="00F81374"/>
    <w:rsid w:val="00F82A4D"/>
    <w:rsid w:val="00F82EC4"/>
    <w:rsid w:val="00F83AAB"/>
    <w:rsid w:val="00F841CD"/>
    <w:rsid w:val="00F84FDB"/>
    <w:rsid w:val="00F867D2"/>
    <w:rsid w:val="00F8684A"/>
    <w:rsid w:val="00F903B2"/>
    <w:rsid w:val="00F90573"/>
    <w:rsid w:val="00F908CA"/>
    <w:rsid w:val="00F90BDB"/>
    <w:rsid w:val="00F9190B"/>
    <w:rsid w:val="00F91C81"/>
    <w:rsid w:val="00F925B6"/>
    <w:rsid w:val="00F93F67"/>
    <w:rsid w:val="00F94253"/>
    <w:rsid w:val="00F951A7"/>
    <w:rsid w:val="00F959E8"/>
    <w:rsid w:val="00F97C1C"/>
    <w:rsid w:val="00FA0D04"/>
    <w:rsid w:val="00FA1E63"/>
    <w:rsid w:val="00FA2055"/>
    <w:rsid w:val="00FA31FF"/>
    <w:rsid w:val="00FA3975"/>
    <w:rsid w:val="00FA5234"/>
    <w:rsid w:val="00FA6D2D"/>
    <w:rsid w:val="00FA74D9"/>
    <w:rsid w:val="00FA7DEE"/>
    <w:rsid w:val="00FB0B0A"/>
    <w:rsid w:val="00FB1301"/>
    <w:rsid w:val="00FB160A"/>
    <w:rsid w:val="00FB20D0"/>
    <w:rsid w:val="00FB2582"/>
    <w:rsid w:val="00FB37A7"/>
    <w:rsid w:val="00FB3C3E"/>
    <w:rsid w:val="00FB4258"/>
    <w:rsid w:val="00FB49B8"/>
    <w:rsid w:val="00FB4F1E"/>
    <w:rsid w:val="00FB621E"/>
    <w:rsid w:val="00FC163B"/>
    <w:rsid w:val="00FC1D1B"/>
    <w:rsid w:val="00FC2414"/>
    <w:rsid w:val="00FC257E"/>
    <w:rsid w:val="00FC3392"/>
    <w:rsid w:val="00FC3DF3"/>
    <w:rsid w:val="00FC4028"/>
    <w:rsid w:val="00FC4CFF"/>
    <w:rsid w:val="00FC5C2F"/>
    <w:rsid w:val="00FC6E0B"/>
    <w:rsid w:val="00FC7EBB"/>
    <w:rsid w:val="00FD11A2"/>
    <w:rsid w:val="00FD1463"/>
    <w:rsid w:val="00FD40B6"/>
    <w:rsid w:val="00FD415B"/>
    <w:rsid w:val="00FD515F"/>
    <w:rsid w:val="00FE19A9"/>
    <w:rsid w:val="00FE33EC"/>
    <w:rsid w:val="00FE3861"/>
    <w:rsid w:val="00FE4D4F"/>
    <w:rsid w:val="00FE530F"/>
    <w:rsid w:val="00FE5D8D"/>
    <w:rsid w:val="00FE5E72"/>
    <w:rsid w:val="00FE64FB"/>
    <w:rsid w:val="00FE6A8F"/>
    <w:rsid w:val="00FE6D2B"/>
    <w:rsid w:val="00FE70AB"/>
    <w:rsid w:val="00FE7E83"/>
    <w:rsid w:val="00FE7EF6"/>
    <w:rsid w:val="00FF0142"/>
    <w:rsid w:val="00FF0C7E"/>
    <w:rsid w:val="00FF1A3A"/>
    <w:rsid w:val="00FF2828"/>
    <w:rsid w:val="00FF4A34"/>
    <w:rsid w:val="00FF5834"/>
    <w:rsid w:val="00FF64E1"/>
    <w:rsid w:val="00FF6AF0"/>
    <w:rsid w:val="00FF6F7F"/>
    <w:rsid w:val="00FF7075"/>
    <w:rsid w:val="00FF7D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074"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List Bullet" w:uiPriority="7" w:qFormat="1"/>
    <w:lsdException w:name="List Bullet 2" w:uiPriority="8" w:qFormat="1"/>
    <w:lsdException w:name="List Bullet 3" w:uiPriority="9"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A0E"/>
    <w:pPr>
      <w:spacing w:line="348" w:lineRule="atLeast"/>
      <w:jc w:val="both"/>
    </w:pPr>
    <w:rPr>
      <w:rFonts w:ascii="Trebuchet MS" w:hAnsi="Trebuchet MS"/>
      <w:sz w:val="18"/>
      <w:szCs w:val="24"/>
      <w:lang w:val="en-GB"/>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lang w:val="fr-FR"/>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Titre1Car">
    <w:name w:val="Titre 1 Car"/>
    <w:aliases w:val="heading 1 Car,Titre1. Car1,T1 Car"/>
    <w:link w:val="Titre1"/>
    <w:rsid w:val="00026241"/>
    <w:rPr>
      <w:rFonts w:ascii="Trebuchet MS" w:hAnsi="Trebuchet MS" w:cs="Arial"/>
      <w:b/>
      <w:bCs/>
      <w:caps/>
      <w:sz w:val="32"/>
      <w:szCs w:val="32"/>
      <w:u w:val="single"/>
      <w:lang w:eastAsia="fr-FR"/>
    </w:rPr>
  </w:style>
  <w:style w:type="character" w:customStyle="1" w:styleId="Titre2Car">
    <w:name w:val="Titre 2 Car"/>
    <w:aliases w:val="T2 Car1,heading 2 Car1,(paragrafi) Car1,Rubrique évènement Car,Titre 1.1 Car"/>
    <w:link w:val="Titre2"/>
    <w:locked/>
    <w:rsid w:val="00026241"/>
    <w:rPr>
      <w:rFonts w:ascii="Trebuchet MS" w:hAnsi="Trebuchet MS"/>
      <w:b/>
      <w:bCs/>
      <w:iCs/>
      <w:caps/>
      <w:sz w:val="28"/>
      <w:szCs w:val="28"/>
      <w:lang w:val="fr-FR" w:eastAsia="fr-FR"/>
    </w:rPr>
  </w:style>
  <w:style w:type="character" w:customStyle="1" w:styleId="Titre3Car">
    <w:name w:val="Titre 3 Car"/>
    <w:aliases w:val="Titre 1.1.1 Car,T3 Car"/>
    <w:link w:val="Titre3"/>
    <w:rsid w:val="00026241"/>
    <w:rPr>
      <w:rFonts w:ascii="Trebuchet MS" w:hAnsi="Trebuchet MS" w:cs="Arial"/>
      <w:bCs/>
      <w:i/>
      <w:caps/>
      <w:sz w:val="26"/>
      <w:szCs w:val="26"/>
      <w:lang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CarCar"/>
    <w:rsid w:val="009A1C44"/>
    <w:pPr>
      <w:numPr>
        <w:numId w:val="9"/>
      </w:numPr>
      <w:jc w:val="center"/>
    </w:pPr>
    <w:rPr>
      <w:b/>
      <w:lang w:eastAsia="ko-KR"/>
    </w:rPr>
  </w:style>
  <w:style w:type="character" w:customStyle="1" w:styleId="ASAMPSAFigureCarCar">
    <w:name w:val="ASAMPSA Figure Car Car"/>
    <w:link w:val="ASAMPSAFigure"/>
    <w:locked/>
    <w:rsid w:val="009A1C44"/>
    <w:rPr>
      <w:rFonts w:ascii="Trebuchet MS" w:hAnsi="Trebuchet MS"/>
      <w:b/>
      <w:sz w:val="18"/>
      <w:szCs w:val="24"/>
      <w:lang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uiPriority w:val="99"/>
    <w:rsid w:val="00026241"/>
    <w:rPr>
      <w:rFonts w:eastAsia="Batang"/>
    </w:rPr>
  </w:style>
  <w:style w:type="character" w:customStyle="1" w:styleId="NormalCar">
    <w:name w:val="Normal Car"/>
    <w:link w:val="Normal1"/>
    <w:uiPriority w:val="99"/>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Corpsdetexte">
    <w:name w:val="Body Text"/>
    <w:basedOn w:val="Normal"/>
    <w:link w:val="CorpsdetexteCar"/>
    <w:qFormat/>
    <w:rsid w:val="00E5615E"/>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Corps de texte Car"/>
    <w:link w:val="Corpsdetexte"/>
    <w:rsid w:val="00E5615E"/>
    <w:rPr>
      <w:rFonts w:ascii="Arial" w:eastAsia="Calibri" w:hAnsi="Arial"/>
      <w:sz w:val="22"/>
      <w:lang w:val="en-US" w:eastAsia="zh-CN"/>
    </w:rPr>
  </w:style>
  <w:style w:type="paragraph" w:styleId="En-ttedetabledesmatires">
    <w:name w:val="TOC Heading"/>
    <w:basedOn w:val="Titre1"/>
    <w:next w:val="Normal"/>
    <w:uiPriority w:val="39"/>
    <w:semiHidden/>
    <w:unhideWhenUsed/>
    <w:qFormat/>
    <w:rsid w:val="00D70305"/>
    <w:pPr>
      <w:keepLines/>
      <w:numPr>
        <w:numId w:val="0"/>
      </w:numPr>
      <w:spacing w:before="480" w:after="0" w:line="276" w:lineRule="auto"/>
      <w:outlineLvl w:val="9"/>
    </w:pPr>
    <w:rPr>
      <w:rFonts w:ascii="Cambria" w:hAnsi="Cambria" w:cs="Times New Roman"/>
      <w:caps w:val="0"/>
      <w:color w:val="365F91"/>
      <w:sz w:val="28"/>
      <w:szCs w:val="28"/>
      <w:u w:val="none"/>
      <w:lang w:val="en-US" w:eastAsia="en-US"/>
    </w:rPr>
  </w:style>
  <w:style w:type="paragraph" w:styleId="En-tte">
    <w:name w:val="header"/>
    <w:basedOn w:val="Normal"/>
    <w:link w:val="En-tteCar"/>
    <w:rsid w:val="00050B28"/>
    <w:pPr>
      <w:tabs>
        <w:tab w:val="center" w:pos="4536"/>
        <w:tab w:val="right" w:pos="9072"/>
      </w:tabs>
    </w:pPr>
  </w:style>
  <w:style w:type="character" w:customStyle="1" w:styleId="En-tteCar">
    <w:name w:val="En-tête Car"/>
    <w:link w:val="En-tte"/>
    <w:rsid w:val="00050B28"/>
    <w:rPr>
      <w:rFonts w:ascii="Trebuchet MS" w:hAnsi="Trebuchet MS"/>
      <w:sz w:val="18"/>
      <w:szCs w:val="24"/>
      <w:lang w:val="fr-FR" w:eastAsia="fr-FR"/>
    </w:rPr>
  </w:style>
  <w:style w:type="character" w:styleId="Marquedecommentaire">
    <w:name w:val="annotation reference"/>
    <w:uiPriority w:val="99"/>
    <w:rsid w:val="0096770F"/>
    <w:rPr>
      <w:sz w:val="16"/>
      <w:szCs w:val="16"/>
    </w:rPr>
  </w:style>
  <w:style w:type="paragraph" w:styleId="Commentaire">
    <w:name w:val="annotation text"/>
    <w:basedOn w:val="Normal"/>
    <w:link w:val="CommentaireCar"/>
    <w:uiPriority w:val="99"/>
    <w:rsid w:val="0096770F"/>
    <w:rPr>
      <w:sz w:val="20"/>
      <w:szCs w:val="20"/>
    </w:rPr>
  </w:style>
  <w:style w:type="character" w:customStyle="1" w:styleId="CommentaireCar">
    <w:name w:val="Commentaire Car"/>
    <w:link w:val="Commentaire"/>
    <w:uiPriority w:val="99"/>
    <w:rsid w:val="0096770F"/>
    <w:rPr>
      <w:rFonts w:ascii="Trebuchet MS" w:hAnsi="Trebuchet MS"/>
      <w:lang w:val="fr-FR" w:eastAsia="fr-FR"/>
    </w:rPr>
  </w:style>
  <w:style w:type="paragraph" w:styleId="Objetducommentaire">
    <w:name w:val="annotation subject"/>
    <w:basedOn w:val="Commentaire"/>
    <w:next w:val="Commentaire"/>
    <w:link w:val="ObjetducommentaireCar"/>
    <w:rsid w:val="0096770F"/>
    <w:rPr>
      <w:b/>
      <w:bCs/>
    </w:rPr>
  </w:style>
  <w:style w:type="character" w:customStyle="1" w:styleId="ObjetducommentaireCar">
    <w:name w:val="Objet du commentaire Car"/>
    <w:link w:val="Objetducommentaire"/>
    <w:rsid w:val="0096770F"/>
    <w:rPr>
      <w:rFonts w:ascii="Trebuchet MS" w:hAnsi="Trebuchet MS"/>
      <w:b/>
      <w:bCs/>
      <w:lang w:val="fr-FR" w:eastAsia="fr-FR"/>
    </w:rPr>
  </w:style>
  <w:style w:type="character" w:styleId="Appelnotedebasdep">
    <w:name w:val="footnote reference"/>
    <w:rsid w:val="003F14F1"/>
    <w:rPr>
      <w:vertAlign w:val="superscript"/>
    </w:rPr>
  </w:style>
  <w:style w:type="paragraph" w:customStyle="1" w:styleId="Default">
    <w:name w:val="Default"/>
    <w:rsid w:val="00F21CE9"/>
    <w:pPr>
      <w:autoSpaceDE w:val="0"/>
      <w:autoSpaceDN w:val="0"/>
      <w:adjustRightInd w:val="0"/>
    </w:pPr>
    <w:rPr>
      <w:rFonts w:ascii="Garamond" w:hAnsi="Garamond" w:cs="Garamond"/>
      <w:color w:val="000000"/>
      <w:sz w:val="24"/>
      <w:szCs w:val="24"/>
      <w:lang w:val="en-US" w:eastAsia="en-US"/>
    </w:rPr>
  </w:style>
  <w:style w:type="paragraph" w:styleId="Paragraphedeliste">
    <w:name w:val="List Paragraph"/>
    <w:basedOn w:val="Normal"/>
    <w:uiPriority w:val="34"/>
    <w:qFormat/>
    <w:rsid w:val="003D7239"/>
    <w:pPr>
      <w:spacing w:after="200" w:line="276" w:lineRule="auto"/>
      <w:ind w:left="720"/>
      <w:contextualSpacing/>
      <w:jc w:val="left"/>
    </w:pPr>
    <w:rPr>
      <w:rFonts w:ascii="Calibri" w:eastAsia="Calibri" w:hAnsi="Calibri"/>
      <w:sz w:val="22"/>
      <w:szCs w:val="22"/>
      <w:lang w:eastAsia="en-US"/>
    </w:rPr>
  </w:style>
  <w:style w:type="character" w:customStyle="1" w:styleId="NotedebasdepageCar">
    <w:name w:val="Note de bas de page Car"/>
    <w:link w:val="Notedebasdepage"/>
    <w:uiPriority w:val="99"/>
    <w:semiHidden/>
    <w:rsid w:val="00D71AC2"/>
    <w:rPr>
      <w:lang w:val="fr-FR" w:eastAsia="fr-FR"/>
    </w:rPr>
  </w:style>
  <w:style w:type="character" w:styleId="Lienhypertextesuivivisit">
    <w:name w:val="FollowedHyperlink"/>
    <w:rsid w:val="001C0A86"/>
    <w:rPr>
      <w:color w:val="800080"/>
      <w:u w:val="single"/>
    </w:rPr>
  </w:style>
  <w:style w:type="paragraph" w:styleId="Rvision">
    <w:name w:val="Revision"/>
    <w:hidden/>
    <w:uiPriority w:val="99"/>
    <w:semiHidden/>
    <w:rsid w:val="005D33E5"/>
    <w:rPr>
      <w:rFonts w:ascii="Trebuchet MS" w:hAnsi="Trebuchet MS"/>
      <w:sz w:val="18"/>
      <w:szCs w:val="24"/>
    </w:rPr>
  </w:style>
  <w:style w:type="paragraph" w:styleId="Lgende">
    <w:name w:val="caption"/>
    <w:basedOn w:val="Normal"/>
    <w:next w:val="Normal"/>
    <w:unhideWhenUsed/>
    <w:qFormat/>
    <w:rsid w:val="00EB1AA4"/>
    <w:rPr>
      <w:b/>
      <w:bCs/>
      <w:sz w:val="20"/>
      <w:szCs w:val="20"/>
    </w:rPr>
  </w:style>
  <w:style w:type="character" w:customStyle="1" w:styleId="Marquedecommentaire1">
    <w:name w:val="Marque de commentaire1"/>
    <w:rsid w:val="00902525"/>
    <w:rPr>
      <w:sz w:val="16"/>
      <w:szCs w:val="16"/>
    </w:rPr>
  </w:style>
  <w:style w:type="character" w:styleId="Accentuation">
    <w:name w:val="Emphasis"/>
    <w:qFormat/>
    <w:rsid w:val="009F2694"/>
    <w:rPr>
      <w:i/>
      <w:iCs/>
    </w:rPr>
  </w:style>
  <w:style w:type="paragraph" w:customStyle="1" w:styleId="Paragraphedeliste2">
    <w:name w:val="Paragraphe de liste2"/>
    <w:basedOn w:val="Normal"/>
    <w:rsid w:val="009F2694"/>
    <w:pPr>
      <w:spacing w:after="200" w:line="276" w:lineRule="auto"/>
      <w:ind w:left="720"/>
      <w:jc w:val="left"/>
    </w:pPr>
    <w:rPr>
      <w:rFonts w:ascii="Calibri" w:eastAsia="Calibri" w:hAnsi="Calibri"/>
      <w:sz w:val="22"/>
      <w:szCs w:val="22"/>
      <w:lang w:eastAsia="zh-CN"/>
    </w:rPr>
  </w:style>
  <w:style w:type="paragraph" w:customStyle="1" w:styleId="NormalText">
    <w:name w:val="NormalText"/>
    <w:basedOn w:val="Normal"/>
    <w:rsid w:val="00A87F86"/>
    <w:pPr>
      <w:suppressAutoHyphens/>
      <w:autoSpaceDE w:val="0"/>
      <w:autoSpaceDN w:val="0"/>
      <w:spacing w:line="240" w:lineRule="auto"/>
    </w:pPr>
    <w:rPr>
      <w:rFonts w:ascii="Times New Roman" w:eastAsia="PMingLiU" w:hAnsi="Times New Roman"/>
      <w:sz w:val="22"/>
      <w:szCs w:val="22"/>
      <w:lang w:val="en-US" w:eastAsia="en-US"/>
    </w:rPr>
  </w:style>
  <w:style w:type="character" w:customStyle="1" w:styleId="hps">
    <w:name w:val="hps"/>
    <w:basedOn w:val="Policepardfaut"/>
    <w:rsid w:val="00A87F86"/>
  </w:style>
  <w:style w:type="paragraph" w:styleId="Textebrut">
    <w:name w:val="Plain Text"/>
    <w:basedOn w:val="Normal"/>
    <w:link w:val="TextebrutCar"/>
    <w:uiPriority w:val="99"/>
    <w:unhideWhenUsed/>
    <w:rsid w:val="00D70B1F"/>
    <w:pPr>
      <w:spacing w:line="240" w:lineRule="auto"/>
      <w:jc w:val="left"/>
    </w:pPr>
    <w:rPr>
      <w:rFonts w:ascii="Consolas" w:eastAsia="Calibri" w:hAnsi="Consolas" w:cs="Consolas"/>
      <w:sz w:val="21"/>
      <w:szCs w:val="21"/>
      <w:lang w:val="sv-SE" w:eastAsia="en-US"/>
    </w:rPr>
  </w:style>
  <w:style w:type="character" w:customStyle="1" w:styleId="TextebrutCar">
    <w:name w:val="Texte brut Car"/>
    <w:link w:val="Textebrut"/>
    <w:uiPriority w:val="99"/>
    <w:rsid w:val="00D70B1F"/>
    <w:rPr>
      <w:rFonts w:ascii="Consolas" w:eastAsia="Calibri" w:hAnsi="Consolas" w:cs="Consolas"/>
      <w:sz w:val="21"/>
      <w:szCs w:val="21"/>
      <w:lang w:eastAsia="en-US"/>
    </w:rPr>
  </w:style>
  <w:style w:type="paragraph" w:customStyle="1" w:styleId="default0">
    <w:name w:val="default"/>
    <w:basedOn w:val="Normal"/>
    <w:rsid w:val="00012973"/>
    <w:pPr>
      <w:spacing w:before="100" w:beforeAutospacing="1" w:after="100" w:afterAutospacing="1" w:line="240" w:lineRule="auto"/>
      <w:jc w:val="left"/>
    </w:pPr>
    <w:rPr>
      <w:rFonts w:ascii="Times New Roman" w:eastAsia="Calibri" w:hAnsi="Times New Roman"/>
      <w:color w:val="000000"/>
      <w:sz w:val="24"/>
      <w:lang w:val="sv-SE" w:eastAsia="sv-SE"/>
    </w:rPr>
  </w:style>
  <w:style w:type="paragraph" w:styleId="Listepuces">
    <w:name w:val="List Bullet"/>
    <w:basedOn w:val="Corpsdetexte"/>
    <w:uiPriority w:val="7"/>
    <w:qFormat/>
    <w:rsid w:val="00DA6975"/>
    <w:pPr>
      <w:numPr>
        <w:numId w:val="10"/>
      </w:numPr>
    </w:pPr>
    <w:rPr>
      <w:rFonts w:eastAsia="SimSun"/>
    </w:rPr>
  </w:style>
  <w:style w:type="paragraph" w:styleId="Listepuces2">
    <w:name w:val="List Bullet 2"/>
    <w:basedOn w:val="Normal"/>
    <w:uiPriority w:val="8"/>
    <w:qFormat/>
    <w:rsid w:val="00DA6975"/>
    <w:pPr>
      <w:keepLines/>
      <w:widowControl w:val="0"/>
      <w:numPr>
        <w:ilvl w:val="1"/>
        <w:numId w:val="10"/>
      </w:numPr>
      <w:tabs>
        <w:tab w:val="left" w:pos="567"/>
      </w:tabs>
      <w:spacing w:line="240" w:lineRule="auto"/>
      <w:contextualSpacing/>
    </w:pPr>
    <w:rPr>
      <w:rFonts w:ascii="Arial" w:eastAsia="SimSun" w:hAnsi="Arial"/>
      <w:sz w:val="22"/>
      <w:szCs w:val="20"/>
      <w:lang w:val="en-US" w:eastAsia="zh-CN"/>
    </w:rPr>
  </w:style>
  <w:style w:type="paragraph" w:styleId="Listepuces3">
    <w:name w:val="List Bullet 3"/>
    <w:basedOn w:val="Normal"/>
    <w:uiPriority w:val="9"/>
    <w:qFormat/>
    <w:rsid w:val="00DA6975"/>
    <w:pPr>
      <w:keepLines/>
      <w:widowControl w:val="0"/>
      <w:numPr>
        <w:ilvl w:val="2"/>
        <w:numId w:val="10"/>
      </w:numPr>
      <w:spacing w:line="240" w:lineRule="auto"/>
      <w:contextualSpacing/>
    </w:pPr>
    <w:rPr>
      <w:rFonts w:ascii="Arial" w:eastAsia="SimSun" w:hAnsi="Arial"/>
      <w:sz w:val="22"/>
      <w:szCs w:val="20"/>
      <w:lang w:val="en-US" w:eastAsia="zh-CN"/>
    </w:rPr>
  </w:style>
  <w:style w:type="paragraph" w:customStyle="1" w:styleId="Punktmrk2">
    <w:name w:val="Punktmrk2"/>
    <w:basedOn w:val="Corpsdetexte"/>
    <w:rsid w:val="00C26241"/>
    <w:pPr>
      <w:numPr>
        <w:numId w:val="11"/>
      </w:numPr>
      <w:tabs>
        <w:tab w:val="clear" w:pos="1134"/>
      </w:tabs>
    </w:pPr>
  </w:style>
  <w:style w:type="character" w:customStyle="1" w:styleId="apple-converted-space">
    <w:name w:val="apple-converted-space"/>
    <w:basedOn w:val="Policepardfaut"/>
    <w:rsid w:val="00961A7E"/>
  </w:style>
  <w:style w:type="paragraph" w:styleId="Notedefin">
    <w:name w:val="endnote text"/>
    <w:basedOn w:val="Normal"/>
    <w:link w:val="NotedefinCar"/>
    <w:rsid w:val="002C46EE"/>
    <w:rPr>
      <w:sz w:val="20"/>
      <w:szCs w:val="20"/>
    </w:rPr>
  </w:style>
  <w:style w:type="character" w:customStyle="1" w:styleId="NotedefinCar">
    <w:name w:val="Note de fin Car"/>
    <w:link w:val="Notedefin"/>
    <w:rsid w:val="002C46EE"/>
    <w:rPr>
      <w:rFonts w:ascii="Trebuchet MS" w:hAnsi="Trebuchet MS"/>
      <w:lang w:val="en-GB" w:eastAsia="fr-FR"/>
    </w:rPr>
  </w:style>
  <w:style w:type="character" w:styleId="Appeldenotedefin">
    <w:name w:val="endnote reference"/>
    <w:rsid w:val="002C46EE"/>
    <w:rPr>
      <w:vertAlign w:val="superscript"/>
    </w:rPr>
  </w:style>
  <w:style w:type="table" w:styleId="Grilledutableau">
    <w:name w:val="Table Grid"/>
    <w:basedOn w:val="TableauNormal"/>
    <w:rsid w:val="00912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56009A"/>
    <w:pPr>
      <w:spacing w:after="120"/>
      <w:ind w:left="283"/>
    </w:pPr>
  </w:style>
  <w:style w:type="character" w:customStyle="1" w:styleId="RetraitcorpsdetexteCar">
    <w:name w:val="Retrait corps de texte Car"/>
    <w:link w:val="Retraitcorpsdetexte"/>
    <w:rsid w:val="0056009A"/>
    <w:rPr>
      <w:rFonts w:ascii="Trebuchet MS" w:hAnsi="Trebuchet MS"/>
      <w:sz w:val="18"/>
      <w:szCs w:val="24"/>
      <w:lang w:val="en-GB" w:eastAsia="fr-FR"/>
    </w:rPr>
  </w:style>
  <w:style w:type="paragraph" w:styleId="Tabledesillustrations">
    <w:name w:val="table of figures"/>
    <w:basedOn w:val="Normal"/>
    <w:next w:val="Normal"/>
    <w:uiPriority w:val="99"/>
    <w:unhideWhenUsed/>
    <w:rsid w:val="00C11B27"/>
    <w:rPr>
      <w:lang w:val="fr-FR"/>
    </w:rPr>
  </w:style>
  <w:style w:type="paragraph" w:customStyle="1" w:styleId="WENRAPunkt">
    <w:name w:val="WENRA Punkt"/>
    <w:basedOn w:val="Normal"/>
    <w:uiPriority w:val="99"/>
    <w:rsid w:val="00C55390"/>
    <w:pPr>
      <w:spacing w:after="120" w:line="264" w:lineRule="exact"/>
      <w:ind w:left="720" w:hanging="360"/>
      <w:jc w:val="left"/>
    </w:pPr>
    <w:rPr>
      <w:rFonts w:ascii="Calibri" w:hAnsi="Calibri" w:cs="Calibri"/>
      <w:sz w:val="22"/>
      <w:szCs w:val="22"/>
      <w:lang w:eastAsia="en-US"/>
    </w:rPr>
  </w:style>
  <w:style w:type="character" w:styleId="lev">
    <w:name w:val="Strong"/>
    <w:qFormat/>
    <w:rsid w:val="00DA5555"/>
    <w:rPr>
      <w:b/>
      <w:bCs/>
    </w:rPr>
  </w:style>
  <w:style w:type="character" w:customStyle="1" w:styleId="PieddepageCar">
    <w:name w:val="Pied de page Car"/>
    <w:link w:val="Pieddepage"/>
    <w:uiPriority w:val="99"/>
    <w:rsid w:val="008D4AFC"/>
    <w:rPr>
      <w:rFonts w:ascii="Trebuchet MS" w:hAnsi="Trebuchet MS"/>
      <w:sz w:val="1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9297">
      <w:bodyDiv w:val="1"/>
      <w:marLeft w:val="0"/>
      <w:marRight w:val="0"/>
      <w:marTop w:val="0"/>
      <w:marBottom w:val="0"/>
      <w:divBdr>
        <w:top w:val="none" w:sz="0" w:space="0" w:color="auto"/>
        <w:left w:val="none" w:sz="0" w:space="0" w:color="auto"/>
        <w:bottom w:val="none" w:sz="0" w:space="0" w:color="auto"/>
        <w:right w:val="none" w:sz="0" w:space="0" w:color="auto"/>
      </w:divBdr>
    </w:div>
    <w:div w:id="67925660">
      <w:bodyDiv w:val="1"/>
      <w:marLeft w:val="0"/>
      <w:marRight w:val="0"/>
      <w:marTop w:val="0"/>
      <w:marBottom w:val="0"/>
      <w:divBdr>
        <w:top w:val="none" w:sz="0" w:space="0" w:color="auto"/>
        <w:left w:val="none" w:sz="0" w:space="0" w:color="auto"/>
        <w:bottom w:val="none" w:sz="0" w:space="0" w:color="auto"/>
        <w:right w:val="none" w:sz="0" w:space="0" w:color="auto"/>
      </w:divBdr>
    </w:div>
    <w:div w:id="95635841">
      <w:bodyDiv w:val="1"/>
      <w:marLeft w:val="0"/>
      <w:marRight w:val="0"/>
      <w:marTop w:val="0"/>
      <w:marBottom w:val="0"/>
      <w:divBdr>
        <w:top w:val="none" w:sz="0" w:space="0" w:color="auto"/>
        <w:left w:val="none" w:sz="0" w:space="0" w:color="auto"/>
        <w:bottom w:val="none" w:sz="0" w:space="0" w:color="auto"/>
        <w:right w:val="none" w:sz="0" w:space="0" w:color="auto"/>
      </w:divBdr>
    </w:div>
    <w:div w:id="107051569">
      <w:bodyDiv w:val="1"/>
      <w:marLeft w:val="0"/>
      <w:marRight w:val="0"/>
      <w:marTop w:val="0"/>
      <w:marBottom w:val="0"/>
      <w:divBdr>
        <w:top w:val="none" w:sz="0" w:space="0" w:color="auto"/>
        <w:left w:val="none" w:sz="0" w:space="0" w:color="auto"/>
        <w:bottom w:val="none" w:sz="0" w:space="0" w:color="auto"/>
        <w:right w:val="none" w:sz="0" w:space="0" w:color="auto"/>
      </w:divBdr>
    </w:div>
    <w:div w:id="113057635">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0423">
      <w:bodyDiv w:val="1"/>
      <w:marLeft w:val="0"/>
      <w:marRight w:val="0"/>
      <w:marTop w:val="0"/>
      <w:marBottom w:val="0"/>
      <w:divBdr>
        <w:top w:val="none" w:sz="0" w:space="0" w:color="auto"/>
        <w:left w:val="none" w:sz="0" w:space="0" w:color="auto"/>
        <w:bottom w:val="none" w:sz="0" w:space="0" w:color="auto"/>
        <w:right w:val="none" w:sz="0" w:space="0" w:color="auto"/>
      </w:divBdr>
    </w:div>
    <w:div w:id="217517585">
      <w:bodyDiv w:val="1"/>
      <w:marLeft w:val="0"/>
      <w:marRight w:val="0"/>
      <w:marTop w:val="0"/>
      <w:marBottom w:val="0"/>
      <w:divBdr>
        <w:top w:val="none" w:sz="0" w:space="0" w:color="auto"/>
        <w:left w:val="none" w:sz="0" w:space="0" w:color="auto"/>
        <w:bottom w:val="none" w:sz="0" w:space="0" w:color="auto"/>
        <w:right w:val="none" w:sz="0" w:space="0" w:color="auto"/>
      </w:divBdr>
    </w:div>
    <w:div w:id="298461813">
      <w:bodyDiv w:val="1"/>
      <w:marLeft w:val="0"/>
      <w:marRight w:val="0"/>
      <w:marTop w:val="0"/>
      <w:marBottom w:val="0"/>
      <w:divBdr>
        <w:top w:val="none" w:sz="0" w:space="0" w:color="auto"/>
        <w:left w:val="none" w:sz="0" w:space="0" w:color="auto"/>
        <w:bottom w:val="none" w:sz="0" w:space="0" w:color="auto"/>
        <w:right w:val="none" w:sz="0" w:space="0" w:color="auto"/>
      </w:divBdr>
    </w:div>
    <w:div w:id="331687953">
      <w:bodyDiv w:val="1"/>
      <w:marLeft w:val="0"/>
      <w:marRight w:val="0"/>
      <w:marTop w:val="0"/>
      <w:marBottom w:val="0"/>
      <w:divBdr>
        <w:top w:val="none" w:sz="0" w:space="0" w:color="auto"/>
        <w:left w:val="none" w:sz="0" w:space="0" w:color="auto"/>
        <w:bottom w:val="none" w:sz="0" w:space="0" w:color="auto"/>
        <w:right w:val="none" w:sz="0" w:space="0" w:color="auto"/>
      </w:divBdr>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40261">
      <w:bodyDiv w:val="1"/>
      <w:marLeft w:val="0"/>
      <w:marRight w:val="0"/>
      <w:marTop w:val="0"/>
      <w:marBottom w:val="0"/>
      <w:divBdr>
        <w:top w:val="none" w:sz="0" w:space="0" w:color="auto"/>
        <w:left w:val="none" w:sz="0" w:space="0" w:color="auto"/>
        <w:bottom w:val="none" w:sz="0" w:space="0" w:color="auto"/>
        <w:right w:val="none" w:sz="0" w:space="0" w:color="auto"/>
      </w:divBdr>
    </w:div>
    <w:div w:id="395517581">
      <w:bodyDiv w:val="1"/>
      <w:marLeft w:val="0"/>
      <w:marRight w:val="0"/>
      <w:marTop w:val="0"/>
      <w:marBottom w:val="0"/>
      <w:divBdr>
        <w:top w:val="none" w:sz="0" w:space="0" w:color="auto"/>
        <w:left w:val="none" w:sz="0" w:space="0" w:color="auto"/>
        <w:bottom w:val="none" w:sz="0" w:space="0" w:color="auto"/>
        <w:right w:val="none" w:sz="0" w:space="0" w:color="auto"/>
      </w:divBdr>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6927">
      <w:bodyDiv w:val="1"/>
      <w:marLeft w:val="0"/>
      <w:marRight w:val="0"/>
      <w:marTop w:val="0"/>
      <w:marBottom w:val="0"/>
      <w:divBdr>
        <w:top w:val="none" w:sz="0" w:space="0" w:color="auto"/>
        <w:left w:val="none" w:sz="0" w:space="0" w:color="auto"/>
        <w:bottom w:val="none" w:sz="0" w:space="0" w:color="auto"/>
        <w:right w:val="none" w:sz="0" w:space="0" w:color="auto"/>
      </w:divBdr>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00660022">
      <w:bodyDiv w:val="1"/>
      <w:marLeft w:val="0"/>
      <w:marRight w:val="0"/>
      <w:marTop w:val="0"/>
      <w:marBottom w:val="0"/>
      <w:divBdr>
        <w:top w:val="none" w:sz="0" w:space="0" w:color="auto"/>
        <w:left w:val="none" w:sz="0" w:space="0" w:color="auto"/>
        <w:bottom w:val="none" w:sz="0" w:space="0" w:color="auto"/>
        <w:right w:val="none" w:sz="0" w:space="0" w:color="auto"/>
      </w:divBdr>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13295676">
      <w:bodyDiv w:val="1"/>
      <w:marLeft w:val="0"/>
      <w:marRight w:val="0"/>
      <w:marTop w:val="0"/>
      <w:marBottom w:val="0"/>
      <w:divBdr>
        <w:top w:val="none" w:sz="0" w:space="0" w:color="auto"/>
        <w:left w:val="none" w:sz="0" w:space="0" w:color="auto"/>
        <w:bottom w:val="none" w:sz="0" w:space="0" w:color="auto"/>
        <w:right w:val="none" w:sz="0" w:space="0" w:color="auto"/>
      </w:divBdr>
    </w:div>
    <w:div w:id="750782373">
      <w:bodyDiv w:val="1"/>
      <w:marLeft w:val="0"/>
      <w:marRight w:val="0"/>
      <w:marTop w:val="0"/>
      <w:marBottom w:val="0"/>
      <w:divBdr>
        <w:top w:val="none" w:sz="0" w:space="0" w:color="auto"/>
        <w:left w:val="none" w:sz="0" w:space="0" w:color="auto"/>
        <w:bottom w:val="none" w:sz="0" w:space="0" w:color="auto"/>
        <w:right w:val="none" w:sz="0" w:space="0" w:color="auto"/>
      </w:divBdr>
    </w:div>
    <w:div w:id="778066306">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26452">
      <w:bodyDiv w:val="1"/>
      <w:marLeft w:val="0"/>
      <w:marRight w:val="0"/>
      <w:marTop w:val="0"/>
      <w:marBottom w:val="0"/>
      <w:divBdr>
        <w:top w:val="none" w:sz="0" w:space="0" w:color="auto"/>
        <w:left w:val="none" w:sz="0" w:space="0" w:color="auto"/>
        <w:bottom w:val="none" w:sz="0" w:space="0" w:color="auto"/>
        <w:right w:val="none" w:sz="0" w:space="0" w:color="auto"/>
      </w:divBdr>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05384648">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0476">
      <w:bodyDiv w:val="1"/>
      <w:marLeft w:val="0"/>
      <w:marRight w:val="0"/>
      <w:marTop w:val="0"/>
      <w:marBottom w:val="0"/>
      <w:divBdr>
        <w:top w:val="none" w:sz="0" w:space="0" w:color="auto"/>
        <w:left w:val="none" w:sz="0" w:space="0" w:color="auto"/>
        <w:bottom w:val="none" w:sz="0" w:space="0" w:color="auto"/>
        <w:right w:val="none" w:sz="0" w:space="0" w:color="auto"/>
      </w:divBdr>
    </w:div>
    <w:div w:id="1035547331">
      <w:bodyDiv w:val="1"/>
      <w:marLeft w:val="0"/>
      <w:marRight w:val="0"/>
      <w:marTop w:val="0"/>
      <w:marBottom w:val="0"/>
      <w:divBdr>
        <w:top w:val="none" w:sz="0" w:space="0" w:color="auto"/>
        <w:left w:val="none" w:sz="0" w:space="0" w:color="auto"/>
        <w:bottom w:val="none" w:sz="0" w:space="0" w:color="auto"/>
        <w:right w:val="none" w:sz="0" w:space="0" w:color="auto"/>
      </w:divBdr>
    </w:div>
    <w:div w:id="1106315421">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4420097">
      <w:bodyDiv w:val="1"/>
      <w:marLeft w:val="0"/>
      <w:marRight w:val="0"/>
      <w:marTop w:val="0"/>
      <w:marBottom w:val="0"/>
      <w:divBdr>
        <w:top w:val="none" w:sz="0" w:space="0" w:color="auto"/>
        <w:left w:val="none" w:sz="0" w:space="0" w:color="auto"/>
        <w:bottom w:val="none" w:sz="0" w:space="0" w:color="auto"/>
        <w:right w:val="none" w:sz="0" w:space="0" w:color="auto"/>
      </w:divBdr>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3154">
      <w:bodyDiv w:val="1"/>
      <w:marLeft w:val="0"/>
      <w:marRight w:val="0"/>
      <w:marTop w:val="0"/>
      <w:marBottom w:val="0"/>
      <w:divBdr>
        <w:top w:val="none" w:sz="0" w:space="0" w:color="auto"/>
        <w:left w:val="none" w:sz="0" w:space="0" w:color="auto"/>
        <w:bottom w:val="none" w:sz="0" w:space="0" w:color="auto"/>
        <w:right w:val="none" w:sz="0" w:space="0" w:color="auto"/>
      </w:divBdr>
    </w:div>
    <w:div w:id="1234897934">
      <w:bodyDiv w:val="1"/>
      <w:marLeft w:val="0"/>
      <w:marRight w:val="0"/>
      <w:marTop w:val="0"/>
      <w:marBottom w:val="0"/>
      <w:divBdr>
        <w:top w:val="none" w:sz="0" w:space="0" w:color="auto"/>
        <w:left w:val="none" w:sz="0" w:space="0" w:color="auto"/>
        <w:bottom w:val="none" w:sz="0" w:space="0" w:color="auto"/>
        <w:right w:val="none" w:sz="0" w:space="0" w:color="auto"/>
      </w:divBdr>
    </w:div>
    <w:div w:id="1239174392">
      <w:bodyDiv w:val="1"/>
      <w:marLeft w:val="0"/>
      <w:marRight w:val="0"/>
      <w:marTop w:val="0"/>
      <w:marBottom w:val="0"/>
      <w:divBdr>
        <w:top w:val="none" w:sz="0" w:space="0" w:color="auto"/>
        <w:left w:val="none" w:sz="0" w:space="0" w:color="auto"/>
        <w:bottom w:val="none" w:sz="0" w:space="0" w:color="auto"/>
        <w:right w:val="none" w:sz="0" w:space="0" w:color="auto"/>
      </w:divBdr>
    </w:div>
    <w:div w:id="1307902244">
      <w:bodyDiv w:val="1"/>
      <w:marLeft w:val="0"/>
      <w:marRight w:val="0"/>
      <w:marTop w:val="0"/>
      <w:marBottom w:val="0"/>
      <w:divBdr>
        <w:top w:val="none" w:sz="0" w:space="0" w:color="auto"/>
        <w:left w:val="none" w:sz="0" w:space="0" w:color="auto"/>
        <w:bottom w:val="none" w:sz="0" w:space="0" w:color="auto"/>
        <w:right w:val="none" w:sz="0" w:space="0" w:color="auto"/>
      </w:divBdr>
    </w:div>
    <w:div w:id="1345859148">
      <w:bodyDiv w:val="1"/>
      <w:marLeft w:val="0"/>
      <w:marRight w:val="0"/>
      <w:marTop w:val="0"/>
      <w:marBottom w:val="0"/>
      <w:divBdr>
        <w:top w:val="none" w:sz="0" w:space="0" w:color="auto"/>
        <w:left w:val="none" w:sz="0" w:space="0" w:color="auto"/>
        <w:bottom w:val="none" w:sz="0" w:space="0" w:color="auto"/>
        <w:right w:val="none" w:sz="0" w:space="0" w:color="auto"/>
      </w:divBdr>
    </w:div>
    <w:div w:id="1360815365">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18657">
      <w:bodyDiv w:val="1"/>
      <w:marLeft w:val="0"/>
      <w:marRight w:val="0"/>
      <w:marTop w:val="0"/>
      <w:marBottom w:val="0"/>
      <w:divBdr>
        <w:top w:val="none" w:sz="0" w:space="0" w:color="auto"/>
        <w:left w:val="none" w:sz="0" w:space="0" w:color="auto"/>
        <w:bottom w:val="none" w:sz="0" w:space="0" w:color="auto"/>
        <w:right w:val="none" w:sz="0" w:space="0" w:color="auto"/>
      </w:divBdr>
    </w:div>
    <w:div w:id="1518888237">
      <w:bodyDiv w:val="1"/>
      <w:marLeft w:val="0"/>
      <w:marRight w:val="0"/>
      <w:marTop w:val="0"/>
      <w:marBottom w:val="0"/>
      <w:divBdr>
        <w:top w:val="none" w:sz="0" w:space="0" w:color="auto"/>
        <w:left w:val="none" w:sz="0" w:space="0" w:color="auto"/>
        <w:bottom w:val="none" w:sz="0" w:space="0" w:color="auto"/>
        <w:right w:val="none" w:sz="0" w:space="0" w:color="auto"/>
      </w:divBdr>
    </w:div>
    <w:div w:id="1538085287">
      <w:bodyDiv w:val="1"/>
      <w:marLeft w:val="0"/>
      <w:marRight w:val="0"/>
      <w:marTop w:val="0"/>
      <w:marBottom w:val="0"/>
      <w:divBdr>
        <w:top w:val="none" w:sz="0" w:space="0" w:color="auto"/>
        <w:left w:val="none" w:sz="0" w:space="0" w:color="auto"/>
        <w:bottom w:val="none" w:sz="0" w:space="0" w:color="auto"/>
        <w:right w:val="none" w:sz="0" w:space="0" w:color="auto"/>
      </w:divBdr>
    </w:div>
    <w:div w:id="1579512248">
      <w:bodyDiv w:val="1"/>
      <w:marLeft w:val="0"/>
      <w:marRight w:val="0"/>
      <w:marTop w:val="0"/>
      <w:marBottom w:val="0"/>
      <w:divBdr>
        <w:top w:val="none" w:sz="0" w:space="0" w:color="auto"/>
        <w:left w:val="none" w:sz="0" w:space="0" w:color="auto"/>
        <w:bottom w:val="none" w:sz="0" w:space="0" w:color="auto"/>
        <w:right w:val="none" w:sz="0" w:space="0" w:color="auto"/>
      </w:divBdr>
    </w:div>
    <w:div w:id="1586113404">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8187">
      <w:bodyDiv w:val="1"/>
      <w:marLeft w:val="0"/>
      <w:marRight w:val="0"/>
      <w:marTop w:val="0"/>
      <w:marBottom w:val="0"/>
      <w:divBdr>
        <w:top w:val="none" w:sz="0" w:space="0" w:color="auto"/>
        <w:left w:val="none" w:sz="0" w:space="0" w:color="auto"/>
        <w:bottom w:val="none" w:sz="0" w:space="0" w:color="auto"/>
        <w:right w:val="none" w:sz="0" w:space="0" w:color="auto"/>
      </w:divBdr>
    </w:div>
    <w:div w:id="1694646103">
      <w:bodyDiv w:val="1"/>
      <w:marLeft w:val="0"/>
      <w:marRight w:val="0"/>
      <w:marTop w:val="0"/>
      <w:marBottom w:val="0"/>
      <w:divBdr>
        <w:top w:val="none" w:sz="0" w:space="0" w:color="auto"/>
        <w:left w:val="none" w:sz="0" w:space="0" w:color="auto"/>
        <w:bottom w:val="none" w:sz="0" w:space="0" w:color="auto"/>
        <w:right w:val="none" w:sz="0" w:space="0" w:color="auto"/>
      </w:divBdr>
    </w:div>
    <w:div w:id="1745449267">
      <w:bodyDiv w:val="1"/>
      <w:marLeft w:val="0"/>
      <w:marRight w:val="0"/>
      <w:marTop w:val="0"/>
      <w:marBottom w:val="0"/>
      <w:divBdr>
        <w:top w:val="none" w:sz="0" w:space="0" w:color="auto"/>
        <w:left w:val="none" w:sz="0" w:space="0" w:color="auto"/>
        <w:bottom w:val="none" w:sz="0" w:space="0" w:color="auto"/>
        <w:right w:val="none" w:sz="0" w:space="0" w:color="auto"/>
      </w:divBdr>
    </w:div>
    <w:div w:id="1820532700">
      <w:bodyDiv w:val="1"/>
      <w:marLeft w:val="0"/>
      <w:marRight w:val="0"/>
      <w:marTop w:val="0"/>
      <w:marBottom w:val="0"/>
      <w:divBdr>
        <w:top w:val="none" w:sz="0" w:space="0" w:color="auto"/>
        <w:left w:val="none" w:sz="0" w:space="0" w:color="auto"/>
        <w:bottom w:val="none" w:sz="0" w:space="0" w:color="auto"/>
        <w:right w:val="none" w:sz="0" w:space="0" w:color="auto"/>
      </w:divBdr>
    </w:div>
    <w:div w:id="1835953895">
      <w:bodyDiv w:val="1"/>
      <w:marLeft w:val="0"/>
      <w:marRight w:val="0"/>
      <w:marTop w:val="0"/>
      <w:marBottom w:val="0"/>
      <w:divBdr>
        <w:top w:val="none" w:sz="0" w:space="0" w:color="auto"/>
        <w:left w:val="none" w:sz="0" w:space="0" w:color="auto"/>
        <w:bottom w:val="none" w:sz="0" w:space="0" w:color="auto"/>
        <w:right w:val="none" w:sz="0" w:space="0" w:color="auto"/>
      </w:divBdr>
    </w:div>
    <w:div w:id="1843817603">
      <w:bodyDiv w:val="1"/>
      <w:marLeft w:val="0"/>
      <w:marRight w:val="0"/>
      <w:marTop w:val="0"/>
      <w:marBottom w:val="0"/>
      <w:divBdr>
        <w:top w:val="none" w:sz="0" w:space="0" w:color="auto"/>
        <w:left w:val="none" w:sz="0" w:space="0" w:color="auto"/>
        <w:bottom w:val="none" w:sz="0" w:space="0" w:color="auto"/>
        <w:right w:val="none" w:sz="0" w:space="0" w:color="auto"/>
      </w:divBdr>
    </w:div>
    <w:div w:id="1850371328">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5435">
      <w:bodyDiv w:val="1"/>
      <w:marLeft w:val="0"/>
      <w:marRight w:val="0"/>
      <w:marTop w:val="0"/>
      <w:marBottom w:val="0"/>
      <w:divBdr>
        <w:top w:val="none" w:sz="0" w:space="0" w:color="auto"/>
        <w:left w:val="none" w:sz="0" w:space="0" w:color="auto"/>
        <w:bottom w:val="none" w:sz="0" w:space="0" w:color="auto"/>
        <w:right w:val="none" w:sz="0" w:space="0" w:color="auto"/>
      </w:divBdr>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4437">
      <w:bodyDiv w:val="1"/>
      <w:marLeft w:val="0"/>
      <w:marRight w:val="0"/>
      <w:marTop w:val="0"/>
      <w:marBottom w:val="0"/>
      <w:divBdr>
        <w:top w:val="none" w:sz="0" w:space="0" w:color="auto"/>
        <w:left w:val="none" w:sz="0" w:space="0" w:color="auto"/>
        <w:bottom w:val="none" w:sz="0" w:space="0" w:color="auto"/>
        <w:right w:val="none" w:sz="0" w:space="0" w:color="auto"/>
      </w:divBdr>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39042080">
      <w:bodyDiv w:val="1"/>
      <w:marLeft w:val="0"/>
      <w:marRight w:val="0"/>
      <w:marTop w:val="0"/>
      <w:marBottom w:val="0"/>
      <w:divBdr>
        <w:top w:val="none" w:sz="0" w:space="0" w:color="auto"/>
        <w:left w:val="none" w:sz="0" w:space="0" w:color="auto"/>
        <w:bottom w:val="none" w:sz="0" w:space="0" w:color="auto"/>
        <w:right w:val="none" w:sz="0" w:space="0" w:color="auto"/>
      </w:divBdr>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4471">
      <w:bodyDiv w:val="1"/>
      <w:marLeft w:val="0"/>
      <w:marRight w:val="0"/>
      <w:marTop w:val="0"/>
      <w:marBottom w:val="0"/>
      <w:divBdr>
        <w:top w:val="none" w:sz="0" w:space="0" w:color="auto"/>
        <w:left w:val="none" w:sz="0" w:space="0" w:color="auto"/>
        <w:bottom w:val="none" w:sz="0" w:space="0" w:color="auto"/>
        <w:right w:val="none" w:sz="0" w:space="0" w:color="auto"/>
      </w:divBdr>
    </w:div>
    <w:div w:id="2065250228">
      <w:bodyDiv w:val="1"/>
      <w:marLeft w:val="0"/>
      <w:marRight w:val="0"/>
      <w:marTop w:val="0"/>
      <w:marBottom w:val="0"/>
      <w:divBdr>
        <w:top w:val="none" w:sz="0" w:space="0" w:color="auto"/>
        <w:left w:val="none" w:sz="0" w:space="0" w:color="auto"/>
        <w:bottom w:val="none" w:sz="0" w:space="0" w:color="auto"/>
        <w:right w:val="none" w:sz="0" w:space="0" w:color="auto"/>
      </w:divBdr>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midius.eu/GEH/info/popup_pdf_complete.php?id=5801" TargetMode="External"/><Relationship Id="rId26" Type="http://schemas.openxmlformats.org/officeDocument/2006/relationships/hyperlink" Target="http://emidius.mi.ingv.it/CPTI/" TargetMode="External"/><Relationship Id="rId39" Type="http://schemas.openxmlformats.org/officeDocument/2006/relationships/hyperlink" Target="http://www.emidius.eu/ahead/main/" TargetMode="External"/><Relationship Id="rId21" Type="http://schemas.openxmlformats.org/officeDocument/2006/relationships/hyperlink" Target="http://www.czechgeo.cz/en/gfu-catalog/" TargetMode="External"/><Relationship Id="rId34" Type="http://schemas.openxmlformats.org/officeDocument/2006/relationships/hyperlink" Target="http://www.ign.es/ign/resources/sismologia/publicaciones/Catalogohasta1900.pdf" TargetMode="External"/><Relationship Id="rId42" Type="http://schemas.openxmlformats.org/officeDocument/2006/relationships/hyperlink" Target="http://seismologie.be/index.php?LANG=NL&amp;CNT=BE&amp;LEVEL=230" TargetMode="External"/><Relationship Id="rId47" Type="http://schemas.openxmlformats.org/officeDocument/2006/relationships/hyperlink" Target="http://emidius.mi.ingv.it/ASMI/" TargetMode="External"/><Relationship Id="rId50" Type="http://schemas.openxmlformats.org/officeDocument/2006/relationships/image" Target="media/image6.jpeg"/><Relationship Id="rId55" Type="http://schemas.openxmlformats.org/officeDocument/2006/relationships/hyperlink" Target="http://www.neopal.net/" TargetMode="External"/><Relationship Id="rId63" Type="http://schemas.openxmlformats.org/officeDocument/2006/relationships/image" Target="media/image10.emf"/><Relationship Id="rId68" Type="http://schemas.openxmlformats.org/officeDocument/2006/relationships/image" Target="media/image15.emf"/><Relationship Id="rId76" Type="http://schemas.openxmlformats.org/officeDocument/2006/relationships/image" Target="media/image23.jpeg"/><Relationship Id="rId84" Type="http://schemas.openxmlformats.org/officeDocument/2006/relationships/image" Target="media/image31.jpeg"/><Relationship Id="rId89"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18.emf"/><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emidius.eu/SHEEC/" TargetMode="External"/><Relationship Id="rId29" Type="http://schemas.openxmlformats.org/officeDocument/2006/relationships/hyperlink" Target="http://www.norsardata.no/NDC/recenteq/lastweek.html" TargetMode="External"/><Relationship Id="rId11" Type="http://schemas.openxmlformats.org/officeDocument/2006/relationships/header" Target="header2.xml"/><Relationship Id="rId24" Type="http://schemas.openxmlformats.org/officeDocument/2006/relationships/hyperlink" Target="http://www.bgr.bund.de/DE/Themen/Erdbeben-Gefaehrdungsanalysen/Seismologie/Seismologie/Erdbebenauswertung/Erdbebenkataloge/historische_Kataloge/germany.html;jsessionid=65EFBFA658A59A61C9D528A2B1D33014.1_cid284?nn=1544984" TargetMode="External"/><Relationship Id="rId32" Type="http://schemas.openxmlformats.org/officeDocument/2006/relationships/hyperlink" Target="http://www1.infp.ro/seismic-catalogue/events?page=1" TargetMode="External"/><Relationship Id="rId37" Type="http://schemas.openxmlformats.org/officeDocument/2006/relationships/hyperlink" Target="http://wdc.org.ua/en/data" TargetMode="External"/><Relationship Id="rId40" Type="http://schemas.openxmlformats.org/officeDocument/2006/relationships/hyperlink" Target="https://www.zamg.ac.at/cms/de/geophysik/erdbeben/historische-erdbeben" TargetMode="External"/><Relationship Id="rId45" Type="http://schemas.openxmlformats.org/officeDocument/2006/relationships/hyperlink" Target="http://www.igc.cat/web/ca/sismologia_bdmacrosis.html" TargetMode="External"/><Relationship Id="rId53" Type="http://schemas.openxmlformats.org/officeDocument/2006/relationships/hyperlink" Target="http://ds.iris.edu/spud/momenttensor" TargetMode="External"/><Relationship Id="rId58" Type="http://schemas.openxmlformats.org/officeDocument/2006/relationships/hyperlink" Target="http://diss.rm.ingv.it/diss/" TargetMode="External"/><Relationship Id="rId66" Type="http://schemas.openxmlformats.org/officeDocument/2006/relationships/image" Target="media/image13.emf"/><Relationship Id="rId74" Type="http://schemas.openxmlformats.org/officeDocument/2006/relationships/image" Target="media/image21.jpeg"/><Relationship Id="rId79" Type="http://schemas.openxmlformats.org/officeDocument/2006/relationships/image" Target="media/image26.jpeg"/><Relationship Id="rId87"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8.emf"/><Relationship Id="rId82" Type="http://schemas.openxmlformats.org/officeDocument/2006/relationships/image" Target="media/image29.jpeg"/><Relationship Id="rId90" Type="http://schemas.openxmlformats.org/officeDocument/2006/relationships/header" Target="header4.xml"/><Relationship Id="rId19" Type="http://schemas.openxmlformats.org/officeDocument/2006/relationships/hyperlink" Target="http://seismologie.be/index.php?LANG=EN&amp;CNT=BE&amp;LEVEL=0" TargetMode="External"/><Relationship Id="rId14" Type="http://schemas.openxmlformats.org/officeDocument/2006/relationships/hyperlink" Target="https://en.wikipedia.org/wiki/Council_of_Ministers_of_the_Soviet_Union" TargetMode="External"/><Relationship Id="rId22" Type="http://schemas.openxmlformats.org/officeDocument/2006/relationships/hyperlink" Target="http://www.helsinki.fi/geo/seismo/maanjaristykset/suomi.html" TargetMode="External"/><Relationship Id="rId27" Type="http://schemas.openxmlformats.org/officeDocument/2006/relationships/hyperlink" Target="http://www.lmaleidykla.lt/ojs/index.php/geologija/article/view/1894/800" TargetMode="External"/><Relationship Id="rId30" Type="http://schemas.openxmlformats.org/officeDocument/2006/relationships/hyperlink" Target="http://www.emidius.eu/ahead/main/info/?en=62712" TargetMode="External"/><Relationship Id="rId35" Type="http://schemas.openxmlformats.org/officeDocument/2006/relationships/hyperlink" Target="http://www.icc.es/sismes/angles/atles/atles1/atles1ang.html" TargetMode="External"/><Relationship Id="rId43" Type="http://schemas.openxmlformats.org/officeDocument/2006/relationships/hyperlink" Target="http://www.ipe.muni.cz/newweb/english/temelin_en/hluboka_fault.php" TargetMode="External"/><Relationship Id="rId48" Type="http://schemas.openxmlformats.org/officeDocument/2006/relationships/hyperlink" Target="http://www.igc.cat/web/files/IGC_2006_sismologia_segles.pdf" TargetMode="External"/><Relationship Id="rId56" Type="http://schemas.openxmlformats.org/officeDocument/2006/relationships/hyperlink" Target="http://geophysics.elte.hu/atlas/geodin_atlas.htm" TargetMode="External"/><Relationship Id="rId64" Type="http://schemas.openxmlformats.org/officeDocument/2006/relationships/image" Target="media/image11.emf"/><Relationship Id="rId69" Type="http://schemas.openxmlformats.org/officeDocument/2006/relationships/image" Target="media/image16.emf"/><Relationship Id="rId77" Type="http://schemas.openxmlformats.org/officeDocument/2006/relationships/image" Target="media/image24.jpeg"/><Relationship Id="rId8" Type="http://schemas.openxmlformats.org/officeDocument/2006/relationships/header" Target="header1.xml"/><Relationship Id="rId51" Type="http://schemas.openxmlformats.org/officeDocument/2006/relationships/hyperlink" Target="http://www.globalcmt.org/" TargetMode="External"/><Relationship Id="rId72" Type="http://schemas.openxmlformats.org/officeDocument/2006/relationships/image" Target="media/image19.emf"/><Relationship Id="rId80" Type="http://schemas.openxmlformats.org/officeDocument/2006/relationships/image" Target="media/image27.jpeg"/><Relationship Id="rId85" Type="http://schemas.openxmlformats.org/officeDocument/2006/relationships/image" Target="media/image32.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gfz-potsdam.de/en/section/seismic-hazard-and-stress-field/products-and-services/cenec-earthquake-catalogue/" TargetMode="External"/><Relationship Id="rId25" Type="http://schemas.openxmlformats.org/officeDocument/2006/relationships/hyperlink" Target="http://www.seismology.hu/index.php/en/seismicity/earthquake-bulletins" TargetMode="External"/><Relationship Id="rId33" Type="http://schemas.openxmlformats.org/officeDocument/2006/relationships/hyperlink" Target="http://www.emidius.eu/AHEAD/main/info/?en=16940" TargetMode="External"/><Relationship Id="rId38" Type="http://schemas.openxmlformats.org/officeDocument/2006/relationships/image" Target="media/image5.jpeg"/><Relationship Id="rId46" Type="http://schemas.openxmlformats.org/officeDocument/2006/relationships/hyperlink" Target="http://macroseismology.geol.uoa.gr/" TargetMode="External"/><Relationship Id="rId59" Type="http://schemas.openxmlformats.org/officeDocument/2006/relationships/hyperlink" Target="http://www.ceri.uniroma1.it/" TargetMode="External"/><Relationship Id="rId67" Type="http://schemas.openxmlformats.org/officeDocument/2006/relationships/image" Target="media/image14.emf"/><Relationship Id="rId20" Type="http://schemas.openxmlformats.org/officeDocument/2006/relationships/hyperlink" Target="ftp://hazards.cr.usgs.gov/LAHR/iaspei/data/croatia/zag_eq.txt" TargetMode="External"/><Relationship Id="rId41" Type="http://schemas.openxmlformats.org/officeDocument/2006/relationships/hyperlink" Target="http://opac.geologie.ac.at/wwwopacx/wwwopac.ashx?command=getcontent&amp;server=images&amp;value=Abhandlungen_67.pdf" TargetMode="External"/><Relationship Id="rId54" Type="http://schemas.openxmlformats.org/officeDocument/2006/relationships/image" Target="media/image7.jpeg"/><Relationship Id="rId62" Type="http://schemas.openxmlformats.org/officeDocument/2006/relationships/image" Target="media/image9.jpeg"/><Relationship Id="rId70" Type="http://schemas.openxmlformats.org/officeDocument/2006/relationships/image" Target="media/image17.emf"/><Relationship Id="rId75" Type="http://schemas.openxmlformats.org/officeDocument/2006/relationships/image" Target="media/image22.jpeg"/><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seismo.helsinki.fi/english/bulletins/" TargetMode="External"/><Relationship Id="rId28" Type="http://schemas.openxmlformats.org/officeDocument/2006/relationships/hyperlink" Target="http://www.knmi.nl/nederland-nu/seismologie/aardbevingen" TargetMode="External"/><Relationship Id="rId36" Type="http://schemas.openxmlformats.org/officeDocument/2006/relationships/hyperlink" Target="http://quakes.bgs.ac.uk/earthquakes/dataSearch.html" TargetMode="External"/><Relationship Id="rId49" Type="http://schemas.openxmlformats.org/officeDocument/2006/relationships/hyperlink" Target="http://www.fdsn.org/networks/" TargetMode="External"/><Relationship Id="rId57" Type="http://schemas.openxmlformats.org/officeDocument/2006/relationships/hyperlink" Target="http://sgi1.isprambiente.it/GeoMapViewer/index.html" TargetMode="External"/><Relationship Id="rId10" Type="http://schemas.openxmlformats.org/officeDocument/2006/relationships/footer" Target="footer2.xml"/><Relationship Id="rId31" Type="http://schemas.openxmlformats.org/officeDocument/2006/relationships/hyperlink" Target="http://www.seismo.ethz.ch/static/gshap/neurasia/nordasiacat.txt" TargetMode="External"/><Relationship Id="rId44" Type="http://schemas.openxmlformats.org/officeDocument/2006/relationships/hyperlink" Target="http://www.ign.es/ign/layoutIn/bdmacrosismica.do" TargetMode="External"/><Relationship Id="rId52" Type="http://schemas.openxmlformats.org/officeDocument/2006/relationships/hyperlink" Target="http://www.globalcmt.org/" TargetMode="External"/><Relationship Id="rId60" Type="http://schemas.openxmlformats.org/officeDocument/2006/relationships/hyperlink" Target="http://www.igme.es/infoigme/aplicaciones/qafi/" TargetMode="External"/><Relationship Id="rId65" Type="http://schemas.openxmlformats.org/officeDocument/2006/relationships/image" Target="media/image12.emf"/><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image" Target="media/image33.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diss.rm.ingv.it/share-edsf/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T:\Dsr\SAGR\BEPAG\_Secr&#233;tariat\CROCI%20FRANCOIS%20Severine\Modele%20Courrier%20BEPAG\Mod&#232;le%20NT%20DSR%20SAGR%20Sans%20Lis&#233;r&#23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1F660-6A65-437D-BCCA-27BDFA0D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NT DSR SAGR Sans Liséré.dot</Template>
  <TotalTime>1</TotalTime>
  <Pages>143</Pages>
  <Words>46362</Words>
  <Characters>254994</Characters>
  <Application>Microsoft Office Word</Application>
  <DocSecurity>0</DocSecurity>
  <Lines>2124</Lines>
  <Paragraphs>601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RAR</vt:lpstr>
      <vt:lpstr>RAR</vt:lpstr>
      <vt:lpstr>RAR</vt:lpstr>
    </vt:vector>
  </TitlesOfParts>
  <Company>IRSN</Company>
  <LinksUpToDate>false</LinksUpToDate>
  <CharactersWithSpaces>300755</CharactersWithSpaces>
  <SharedDoc>false</SharedDoc>
  <HLinks>
    <vt:vector size="960" baseType="variant">
      <vt:variant>
        <vt:i4>1048624</vt:i4>
      </vt:variant>
      <vt:variant>
        <vt:i4>1253</vt:i4>
      </vt:variant>
      <vt:variant>
        <vt:i4>0</vt:i4>
      </vt:variant>
      <vt:variant>
        <vt:i4>5</vt:i4>
      </vt:variant>
      <vt:variant>
        <vt:lpwstr/>
      </vt:variant>
      <vt:variant>
        <vt:lpwstr>_Toc451445133</vt:lpwstr>
      </vt:variant>
      <vt:variant>
        <vt:i4>1048624</vt:i4>
      </vt:variant>
      <vt:variant>
        <vt:i4>1247</vt:i4>
      </vt:variant>
      <vt:variant>
        <vt:i4>0</vt:i4>
      </vt:variant>
      <vt:variant>
        <vt:i4>5</vt:i4>
      </vt:variant>
      <vt:variant>
        <vt:lpwstr/>
      </vt:variant>
      <vt:variant>
        <vt:lpwstr>_Toc451445132</vt:lpwstr>
      </vt:variant>
      <vt:variant>
        <vt:i4>1048624</vt:i4>
      </vt:variant>
      <vt:variant>
        <vt:i4>1241</vt:i4>
      </vt:variant>
      <vt:variant>
        <vt:i4>0</vt:i4>
      </vt:variant>
      <vt:variant>
        <vt:i4>5</vt:i4>
      </vt:variant>
      <vt:variant>
        <vt:lpwstr/>
      </vt:variant>
      <vt:variant>
        <vt:lpwstr>_Toc451445131</vt:lpwstr>
      </vt:variant>
      <vt:variant>
        <vt:i4>1048624</vt:i4>
      </vt:variant>
      <vt:variant>
        <vt:i4>1235</vt:i4>
      </vt:variant>
      <vt:variant>
        <vt:i4>0</vt:i4>
      </vt:variant>
      <vt:variant>
        <vt:i4>5</vt:i4>
      </vt:variant>
      <vt:variant>
        <vt:lpwstr/>
      </vt:variant>
      <vt:variant>
        <vt:lpwstr>_Toc451445130</vt:lpwstr>
      </vt:variant>
      <vt:variant>
        <vt:i4>1114160</vt:i4>
      </vt:variant>
      <vt:variant>
        <vt:i4>1229</vt:i4>
      </vt:variant>
      <vt:variant>
        <vt:i4>0</vt:i4>
      </vt:variant>
      <vt:variant>
        <vt:i4>5</vt:i4>
      </vt:variant>
      <vt:variant>
        <vt:lpwstr/>
      </vt:variant>
      <vt:variant>
        <vt:lpwstr>_Toc451445129</vt:lpwstr>
      </vt:variant>
      <vt:variant>
        <vt:i4>1114160</vt:i4>
      </vt:variant>
      <vt:variant>
        <vt:i4>1223</vt:i4>
      </vt:variant>
      <vt:variant>
        <vt:i4>0</vt:i4>
      </vt:variant>
      <vt:variant>
        <vt:i4>5</vt:i4>
      </vt:variant>
      <vt:variant>
        <vt:lpwstr/>
      </vt:variant>
      <vt:variant>
        <vt:lpwstr>_Toc451445128</vt:lpwstr>
      </vt:variant>
      <vt:variant>
        <vt:i4>1114160</vt:i4>
      </vt:variant>
      <vt:variant>
        <vt:i4>1217</vt:i4>
      </vt:variant>
      <vt:variant>
        <vt:i4>0</vt:i4>
      </vt:variant>
      <vt:variant>
        <vt:i4>5</vt:i4>
      </vt:variant>
      <vt:variant>
        <vt:lpwstr/>
      </vt:variant>
      <vt:variant>
        <vt:lpwstr>_Toc451445127</vt:lpwstr>
      </vt:variant>
      <vt:variant>
        <vt:i4>1114160</vt:i4>
      </vt:variant>
      <vt:variant>
        <vt:i4>1211</vt:i4>
      </vt:variant>
      <vt:variant>
        <vt:i4>0</vt:i4>
      </vt:variant>
      <vt:variant>
        <vt:i4>5</vt:i4>
      </vt:variant>
      <vt:variant>
        <vt:lpwstr/>
      </vt:variant>
      <vt:variant>
        <vt:lpwstr>_Toc451445126</vt:lpwstr>
      </vt:variant>
      <vt:variant>
        <vt:i4>1114160</vt:i4>
      </vt:variant>
      <vt:variant>
        <vt:i4>1205</vt:i4>
      </vt:variant>
      <vt:variant>
        <vt:i4>0</vt:i4>
      </vt:variant>
      <vt:variant>
        <vt:i4>5</vt:i4>
      </vt:variant>
      <vt:variant>
        <vt:lpwstr/>
      </vt:variant>
      <vt:variant>
        <vt:lpwstr>_Toc451445125</vt:lpwstr>
      </vt:variant>
      <vt:variant>
        <vt:i4>1114160</vt:i4>
      </vt:variant>
      <vt:variant>
        <vt:i4>1199</vt:i4>
      </vt:variant>
      <vt:variant>
        <vt:i4>0</vt:i4>
      </vt:variant>
      <vt:variant>
        <vt:i4>5</vt:i4>
      </vt:variant>
      <vt:variant>
        <vt:lpwstr/>
      </vt:variant>
      <vt:variant>
        <vt:lpwstr>_Toc451445124</vt:lpwstr>
      </vt:variant>
      <vt:variant>
        <vt:i4>1114160</vt:i4>
      </vt:variant>
      <vt:variant>
        <vt:i4>1193</vt:i4>
      </vt:variant>
      <vt:variant>
        <vt:i4>0</vt:i4>
      </vt:variant>
      <vt:variant>
        <vt:i4>5</vt:i4>
      </vt:variant>
      <vt:variant>
        <vt:lpwstr/>
      </vt:variant>
      <vt:variant>
        <vt:lpwstr>_Toc451445123</vt:lpwstr>
      </vt:variant>
      <vt:variant>
        <vt:i4>1114160</vt:i4>
      </vt:variant>
      <vt:variant>
        <vt:i4>1187</vt:i4>
      </vt:variant>
      <vt:variant>
        <vt:i4>0</vt:i4>
      </vt:variant>
      <vt:variant>
        <vt:i4>5</vt:i4>
      </vt:variant>
      <vt:variant>
        <vt:lpwstr/>
      </vt:variant>
      <vt:variant>
        <vt:lpwstr>_Toc451445122</vt:lpwstr>
      </vt:variant>
      <vt:variant>
        <vt:i4>1114160</vt:i4>
      </vt:variant>
      <vt:variant>
        <vt:i4>1181</vt:i4>
      </vt:variant>
      <vt:variant>
        <vt:i4>0</vt:i4>
      </vt:variant>
      <vt:variant>
        <vt:i4>5</vt:i4>
      </vt:variant>
      <vt:variant>
        <vt:lpwstr/>
      </vt:variant>
      <vt:variant>
        <vt:lpwstr>_Toc451445121</vt:lpwstr>
      </vt:variant>
      <vt:variant>
        <vt:i4>1114160</vt:i4>
      </vt:variant>
      <vt:variant>
        <vt:i4>1175</vt:i4>
      </vt:variant>
      <vt:variant>
        <vt:i4>0</vt:i4>
      </vt:variant>
      <vt:variant>
        <vt:i4>5</vt:i4>
      </vt:variant>
      <vt:variant>
        <vt:lpwstr/>
      </vt:variant>
      <vt:variant>
        <vt:lpwstr>_Toc451445120</vt:lpwstr>
      </vt:variant>
      <vt:variant>
        <vt:i4>1179696</vt:i4>
      </vt:variant>
      <vt:variant>
        <vt:i4>1169</vt:i4>
      </vt:variant>
      <vt:variant>
        <vt:i4>0</vt:i4>
      </vt:variant>
      <vt:variant>
        <vt:i4>5</vt:i4>
      </vt:variant>
      <vt:variant>
        <vt:lpwstr/>
      </vt:variant>
      <vt:variant>
        <vt:lpwstr>_Toc451445119</vt:lpwstr>
      </vt:variant>
      <vt:variant>
        <vt:i4>1179696</vt:i4>
      </vt:variant>
      <vt:variant>
        <vt:i4>1163</vt:i4>
      </vt:variant>
      <vt:variant>
        <vt:i4>0</vt:i4>
      </vt:variant>
      <vt:variant>
        <vt:i4>5</vt:i4>
      </vt:variant>
      <vt:variant>
        <vt:lpwstr/>
      </vt:variant>
      <vt:variant>
        <vt:lpwstr>_Toc451445118</vt:lpwstr>
      </vt:variant>
      <vt:variant>
        <vt:i4>1179696</vt:i4>
      </vt:variant>
      <vt:variant>
        <vt:i4>1157</vt:i4>
      </vt:variant>
      <vt:variant>
        <vt:i4>0</vt:i4>
      </vt:variant>
      <vt:variant>
        <vt:i4>5</vt:i4>
      </vt:variant>
      <vt:variant>
        <vt:lpwstr/>
      </vt:variant>
      <vt:variant>
        <vt:lpwstr>_Toc451445117</vt:lpwstr>
      </vt:variant>
      <vt:variant>
        <vt:i4>1179696</vt:i4>
      </vt:variant>
      <vt:variant>
        <vt:i4>1151</vt:i4>
      </vt:variant>
      <vt:variant>
        <vt:i4>0</vt:i4>
      </vt:variant>
      <vt:variant>
        <vt:i4>5</vt:i4>
      </vt:variant>
      <vt:variant>
        <vt:lpwstr/>
      </vt:variant>
      <vt:variant>
        <vt:lpwstr>_Toc451445116</vt:lpwstr>
      </vt:variant>
      <vt:variant>
        <vt:i4>1179696</vt:i4>
      </vt:variant>
      <vt:variant>
        <vt:i4>1145</vt:i4>
      </vt:variant>
      <vt:variant>
        <vt:i4>0</vt:i4>
      </vt:variant>
      <vt:variant>
        <vt:i4>5</vt:i4>
      </vt:variant>
      <vt:variant>
        <vt:lpwstr/>
      </vt:variant>
      <vt:variant>
        <vt:lpwstr>_Toc451445115</vt:lpwstr>
      </vt:variant>
      <vt:variant>
        <vt:i4>1179696</vt:i4>
      </vt:variant>
      <vt:variant>
        <vt:i4>1139</vt:i4>
      </vt:variant>
      <vt:variant>
        <vt:i4>0</vt:i4>
      </vt:variant>
      <vt:variant>
        <vt:i4>5</vt:i4>
      </vt:variant>
      <vt:variant>
        <vt:lpwstr/>
      </vt:variant>
      <vt:variant>
        <vt:lpwstr>_Toc451445114</vt:lpwstr>
      </vt:variant>
      <vt:variant>
        <vt:i4>1179696</vt:i4>
      </vt:variant>
      <vt:variant>
        <vt:i4>1133</vt:i4>
      </vt:variant>
      <vt:variant>
        <vt:i4>0</vt:i4>
      </vt:variant>
      <vt:variant>
        <vt:i4>5</vt:i4>
      </vt:variant>
      <vt:variant>
        <vt:lpwstr/>
      </vt:variant>
      <vt:variant>
        <vt:lpwstr>_Toc451445113</vt:lpwstr>
      </vt:variant>
      <vt:variant>
        <vt:i4>1179696</vt:i4>
      </vt:variant>
      <vt:variant>
        <vt:i4>1127</vt:i4>
      </vt:variant>
      <vt:variant>
        <vt:i4>0</vt:i4>
      </vt:variant>
      <vt:variant>
        <vt:i4>5</vt:i4>
      </vt:variant>
      <vt:variant>
        <vt:lpwstr/>
      </vt:variant>
      <vt:variant>
        <vt:lpwstr>_Toc451445112</vt:lpwstr>
      </vt:variant>
      <vt:variant>
        <vt:i4>1179696</vt:i4>
      </vt:variant>
      <vt:variant>
        <vt:i4>1121</vt:i4>
      </vt:variant>
      <vt:variant>
        <vt:i4>0</vt:i4>
      </vt:variant>
      <vt:variant>
        <vt:i4>5</vt:i4>
      </vt:variant>
      <vt:variant>
        <vt:lpwstr/>
      </vt:variant>
      <vt:variant>
        <vt:lpwstr>_Toc451445111</vt:lpwstr>
      </vt:variant>
      <vt:variant>
        <vt:i4>1179696</vt:i4>
      </vt:variant>
      <vt:variant>
        <vt:i4>1115</vt:i4>
      </vt:variant>
      <vt:variant>
        <vt:i4>0</vt:i4>
      </vt:variant>
      <vt:variant>
        <vt:i4>5</vt:i4>
      </vt:variant>
      <vt:variant>
        <vt:lpwstr/>
      </vt:variant>
      <vt:variant>
        <vt:lpwstr>_Toc451445110</vt:lpwstr>
      </vt:variant>
      <vt:variant>
        <vt:i4>1245232</vt:i4>
      </vt:variant>
      <vt:variant>
        <vt:i4>1109</vt:i4>
      </vt:variant>
      <vt:variant>
        <vt:i4>0</vt:i4>
      </vt:variant>
      <vt:variant>
        <vt:i4>5</vt:i4>
      </vt:variant>
      <vt:variant>
        <vt:lpwstr/>
      </vt:variant>
      <vt:variant>
        <vt:lpwstr>_Toc451445109</vt:lpwstr>
      </vt:variant>
      <vt:variant>
        <vt:i4>1245232</vt:i4>
      </vt:variant>
      <vt:variant>
        <vt:i4>1103</vt:i4>
      </vt:variant>
      <vt:variant>
        <vt:i4>0</vt:i4>
      </vt:variant>
      <vt:variant>
        <vt:i4>5</vt:i4>
      </vt:variant>
      <vt:variant>
        <vt:lpwstr/>
      </vt:variant>
      <vt:variant>
        <vt:lpwstr>_Toc451445108</vt:lpwstr>
      </vt:variant>
      <vt:variant>
        <vt:i4>1245232</vt:i4>
      </vt:variant>
      <vt:variant>
        <vt:i4>1097</vt:i4>
      </vt:variant>
      <vt:variant>
        <vt:i4>0</vt:i4>
      </vt:variant>
      <vt:variant>
        <vt:i4>5</vt:i4>
      </vt:variant>
      <vt:variant>
        <vt:lpwstr/>
      </vt:variant>
      <vt:variant>
        <vt:lpwstr>_Toc451445107</vt:lpwstr>
      </vt:variant>
      <vt:variant>
        <vt:i4>1114169</vt:i4>
      </vt:variant>
      <vt:variant>
        <vt:i4>1088</vt:i4>
      </vt:variant>
      <vt:variant>
        <vt:i4>0</vt:i4>
      </vt:variant>
      <vt:variant>
        <vt:i4>5</vt:i4>
      </vt:variant>
      <vt:variant>
        <vt:lpwstr/>
      </vt:variant>
      <vt:variant>
        <vt:lpwstr>_Toc451445822</vt:lpwstr>
      </vt:variant>
      <vt:variant>
        <vt:i4>1114169</vt:i4>
      </vt:variant>
      <vt:variant>
        <vt:i4>1082</vt:i4>
      </vt:variant>
      <vt:variant>
        <vt:i4>0</vt:i4>
      </vt:variant>
      <vt:variant>
        <vt:i4>5</vt:i4>
      </vt:variant>
      <vt:variant>
        <vt:lpwstr/>
      </vt:variant>
      <vt:variant>
        <vt:lpwstr>_Toc451445821</vt:lpwstr>
      </vt:variant>
      <vt:variant>
        <vt:i4>1114169</vt:i4>
      </vt:variant>
      <vt:variant>
        <vt:i4>1076</vt:i4>
      </vt:variant>
      <vt:variant>
        <vt:i4>0</vt:i4>
      </vt:variant>
      <vt:variant>
        <vt:i4>5</vt:i4>
      </vt:variant>
      <vt:variant>
        <vt:lpwstr/>
      </vt:variant>
      <vt:variant>
        <vt:lpwstr>_Toc451445820</vt:lpwstr>
      </vt:variant>
      <vt:variant>
        <vt:i4>1179705</vt:i4>
      </vt:variant>
      <vt:variant>
        <vt:i4>1070</vt:i4>
      </vt:variant>
      <vt:variant>
        <vt:i4>0</vt:i4>
      </vt:variant>
      <vt:variant>
        <vt:i4>5</vt:i4>
      </vt:variant>
      <vt:variant>
        <vt:lpwstr/>
      </vt:variant>
      <vt:variant>
        <vt:lpwstr>_Toc451445819</vt:lpwstr>
      </vt:variant>
      <vt:variant>
        <vt:i4>1179705</vt:i4>
      </vt:variant>
      <vt:variant>
        <vt:i4>1064</vt:i4>
      </vt:variant>
      <vt:variant>
        <vt:i4>0</vt:i4>
      </vt:variant>
      <vt:variant>
        <vt:i4>5</vt:i4>
      </vt:variant>
      <vt:variant>
        <vt:lpwstr/>
      </vt:variant>
      <vt:variant>
        <vt:lpwstr>_Toc451445818</vt:lpwstr>
      </vt:variant>
      <vt:variant>
        <vt:i4>1179705</vt:i4>
      </vt:variant>
      <vt:variant>
        <vt:i4>1058</vt:i4>
      </vt:variant>
      <vt:variant>
        <vt:i4>0</vt:i4>
      </vt:variant>
      <vt:variant>
        <vt:i4>5</vt:i4>
      </vt:variant>
      <vt:variant>
        <vt:lpwstr/>
      </vt:variant>
      <vt:variant>
        <vt:lpwstr>_Toc451445817</vt:lpwstr>
      </vt:variant>
      <vt:variant>
        <vt:i4>1179705</vt:i4>
      </vt:variant>
      <vt:variant>
        <vt:i4>1052</vt:i4>
      </vt:variant>
      <vt:variant>
        <vt:i4>0</vt:i4>
      </vt:variant>
      <vt:variant>
        <vt:i4>5</vt:i4>
      </vt:variant>
      <vt:variant>
        <vt:lpwstr/>
      </vt:variant>
      <vt:variant>
        <vt:lpwstr>_Toc451445816</vt:lpwstr>
      </vt:variant>
      <vt:variant>
        <vt:i4>1179705</vt:i4>
      </vt:variant>
      <vt:variant>
        <vt:i4>1046</vt:i4>
      </vt:variant>
      <vt:variant>
        <vt:i4>0</vt:i4>
      </vt:variant>
      <vt:variant>
        <vt:i4>5</vt:i4>
      </vt:variant>
      <vt:variant>
        <vt:lpwstr/>
      </vt:variant>
      <vt:variant>
        <vt:lpwstr>_Toc451445815</vt:lpwstr>
      </vt:variant>
      <vt:variant>
        <vt:i4>1179705</vt:i4>
      </vt:variant>
      <vt:variant>
        <vt:i4>1040</vt:i4>
      </vt:variant>
      <vt:variant>
        <vt:i4>0</vt:i4>
      </vt:variant>
      <vt:variant>
        <vt:i4>5</vt:i4>
      </vt:variant>
      <vt:variant>
        <vt:lpwstr/>
      </vt:variant>
      <vt:variant>
        <vt:lpwstr>_Toc451445814</vt:lpwstr>
      </vt:variant>
      <vt:variant>
        <vt:i4>1179705</vt:i4>
      </vt:variant>
      <vt:variant>
        <vt:i4>1034</vt:i4>
      </vt:variant>
      <vt:variant>
        <vt:i4>0</vt:i4>
      </vt:variant>
      <vt:variant>
        <vt:i4>5</vt:i4>
      </vt:variant>
      <vt:variant>
        <vt:lpwstr/>
      </vt:variant>
      <vt:variant>
        <vt:lpwstr>_Toc451445813</vt:lpwstr>
      </vt:variant>
      <vt:variant>
        <vt:i4>1179705</vt:i4>
      </vt:variant>
      <vt:variant>
        <vt:i4>1028</vt:i4>
      </vt:variant>
      <vt:variant>
        <vt:i4>0</vt:i4>
      </vt:variant>
      <vt:variant>
        <vt:i4>5</vt:i4>
      </vt:variant>
      <vt:variant>
        <vt:lpwstr/>
      </vt:variant>
      <vt:variant>
        <vt:lpwstr>_Toc451445812</vt:lpwstr>
      </vt:variant>
      <vt:variant>
        <vt:i4>1179705</vt:i4>
      </vt:variant>
      <vt:variant>
        <vt:i4>1022</vt:i4>
      </vt:variant>
      <vt:variant>
        <vt:i4>0</vt:i4>
      </vt:variant>
      <vt:variant>
        <vt:i4>5</vt:i4>
      </vt:variant>
      <vt:variant>
        <vt:lpwstr/>
      </vt:variant>
      <vt:variant>
        <vt:lpwstr>_Toc451445811</vt:lpwstr>
      </vt:variant>
      <vt:variant>
        <vt:i4>6422587</vt:i4>
      </vt:variant>
      <vt:variant>
        <vt:i4>678</vt:i4>
      </vt:variant>
      <vt:variant>
        <vt:i4>0</vt:i4>
      </vt:variant>
      <vt:variant>
        <vt:i4>5</vt:i4>
      </vt:variant>
      <vt:variant>
        <vt:lpwstr>http://www.igme.es/infoigme/aplicaciones/qafi/</vt:lpwstr>
      </vt:variant>
      <vt:variant>
        <vt:lpwstr/>
      </vt:variant>
      <vt:variant>
        <vt:i4>1179668</vt:i4>
      </vt:variant>
      <vt:variant>
        <vt:i4>675</vt:i4>
      </vt:variant>
      <vt:variant>
        <vt:i4>0</vt:i4>
      </vt:variant>
      <vt:variant>
        <vt:i4>5</vt:i4>
      </vt:variant>
      <vt:variant>
        <vt:lpwstr>http://www.ceri.uniroma1.it/</vt:lpwstr>
      </vt:variant>
      <vt:variant>
        <vt:lpwstr/>
      </vt:variant>
      <vt:variant>
        <vt:i4>1245195</vt:i4>
      </vt:variant>
      <vt:variant>
        <vt:i4>672</vt:i4>
      </vt:variant>
      <vt:variant>
        <vt:i4>0</vt:i4>
      </vt:variant>
      <vt:variant>
        <vt:i4>5</vt:i4>
      </vt:variant>
      <vt:variant>
        <vt:lpwstr>http://diss.rm.ingv.it/diss/</vt:lpwstr>
      </vt:variant>
      <vt:variant>
        <vt:lpwstr/>
      </vt:variant>
      <vt:variant>
        <vt:i4>3342447</vt:i4>
      </vt:variant>
      <vt:variant>
        <vt:i4>669</vt:i4>
      </vt:variant>
      <vt:variant>
        <vt:i4>0</vt:i4>
      </vt:variant>
      <vt:variant>
        <vt:i4>5</vt:i4>
      </vt:variant>
      <vt:variant>
        <vt:lpwstr>http://sgi1.isprambiente.it/GeoMapViewer/index.html</vt:lpwstr>
      </vt:variant>
      <vt:variant>
        <vt:lpwstr/>
      </vt:variant>
      <vt:variant>
        <vt:i4>1376314</vt:i4>
      </vt:variant>
      <vt:variant>
        <vt:i4>666</vt:i4>
      </vt:variant>
      <vt:variant>
        <vt:i4>0</vt:i4>
      </vt:variant>
      <vt:variant>
        <vt:i4>5</vt:i4>
      </vt:variant>
      <vt:variant>
        <vt:lpwstr>http://geophysics.elte.hu/atlas/geodin_atlas.htm</vt:lpwstr>
      </vt:variant>
      <vt:variant>
        <vt:lpwstr/>
      </vt:variant>
      <vt:variant>
        <vt:i4>3080243</vt:i4>
      </vt:variant>
      <vt:variant>
        <vt:i4>663</vt:i4>
      </vt:variant>
      <vt:variant>
        <vt:i4>0</vt:i4>
      </vt:variant>
      <vt:variant>
        <vt:i4>5</vt:i4>
      </vt:variant>
      <vt:variant>
        <vt:lpwstr>http://www.neopal.net/</vt:lpwstr>
      </vt:variant>
      <vt:variant>
        <vt:lpwstr/>
      </vt:variant>
      <vt:variant>
        <vt:i4>4390928</vt:i4>
      </vt:variant>
      <vt:variant>
        <vt:i4>645</vt:i4>
      </vt:variant>
      <vt:variant>
        <vt:i4>0</vt:i4>
      </vt:variant>
      <vt:variant>
        <vt:i4>5</vt:i4>
      </vt:variant>
      <vt:variant>
        <vt:lpwstr>http://ds.iris.edu/spud/momenttensor</vt:lpwstr>
      </vt:variant>
      <vt:variant>
        <vt:lpwstr/>
      </vt:variant>
      <vt:variant>
        <vt:i4>6094851</vt:i4>
      </vt:variant>
      <vt:variant>
        <vt:i4>642</vt:i4>
      </vt:variant>
      <vt:variant>
        <vt:i4>0</vt:i4>
      </vt:variant>
      <vt:variant>
        <vt:i4>5</vt:i4>
      </vt:variant>
      <vt:variant>
        <vt:lpwstr>http://www.globalcmt.org/</vt:lpwstr>
      </vt:variant>
      <vt:variant>
        <vt:lpwstr/>
      </vt:variant>
      <vt:variant>
        <vt:i4>6094851</vt:i4>
      </vt:variant>
      <vt:variant>
        <vt:i4>639</vt:i4>
      </vt:variant>
      <vt:variant>
        <vt:i4>0</vt:i4>
      </vt:variant>
      <vt:variant>
        <vt:i4>5</vt:i4>
      </vt:variant>
      <vt:variant>
        <vt:lpwstr>http://www.globalcmt.org/</vt:lpwstr>
      </vt:variant>
      <vt:variant>
        <vt:lpwstr/>
      </vt:variant>
      <vt:variant>
        <vt:i4>6160460</vt:i4>
      </vt:variant>
      <vt:variant>
        <vt:i4>615</vt:i4>
      </vt:variant>
      <vt:variant>
        <vt:i4>0</vt:i4>
      </vt:variant>
      <vt:variant>
        <vt:i4>5</vt:i4>
      </vt:variant>
      <vt:variant>
        <vt:lpwstr>http://www.fdsn.org/networks/</vt:lpwstr>
      </vt:variant>
      <vt:variant>
        <vt:lpwstr/>
      </vt:variant>
      <vt:variant>
        <vt:i4>5767228</vt:i4>
      </vt:variant>
      <vt:variant>
        <vt:i4>609</vt:i4>
      </vt:variant>
      <vt:variant>
        <vt:i4>0</vt:i4>
      </vt:variant>
      <vt:variant>
        <vt:i4>5</vt:i4>
      </vt:variant>
      <vt:variant>
        <vt:lpwstr>http://www.igc.cat/web/files/IGC_2006_sismologia_segles.pdf</vt:lpwstr>
      </vt:variant>
      <vt:variant>
        <vt:lpwstr/>
      </vt:variant>
      <vt:variant>
        <vt:i4>3801194</vt:i4>
      </vt:variant>
      <vt:variant>
        <vt:i4>606</vt:i4>
      </vt:variant>
      <vt:variant>
        <vt:i4>0</vt:i4>
      </vt:variant>
      <vt:variant>
        <vt:i4>5</vt:i4>
      </vt:variant>
      <vt:variant>
        <vt:lpwstr>http://emidius.mi.ingv.it/ASMI/</vt:lpwstr>
      </vt:variant>
      <vt:variant>
        <vt:lpwstr/>
      </vt:variant>
      <vt:variant>
        <vt:i4>3145778</vt:i4>
      </vt:variant>
      <vt:variant>
        <vt:i4>603</vt:i4>
      </vt:variant>
      <vt:variant>
        <vt:i4>0</vt:i4>
      </vt:variant>
      <vt:variant>
        <vt:i4>5</vt:i4>
      </vt:variant>
      <vt:variant>
        <vt:lpwstr>http://macroseismology.geol.uoa.gr/</vt:lpwstr>
      </vt:variant>
      <vt:variant>
        <vt:lpwstr/>
      </vt:variant>
      <vt:variant>
        <vt:i4>6094904</vt:i4>
      </vt:variant>
      <vt:variant>
        <vt:i4>600</vt:i4>
      </vt:variant>
      <vt:variant>
        <vt:i4>0</vt:i4>
      </vt:variant>
      <vt:variant>
        <vt:i4>5</vt:i4>
      </vt:variant>
      <vt:variant>
        <vt:lpwstr>http://www.igc.cat/web/ca/sismologia_bdmacrosis.html</vt:lpwstr>
      </vt:variant>
      <vt:variant>
        <vt:lpwstr/>
      </vt:variant>
      <vt:variant>
        <vt:i4>2031696</vt:i4>
      </vt:variant>
      <vt:variant>
        <vt:i4>597</vt:i4>
      </vt:variant>
      <vt:variant>
        <vt:i4>0</vt:i4>
      </vt:variant>
      <vt:variant>
        <vt:i4>5</vt:i4>
      </vt:variant>
      <vt:variant>
        <vt:lpwstr>http://www.ign.es/ign/layoutIn/bdmacrosismica.do</vt:lpwstr>
      </vt:variant>
      <vt:variant>
        <vt:lpwstr/>
      </vt:variant>
      <vt:variant>
        <vt:i4>196647</vt:i4>
      </vt:variant>
      <vt:variant>
        <vt:i4>594</vt:i4>
      </vt:variant>
      <vt:variant>
        <vt:i4>0</vt:i4>
      </vt:variant>
      <vt:variant>
        <vt:i4>5</vt:i4>
      </vt:variant>
      <vt:variant>
        <vt:lpwstr>http://www.bgr.bund.de/EN/Themen/Seismologie/Erdbebenauswertung_en/Kataloge_en/historisch/historische_erdbeben_inhalt_en.html</vt:lpwstr>
      </vt:variant>
      <vt:variant>
        <vt:lpwstr/>
      </vt:variant>
      <vt:variant>
        <vt:i4>5308429</vt:i4>
      </vt:variant>
      <vt:variant>
        <vt:i4>591</vt:i4>
      </vt:variant>
      <vt:variant>
        <vt:i4>0</vt:i4>
      </vt:variant>
      <vt:variant>
        <vt:i4>5</vt:i4>
      </vt:variant>
      <vt:variant>
        <vt:lpwstr>http://www.ipe.muni.cz/newweb/english/temelin_en/hluboka_fault.php</vt:lpwstr>
      </vt:variant>
      <vt:variant>
        <vt:lpwstr/>
      </vt:variant>
      <vt:variant>
        <vt:i4>65606</vt:i4>
      </vt:variant>
      <vt:variant>
        <vt:i4>588</vt:i4>
      </vt:variant>
      <vt:variant>
        <vt:i4>0</vt:i4>
      </vt:variant>
      <vt:variant>
        <vt:i4>5</vt:i4>
      </vt:variant>
      <vt:variant>
        <vt:lpwstr>http://seismologie.be/index.php?LANG=NL&amp;CNT=BE&amp;LEVEL=230</vt:lpwstr>
      </vt:variant>
      <vt:variant>
        <vt:lpwstr/>
      </vt:variant>
      <vt:variant>
        <vt:i4>7602268</vt:i4>
      </vt:variant>
      <vt:variant>
        <vt:i4>585</vt:i4>
      </vt:variant>
      <vt:variant>
        <vt:i4>0</vt:i4>
      </vt:variant>
      <vt:variant>
        <vt:i4>5</vt:i4>
      </vt:variant>
      <vt:variant>
        <vt:lpwstr>http://opac.geologie.ac.at/wwwopacx/wwwopac.ashx?command=getcontent&amp;server=images&amp;value=Abhandlungen_67.pdf</vt:lpwstr>
      </vt:variant>
      <vt:variant>
        <vt:lpwstr/>
      </vt:variant>
      <vt:variant>
        <vt:i4>131086</vt:i4>
      </vt:variant>
      <vt:variant>
        <vt:i4>582</vt:i4>
      </vt:variant>
      <vt:variant>
        <vt:i4>0</vt:i4>
      </vt:variant>
      <vt:variant>
        <vt:i4>5</vt:i4>
      </vt:variant>
      <vt:variant>
        <vt:lpwstr>https://www.zamg.ac.at/cms/de/geophysik/erdbeben/historische-erdbeben</vt:lpwstr>
      </vt:variant>
      <vt:variant>
        <vt:lpwstr/>
      </vt:variant>
      <vt:variant>
        <vt:i4>6160403</vt:i4>
      </vt:variant>
      <vt:variant>
        <vt:i4>579</vt:i4>
      </vt:variant>
      <vt:variant>
        <vt:i4>0</vt:i4>
      </vt:variant>
      <vt:variant>
        <vt:i4>5</vt:i4>
      </vt:variant>
      <vt:variant>
        <vt:lpwstr>http://www.emidius.eu/ahead/main/</vt:lpwstr>
      </vt:variant>
      <vt:variant>
        <vt:lpwstr/>
      </vt:variant>
      <vt:variant>
        <vt:i4>1245269</vt:i4>
      </vt:variant>
      <vt:variant>
        <vt:i4>561</vt:i4>
      </vt:variant>
      <vt:variant>
        <vt:i4>0</vt:i4>
      </vt:variant>
      <vt:variant>
        <vt:i4>5</vt:i4>
      </vt:variant>
      <vt:variant>
        <vt:lpwstr>http://wdc.org.ua/en/data</vt:lpwstr>
      </vt:variant>
      <vt:variant>
        <vt:lpwstr/>
      </vt:variant>
      <vt:variant>
        <vt:i4>3473528</vt:i4>
      </vt:variant>
      <vt:variant>
        <vt:i4>558</vt:i4>
      </vt:variant>
      <vt:variant>
        <vt:i4>0</vt:i4>
      </vt:variant>
      <vt:variant>
        <vt:i4>5</vt:i4>
      </vt:variant>
      <vt:variant>
        <vt:lpwstr>http://quakes.bgs.ac.uk/earthquakes/dataSearch.html</vt:lpwstr>
      </vt:variant>
      <vt:variant>
        <vt:lpwstr/>
      </vt:variant>
      <vt:variant>
        <vt:i4>3342446</vt:i4>
      </vt:variant>
      <vt:variant>
        <vt:i4>555</vt:i4>
      </vt:variant>
      <vt:variant>
        <vt:i4>0</vt:i4>
      </vt:variant>
      <vt:variant>
        <vt:i4>5</vt:i4>
      </vt:variant>
      <vt:variant>
        <vt:lpwstr>http://www.icc.es/sismes/angles/atles/atles1/atles1ang.html</vt:lpwstr>
      </vt:variant>
      <vt:variant>
        <vt:lpwstr/>
      </vt:variant>
      <vt:variant>
        <vt:i4>6619181</vt:i4>
      </vt:variant>
      <vt:variant>
        <vt:i4>552</vt:i4>
      </vt:variant>
      <vt:variant>
        <vt:i4>0</vt:i4>
      </vt:variant>
      <vt:variant>
        <vt:i4>5</vt:i4>
      </vt:variant>
      <vt:variant>
        <vt:lpwstr>http://www.ign.es/ign/resources/sismologia/publicaciones/Catalogohasta1900.pdf</vt:lpwstr>
      </vt:variant>
      <vt:variant>
        <vt:lpwstr/>
      </vt:variant>
      <vt:variant>
        <vt:i4>2359396</vt:i4>
      </vt:variant>
      <vt:variant>
        <vt:i4>549</vt:i4>
      </vt:variant>
      <vt:variant>
        <vt:i4>0</vt:i4>
      </vt:variant>
      <vt:variant>
        <vt:i4>5</vt:i4>
      </vt:variant>
      <vt:variant>
        <vt:lpwstr>http://www.emidius.eu/AHEAD/main/info/?en=16940</vt:lpwstr>
      </vt:variant>
      <vt:variant>
        <vt:lpwstr/>
      </vt:variant>
      <vt:variant>
        <vt:i4>6291491</vt:i4>
      </vt:variant>
      <vt:variant>
        <vt:i4>546</vt:i4>
      </vt:variant>
      <vt:variant>
        <vt:i4>0</vt:i4>
      </vt:variant>
      <vt:variant>
        <vt:i4>5</vt:i4>
      </vt:variant>
      <vt:variant>
        <vt:lpwstr>http://www1.infp.ro/seismic-catalogue/events?page=1</vt:lpwstr>
      </vt:variant>
      <vt:variant>
        <vt:lpwstr/>
      </vt:variant>
      <vt:variant>
        <vt:i4>4063353</vt:i4>
      </vt:variant>
      <vt:variant>
        <vt:i4>543</vt:i4>
      </vt:variant>
      <vt:variant>
        <vt:i4>0</vt:i4>
      </vt:variant>
      <vt:variant>
        <vt:i4>5</vt:i4>
      </vt:variant>
      <vt:variant>
        <vt:lpwstr>http://www.seismo.ethz.ch/static/gshap/neurasia/nordasiacat.txt</vt:lpwstr>
      </vt:variant>
      <vt:variant>
        <vt:lpwstr/>
      </vt:variant>
      <vt:variant>
        <vt:i4>2424941</vt:i4>
      </vt:variant>
      <vt:variant>
        <vt:i4>540</vt:i4>
      </vt:variant>
      <vt:variant>
        <vt:i4>0</vt:i4>
      </vt:variant>
      <vt:variant>
        <vt:i4>5</vt:i4>
      </vt:variant>
      <vt:variant>
        <vt:lpwstr>http://www.emidius.eu/ahead/main/info/?en=62712</vt:lpwstr>
      </vt:variant>
      <vt:variant>
        <vt:lpwstr/>
      </vt:variant>
      <vt:variant>
        <vt:i4>2162790</vt:i4>
      </vt:variant>
      <vt:variant>
        <vt:i4>537</vt:i4>
      </vt:variant>
      <vt:variant>
        <vt:i4>0</vt:i4>
      </vt:variant>
      <vt:variant>
        <vt:i4>5</vt:i4>
      </vt:variant>
      <vt:variant>
        <vt:lpwstr>http://www.norsardata.no/NDC/recenteq/lastweek.html</vt:lpwstr>
      </vt:variant>
      <vt:variant>
        <vt:lpwstr/>
      </vt:variant>
      <vt:variant>
        <vt:i4>196697</vt:i4>
      </vt:variant>
      <vt:variant>
        <vt:i4>534</vt:i4>
      </vt:variant>
      <vt:variant>
        <vt:i4>0</vt:i4>
      </vt:variant>
      <vt:variant>
        <vt:i4>5</vt:i4>
      </vt:variant>
      <vt:variant>
        <vt:lpwstr>http://www.knmi.nl/nederland-nu/seismologie/aardbevingen</vt:lpwstr>
      </vt:variant>
      <vt:variant>
        <vt:lpwstr/>
      </vt:variant>
      <vt:variant>
        <vt:i4>3342442</vt:i4>
      </vt:variant>
      <vt:variant>
        <vt:i4>531</vt:i4>
      </vt:variant>
      <vt:variant>
        <vt:i4>0</vt:i4>
      </vt:variant>
      <vt:variant>
        <vt:i4>5</vt:i4>
      </vt:variant>
      <vt:variant>
        <vt:lpwstr>http://www.lmaleidykla.lt/ojs/index.php/geologija/article/view/1894/800</vt:lpwstr>
      </vt:variant>
      <vt:variant>
        <vt:lpwstr/>
      </vt:variant>
      <vt:variant>
        <vt:i4>3735665</vt:i4>
      </vt:variant>
      <vt:variant>
        <vt:i4>528</vt:i4>
      </vt:variant>
      <vt:variant>
        <vt:i4>0</vt:i4>
      </vt:variant>
      <vt:variant>
        <vt:i4>5</vt:i4>
      </vt:variant>
      <vt:variant>
        <vt:lpwstr>http://emidius.mi.ingv.it/CPTI/</vt:lpwstr>
      </vt:variant>
      <vt:variant>
        <vt:lpwstr/>
      </vt:variant>
      <vt:variant>
        <vt:i4>1245273</vt:i4>
      </vt:variant>
      <vt:variant>
        <vt:i4>525</vt:i4>
      </vt:variant>
      <vt:variant>
        <vt:i4>0</vt:i4>
      </vt:variant>
      <vt:variant>
        <vt:i4>5</vt:i4>
      </vt:variant>
      <vt:variant>
        <vt:lpwstr>http://www.seismology.hu/index.php/en/seismicity/earthquake-bulletins</vt:lpwstr>
      </vt:variant>
      <vt:variant>
        <vt:lpwstr/>
      </vt:variant>
      <vt:variant>
        <vt:i4>1114188</vt:i4>
      </vt:variant>
      <vt:variant>
        <vt:i4>522</vt:i4>
      </vt:variant>
      <vt:variant>
        <vt:i4>0</vt:i4>
      </vt:variant>
      <vt:variant>
        <vt:i4>5</vt:i4>
      </vt:variant>
      <vt:variant>
        <vt:lpwstr>http://www.bgr.bund.de/DE/Themen/Erdbeben-Gefaehrdungsanalysen/Seismologie/Seismologie/Erdbebenauswertung/Erdbebenkataloge/historische_Kataloge/germany.html;jsessionid=65EFBFA658A59A61C9D528A2B1D33014.1_cid284?nn=1544984</vt:lpwstr>
      </vt:variant>
      <vt:variant>
        <vt:lpwstr/>
      </vt:variant>
      <vt:variant>
        <vt:i4>5767194</vt:i4>
      </vt:variant>
      <vt:variant>
        <vt:i4>519</vt:i4>
      </vt:variant>
      <vt:variant>
        <vt:i4>0</vt:i4>
      </vt:variant>
      <vt:variant>
        <vt:i4>5</vt:i4>
      </vt:variant>
      <vt:variant>
        <vt:lpwstr>http://www.seismo.helsinki.fi/english/bulletins/</vt:lpwstr>
      </vt:variant>
      <vt:variant>
        <vt:lpwstr/>
      </vt:variant>
      <vt:variant>
        <vt:i4>4587602</vt:i4>
      </vt:variant>
      <vt:variant>
        <vt:i4>516</vt:i4>
      </vt:variant>
      <vt:variant>
        <vt:i4>0</vt:i4>
      </vt:variant>
      <vt:variant>
        <vt:i4>5</vt:i4>
      </vt:variant>
      <vt:variant>
        <vt:lpwstr>http://www.helsinki.fi/geo/seismo/maanjaristykset/suomi.html</vt:lpwstr>
      </vt:variant>
      <vt:variant>
        <vt:lpwstr/>
      </vt:variant>
      <vt:variant>
        <vt:i4>3473517</vt:i4>
      </vt:variant>
      <vt:variant>
        <vt:i4>513</vt:i4>
      </vt:variant>
      <vt:variant>
        <vt:i4>0</vt:i4>
      </vt:variant>
      <vt:variant>
        <vt:i4>5</vt:i4>
      </vt:variant>
      <vt:variant>
        <vt:lpwstr>http://www.czechgeo.cz/en/gfu-catalog/</vt:lpwstr>
      </vt:variant>
      <vt:variant>
        <vt:lpwstr/>
      </vt:variant>
      <vt:variant>
        <vt:i4>5308532</vt:i4>
      </vt:variant>
      <vt:variant>
        <vt:i4>510</vt:i4>
      </vt:variant>
      <vt:variant>
        <vt:i4>0</vt:i4>
      </vt:variant>
      <vt:variant>
        <vt:i4>5</vt:i4>
      </vt:variant>
      <vt:variant>
        <vt:lpwstr>ftp://hazards.cr.usgs.gov/LAHR/iaspei/data/croatia/zag_eq.txt</vt:lpwstr>
      </vt:variant>
      <vt:variant>
        <vt:lpwstr/>
      </vt:variant>
      <vt:variant>
        <vt:i4>3670135</vt:i4>
      </vt:variant>
      <vt:variant>
        <vt:i4>507</vt:i4>
      </vt:variant>
      <vt:variant>
        <vt:i4>0</vt:i4>
      </vt:variant>
      <vt:variant>
        <vt:i4>5</vt:i4>
      </vt:variant>
      <vt:variant>
        <vt:lpwstr>http://seismologie.be/index.php?LANG=EN&amp;CNT=BE&amp;LEVEL=0</vt:lpwstr>
      </vt:variant>
      <vt:variant>
        <vt:lpwstr/>
      </vt:variant>
      <vt:variant>
        <vt:i4>5505036</vt:i4>
      </vt:variant>
      <vt:variant>
        <vt:i4>498</vt:i4>
      </vt:variant>
      <vt:variant>
        <vt:i4>0</vt:i4>
      </vt:variant>
      <vt:variant>
        <vt:i4>5</vt:i4>
      </vt:variant>
      <vt:variant>
        <vt:lpwstr>http://emidius.eu/GEH/info/popup_pdf_complete.php?id=5801</vt:lpwstr>
      </vt:variant>
      <vt:variant>
        <vt:lpwstr/>
      </vt:variant>
      <vt:variant>
        <vt:i4>7471205</vt:i4>
      </vt:variant>
      <vt:variant>
        <vt:i4>495</vt:i4>
      </vt:variant>
      <vt:variant>
        <vt:i4>0</vt:i4>
      </vt:variant>
      <vt:variant>
        <vt:i4>5</vt:i4>
      </vt:variant>
      <vt:variant>
        <vt:lpwstr>http://www.gfz-potsdam.de/en/section/seismic-hazard-and-stress-field/products-and-services/cenec-earthquake-catalogue/</vt:lpwstr>
      </vt:variant>
      <vt:variant>
        <vt:lpwstr/>
      </vt:variant>
      <vt:variant>
        <vt:i4>5570562</vt:i4>
      </vt:variant>
      <vt:variant>
        <vt:i4>492</vt:i4>
      </vt:variant>
      <vt:variant>
        <vt:i4>0</vt:i4>
      </vt:variant>
      <vt:variant>
        <vt:i4>5</vt:i4>
      </vt:variant>
      <vt:variant>
        <vt:lpwstr>http://www.emidius.eu/SHEEC/</vt:lpwstr>
      </vt:variant>
      <vt:variant>
        <vt:lpwstr/>
      </vt:variant>
      <vt:variant>
        <vt:i4>1900621</vt:i4>
      </vt:variant>
      <vt:variant>
        <vt:i4>471</vt:i4>
      </vt:variant>
      <vt:variant>
        <vt:i4>0</vt:i4>
      </vt:variant>
      <vt:variant>
        <vt:i4>5</vt:i4>
      </vt:variant>
      <vt:variant>
        <vt:lpwstr>https://en.wikipedia.org/wiki/Council_of_Ministers_of_the_Soviet_Union</vt:lpwstr>
      </vt:variant>
      <vt:variant>
        <vt:lpwstr/>
      </vt:variant>
      <vt:variant>
        <vt:i4>1048632</vt:i4>
      </vt:variant>
      <vt:variant>
        <vt:i4>452</vt:i4>
      </vt:variant>
      <vt:variant>
        <vt:i4>0</vt:i4>
      </vt:variant>
      <vt:variant>
        <vt:i4>5</vt:i4>
      </vt:variant>
      <vt:variant>
        <vt:lpwstr/>
      </vt:variant>
      <vt:variant>
        <vt:lpwstr>_Toc455497010</vt:lpwstr>
      </vt:variant>
      <vt:variant>
        <vt:i4>1114168</vt:i4>
      </vt:variant>
      <vt:variant>
        <vt:i4>446</vt:i4>
      </vt:variant>
      <vt:variant>
        <vt:i4>0</vt:i4>
      </vt:variant>
      <vt:variant>
        <vt:i4>5</vt:i4>
      </vt:variant>
      <vt:variant>
        <vt:lpwstr/>
      </vt:variant>
      <vt:variant>
        <vt:lpwstr>_Toc455497009</vt:lpwstr>
      </vt:variant>
      <vt:variant>
        <vt:i4>1114168</vt:i4>
      </vt:variant>
      <vt:variant>
        <vt:i4>440</vt:i4>
      </vt:variant>
      <vt:variant>
        <vt:i4>0</vt:i4>
      </vt:variant>
      <vt:variant>
        <vt:i4>5</vt:i4>
      </vt:variant>
      <vt:variant>
        <vt:lpwstr/>
      </vt:variant>
      <vt:variant>
        <vt:lpwstr>_Toc455497008</vt:lpwstr>
      </vt:variant>
      <vt:variant>
        <vt:i4>1114168</vt:i4>
      </vt:variant>
      <vt:variant>
        <vt:i4>434</vt:i4>
      </vt:variant>
      <vt:variant>
        <vt:i4>0</vt:i4>
      </vt:variant>
      <vt:variant>
        <vt:i4>5</vt:i4>
      </vt:variant>
      <vt:variant>
        <vt:lpwstr/>
      </vt:variant>
      <vt:variant>
        <vt:lpwstr>_Toc455497007</vt:lpwstr>
      </vt:variant>
      <vt:variant>
        <vt:i4>1114168</vt:i4>
      </vt:variant>
      <vt:variant>
        <vt:i4>428</vt:i4>
      </vt:variant>
      <vt:variant>
        <vt:i4>0</vt:i4>
      </vt:variant>
      <vt:variant>
        <vt:i4>5</vt:i4>
      </vt:variant>
      <vt:variant>
        <vt:lpwstr/>
      </vt:variant>
      <vt:variant>
        <vt:lpwstr>_Toc455497006</vt:lpwstr>
      </vt:variant>
      <vt:variant>
        <vt:i4>1114168</vt:i4>
      </vt:variant>
      <vt:variant>
        <vt:i4>422</vt:i4>
      </vt:variant>
      <vt:variant>
        <vt:i4>0</vt:i4>
      </vt:variant>
      <vt:variant>
        <vt:i4>5</vt:i4>
      </vt:variant>
      <vt:variant>
        <vt:lpwstr/>
      </vt:variant>
      <vt:variant>
        <vt:lpwstr>_Toc455497005</vt:lpwstr>
      </vt:variant>
      <vt:variant>
        <vt:i4>1114168</vt:i4>
      </vt:variant>
      <vt:variant>
        <vt:i4>416</vt:i4>
      </vt:variant>
      <vt:variant>
        <vt:i4>0</vt:i4>
      </vt:variant>
      <vt:variant>
        <vt:i4>5</vt:i4>
      </vt:variant>
      <vt:variant>
        <vt:lpwstr/>
      </vt:variant>
      <vt:variant>
        <vt:lpwstr>_Toc455497004</vt:lpwstr>
      </vt:variant>
      <vt:variant>
        <vt:i4>1114168</vt:i4>
      </vt:variant>
      <vt:variant>
        <vt:i4>410</vt:i4>
      </vt:variant>
      <vt:variant>
        <vt:i4>0</vt:i4>
      </vt:variant>
      <vt:variant>
        <vt:i4>5</vt:i4>
      </vt:variant>
      <vt:variant>
        <vt:lpwstr/>
      </vt:variant>
      <vt:variant>
        <vt:lpwstr>_Toc455497003</vt:lpwstr>
      </vt:variant>
      <vt:variant>
        <vt:i4>1114168</vt:i4>
      </vt:variant>
      <vt:variant>
        <vt:i4>404</vt:i4>
      </vt:variant>
      <vt:variant>
        <vt:i4>0</vt:i4>
      </vt:variant>
      <vt:variant>
        <vt:i4>5</vt:i4>
      </vt:variant>
      <vt:variant>
        <vt:lpwstr/>
      </vt:variant>
      <vt:variant>
        <vt:lpwstr>_Toc455497002</vt:lpwstr>
      </vt:variant>
      <vt:variant>
        <vt:i4>1114168</vt:i4>
      </vt:variant>
      <vt:variant>
        <vt:i4>398</vt:i4>
      </vt:variant>
      <vt:variant>
        <vt:i4>0</vt:i4>
      </vt:variant>
      <vt:variant>
        <vt:i4>5</vt:i4>
      </vt:variant>
      <vt:variant>
        <vt:lpwstr/>
      </vt:variant>
      <vt:variant>
        <vt:lpwstr>_Toc455497001</vt:lpwstr>
      </vt:variant>
      <vt:variant>
        <vt:i4>1114168</vt:i4>
      </vt:variant>
      <vt:variant>
        <vt:i4>392</vt:i4>
      </vt:variant>
      <vt:variant>
        <vt:i4>0</vt:i4>
      </vt:variant>
      <vt:variant>
        <vt:i4>5</vt:i4>
      </vt:variant>
      <vt:variant>
        <vt:lpwstr/>
      </vt:variant>
      <vt:variant>
        <vt:lpwstr>_Toc455497000</vt:lpwstr>
      </vt:variant>
      <vt:variant>
        <vt:i4>1638449</vt:i4>
      </vt:variant>
      <vt:variant>
        <vt:i4>386</vt:i4>
      </vt:variant>
      <vt:variant>
        <vt:i4>0</vt:i4>
      </vt:variant>
      <vt:variant>
        <vt:i4>5</vt:i4>
      </vt:variant>
      <vt:variant>
        <vt:lpwstr/>
      </vt:variant>
      <vt:variant>
        <vt:lpwstr>_Toc455496999</vt:lpwstr>
      </vt:variant>
      <vt:variant>
        <vt:i4>1638449</vt:i4>
      </vt:variant>
      <vt:variant>
        <vt:i4>380</vt:i4>
      </vt:variant>
      <vt:variant>
        <vt:i4>0</vt:i4>
      </vt:variant>
      <vt:variant>
        <vt:i4>5</vt:i4>
      </vt:variant>
      <vt:variant>
        <vt:lpwstr/>
      </vt:variant>
      <vt:variant>
        <vt:lpwstr>_Toc455496998</vt:lpwstr>
      </vt:variant>
      <vt:variant>
        <vt:i4>1638449</vt:i4>
      </vt:variant>
      <vt:variant>
        <vt:i4>374</vt:i4>
      </vt:variant>
      <vt:variant>
        <vt:i4>0</vt:i4>
      </vt:variant>
      <vt:variant>
        <vt:i4>5</vt:i4>
      </vt:variant>
      <vt:variant>
        <vt:lpwstr/>
      </vt:variant>
      <vt:variant>
        <vt:lpwstr>_Toc455496997</vt:lpwstr>
      </vt:variant>
      <vt:variant>
        <vt:i4>1638449</vt:i4>
      </vt:variant>
      <vt:variant>
        <vt:i4>368</vt:i4>
      </vt:variant>
      <vt:variant>
        <vt:i4>0</vt:i4>
      </vt:variant>
      <vt:variant>
        <vt:i4>5</vt:i4>
      </vt:variant>
      <vt:variant>
        <vt:lpwstr/>
      </vt:variant>
      <vt:variant>
        <vt:lpwstr>_Toc455496996</vt:lpwstr>
      </vt:variant>
      <vt:variant>
        <vt:i4>1638449</vt:i4>
      </vt:variant>
      <vt:variant>
        <vt:i4>362</vt:i4>
      </vt:variant>
      <vt:variant>
        <vt:i4>0</vt:i4>
      </vt:variant>
      <vt:variant>
        <vt:i4>5</vt:i4>
      </vt:variant>
      <vt:variant>
        <vt:lpwstr/>
      </vt:variant>
      <vt:variant>
        <vt:lpwstr>_Toc455496995</vt:lpwstr>
      </vt:variant>
      <vt:variant>
        <vt:i4>1638449</vt:i4>
      </vt:variant>
      <vt:variant>
        <vt:i4>356</vt:i4>
      </vt:variant>
      <vt:variant>
        <vt:i4>0</vt:i4>
      </vt:variant>
      <vt:variant>
        <vt:i4>5</vt:i4>
      </vt:variant>
      <vt:variant>
        <vt:lpwstr/>
      </vt:variant>
      <vt:variant>
        <vt:lpwstr>_Toc455496994</vt:lpwstr>
      </vt:variant>
      <vt:variant>
        <vt:i4>1638449</vt:i4>
      </vt:variant>
      <vt:variant>
        <vt:i4>350</vt:i4>
      </vt:variant>
      <vt:variant>
        <vt:i4>0</vt:i4>
      </vt:variant>
      <vt:variant>
        <vt:i4>5</vt:i4>
      </vt:variant>
      <vt:variant>
        <vt:lpwstr/>
      </vt:variant>
      <vt:variant>
        <vt:lpwstr>_Toc455496993</vt:lpwstr>
      </vt:variant>
      <vt:variant>
        <vt:i4>1638449</vt:i4>
      </vt:variant>
      <vt:variant>
        <vt:i4>344</vt:i4>
      </vt:variant>
      <vt:variant>
        <vt:i4>0</vt:i4>
      </vt:variant>
      <vt:variant>
        <vt:i4>5</vt:i4>
      </vt:variant>
      <vt:variant>
        <vt:lpwstr/>
      </vt:variant>
      <vt:variant>
        <vt:lpwstr>_Toc455496992</vt:lpwstr>
      </vt:variant>
      <vt:variant>
        <vt:i4>1638449</vt:i4>
      </vt:variant>
      <vt:variant>
        <vt:i4>338</vt:i4>
      </vt:variant>
      <vt:variant>
        <vt:i4>0</vt:i4>
      </vt:variant>
      <vt:variant>
        <vt:i4>5</vt:i4>
      </vt:variant>
      <vt:variant>
        <vt:lpwstr/>
      </vt:variant>
      <vt:variant>
        <vt:lpwstr>_Toc455496991</vt:lpwstr>
      </vt:variant>
      <vt:variant>
        <vt:i4>1638449</vt:i4>
      </vt:variant>
      <vt:variant>
        <vt:i4>332</vt:i4>
      </vt:variant>
      <vt:variant>
        <vt:i4>0</vt:i4>
      </vt:variant>
      <vt:variant>
        <vt:i4>5</vt:i4>
      </vt:variant>
      <vt:variant>
        <vt:lpwstr/>
      </vt:variant>
      <vt:variant>
        <vt:lpwstr>_Toc455496990</vt:lpwstr>
      </vt:variant>
      <vt:variant>
        <vt:i4>1572913</vt:i4>
      </vt:variant>
      <vt:variant>
        <vt:i4>326</vt:i4>
      </vt:variant>
      <vt:variant>
        <vt:i4>0</vt:i4>
      </vt:variant>
      <vt:variant>
        <vt:i4>5</vt:i4>
      </vt:variant>
      <vt:variant>
        <vt:lpwstr/>
      </vt:variant>
      <vt:variant>
        <vt:lpwstr>_Toc455496989</vt:lpwstr>
      </vt:variant>
      <vt:variant>
        <vt:i4>1572913</vt:i4>
      </vt:variant>
      <vt:variant>
        <vt:i4>320</vt:i4>
      </vt:variant>
      <vt:variant>
        <vt:i4>0</vt:i4>
      </vt:variant>
      <vt:variant>
        <vt:i4>5</vt:i4>
      </vt:variant>
      <vt:variant>
        <vt:lpwstr/>
      </vt:variant>
      <vt:variant>
        <vt:lpwstr>_Toc455496988</vt:lpwstr>
      </vt:variant>
      <vt:variant>
        <vt:i4>1572913</vt:i4>
      </vt:variant>
      <vt:variant>
        <vt:i4>314</vt:i4>
      </vt:variant>
      <vt:variant>
        <vt:i4>0</vt:i4>
      </vt:variant>
      <vt:variant>
        <vt:i4>5</vt:i4>
      </vt:variant>
      <vt:variant>
        <vt:lpwstr/>
      </vt:variant>
      <vt:variant>
        <vt:lpwstr>_Toc455496987</vt:lpwstr>
      </vt:variant>
      <vt:variant>
        <vt:i4>1572913</vt:i4>
      </vt:variant>
      <vt:variant>
        <vt:i4>308</vt:i4>
      </vt:variant>
      <vt:variant>
        <vt:i4>0</vt:i4>
      </vt:variant>
      <vt:variant>
        <vt:i4>5</vt:i4>
      </vt:variant>
      <vt:variant>
        <vt:lpwstr/>
      </vt:variant>
      <vt:variant>
        <vt:lpwstr>_Toc455496986</vt:lpwstr>
      </vt:variant>
      <vt:variant>
        <vt:i4>1572913</vt:i4>
      </vt:variant>
      <vt:variant>
        <vt:i4>302</vt:i4>
      </vt:variant>
      <vt:variant>
        <vt:i4>0</vt:i4>
      </vt:variant>
      <vt:variant>
        <vt:i4>5</vt:i4>
      </vt:variant>
      <vt:variant>
        <vt:lpwstr/>
      </vt:variant>
      <vt:variant>
        <vt:lpwstr>_Toc455496985</vt:lpwstr>
      </vt:variant>
      <vt:variant>
        <vt:i4>1572913</vt:i4>
      </vt:variant>
      <vt:variant>
        <vt:i4>296</vt:i4>
      </vt:variant>
      <vt:variant>
        <vt:i4>0</vt:i4>
      </vt:variant>
      <vt:variant>
        <vt:i4>5</vt:i4>
      </vt:variant>
      <vt:variant>
        <vt:lpwstr/>
      </vt:variant>
      <vt:variant>
        <vt:lpwstr>_Toc455496984</vt:lpwstr>
      </vt:variant>
      <vt:variant>
        <vt:i4>1572913</vt:i4>
      </vt:variant>
      <vt:variant>
        <vt:i4>290</vt:i4>
      </vt:variant>
      <vt:variant>
        <vt:i4>0</vt:i4>
      </vt:variant>
      <vt:variant>
        <vt:i4>5</vt:i4>
      </vt:variant>
      <vt:variant>
        <vt:lpwstr/>
      </vt:variant>
      <vt:variant>
        <vt:lpwstr>_Toc455496983</vt:lpwstr>
      </vt:variant>
      <vt:variant>
        <vt:i4>1572913</vt:i4>
      </vt:variant>
      <vt:variant>
        <vt:i4>284</vt:i4>
      </vt:variant>
      <vt:variant>
        <vt:i4>0</vt:i4>
      </vt:variant>
      <vt:variant>
        <vt:i4>5</vt:i4>
      </vt:variant>
      <vt:variant>
        <vt:lpwstr/>
      </vt:variant>
      <vt:variant>
        <vt:lpwstr>_Toc455496982</vt:lpwstr>
      </vt:variant>
      <vt:variant>
        <vt:i4>1572913</vt:i4>
      </vt:variant>
      <vt:variant>
        <vt:i4>278</vt:i4>
      </vt:variant>
      <vt:variant>
        <vt:i4>0</vt:i4>
      </vt:variant>
      <vt:variant>
        <vt:i4>5</vt:i4>
      </vt:variant>
      <vt:variant>
        <vt:lpwstr/>
      </vt:variant>
      <vt:variant>
        <vt:lpwstr>_Toc455496981</vt:lpwstr>
      </vt:variant>
      <vt:variant>
        <vt:i4>1572913</vt:i4>
      </vt:variant>
      <vt:variant>
        <vt:i4>272</vt:i4>
      </vt:variant>
      <vt:variant>
        <vt:i4>0</vt:i4>
      </vt:variant>
      <vt:variant>
        <vt:i4>5</vt:i4>
      </vt:variant>
      <vt:variant>
        <vt:lpwstr/>
      </vt:variant>
      <vt:variant>
        <vt:lpwstr>_Toc455496980</vt:lpwstr>
      </vt:variant>
      <vt:variant>
        <vt:i4>1507377</vt:i4>
      </vt:variant>
      <vt:variant>
        <vt:i4>266</vt:i4>
      </vt:variant>
      <vt:variant>
        <vt:i4>0</vt:i4>
      </vt:variant>
      <vt:variant>
        <vt:i4>5</vt:i4>
      </vt:variant>
      <vt:variant>
        <vt:lpwstr/>
      </vt:variant>
      <vt:variant>
        <vt:lpwstr>_Toc455496979</vt:lpwstr>
      </vt:variant>
      <vt:variant>
        <vt:i4>1507377</vt:i4>
      </vt:variant>
      <vt:variant>
        <vt:i4>260</vt:i4>
      </vt:variant>
      <vt:variant>
        <vt:i4>0</vt:i4>
      </vt:variant>
      <vt:variant>
        <vt:i4>5</vt:i4>
      </vt:variant>
      <vt:variant>
        <vt:lpwstr/>
      </vt:variant>
      <vt:variant>
        <vt:lpwstr>_Toc455496978</vt:lpwstr>
      </vt:variant>
      <vt:variant>
        <vt:i4>1507377</vt:i4>
      </vt:variant>
      <vt:variant>
        <vt:i4>254</vt:i4>
      </vt:variant>
      <vt:variant>
        <vt:i4>0</vt:i4>
      </vt:variant>
      <vt:variant>
        <vt:i4>5</vt:i4>
      </vt:variant>
      <vt:variant>
        <vt:lpwstr/>
      </vt:variant>
      <vt:variant>
        <vt:lpwstr>_Toc455496977</vt:lpwstr>
      </vt:variant>
      <vt:variant>
        <vt:i4>1507377</vt:i4>
      </vt:variant>
      <vt:variant>
        <vt:i4>248</vt:i4>
      </vt:variant>
      <vt:variant>
        <vt:i4>0</vt:i4>
      </vt:variant>
      <vt:variant>
        <vt:i4>5</vt:i4>
      </vt:variant>
      <vt:variant>
        <vt:lpwstr/>
      </vt:variant>
      <vt:variant>
        <vt:lpwstr>_Toc455496976</vt:lpwstr>
      </vt:variant>
      <vt:variant>
        <vt:i4>1507377</vt:i4>
      </vt:variant>
      <vt:variant>
        <vt:i4>242</vt:i4>
      </vt:variant>
      <vt:variant>
        <vt:i4>0</vt:i4>
      </vt:variant>
      <vt:variant>
        <vt:i4>5</vt:i4>
      </vt:variant>
      <vt:variant>
        <vt:lpwstr/>
      </vt:variant>
      <vt:variant>
        <vt:lpwstr>_Toc455496975</vt:lpwstr>
      </vt:variant>
      <vt:variant>
        <vt:i4>1507377</vt:i4>
      </vt:variant>
      <vt:variant>
        <vt:i4>236</vt:i4>
      </vt:variant>
      <vt:variant>
        <vt:i4>0</vt:i4>
      </vt:variant>
      <vt:variant>
        <vt:i4>5</vt:i4>
      </vt:variant>
      <vt:variant>
        <vt:lpwstr/>
      </vt:variant>
      <vt:variant>
        <vt:lpwstr>_Toc455496974</vt:lpwstr>
      </vt:variant>
      <vt:variant>
        <vt:i4>1507377</vt:i4>
      </vt:variant>
      <vt:variant>
        <vt:i4>230</vt:i4>
      </vt:variant>
      <vt:variant>
        <vt:i4>0</vt:i4>
      </vt:variant>
      <vt:variant>
        <vt:i4>5</vt:i4>
      </vt:variant>
      <vt:variant>
        <vt:lpwstr/>
      </vt:variant>
      <vt:variant>
        <vt:lpwstr>_Toc455496973</vt:lpwstr>
      </vt:variant>
      <vt:variant>
        <vt:i4>1507377</vt:i4>
      </vt:variant>
      <vt:variant>
        <vt:i4>224</vt:i4>
      </vt:variant>
      <vt:variant>
        <vt:i4>0</vt:i4>
      </vt:variant>
      <vt:variant>
        <vt:i4>5</vt:i4>
      </vt:variant>
      <vt:variant>
        <vt:lpwstr/>
      </vt:variant>
      <vt:variant>
        <vt:lpwstr>_Toc455496972</vt:lpwstr>
      </vt:variant>
      <vt:variant>
        <vt:i4>1507377</vt:i4>
      </vt:variant>
      <vt:variant>
        <vt:i4>218</vt:i4>
      </vt:variant>
      <vt:variant>
        <vt:i4>0</vt:i4>
      </vt:variant>
      <vt:variant>
        <vt:i4>5</vt:i4>
      </vt:variant>
      <vt:variant>
        <vt:lpwstr/>
      </vt:variant>
      <vt:variant>
        <vt:lpwstr>_Toc455496971</vt:lpwstr>
      </vt:variant>
      <vt:variant>
        <vt:i4>1507377</vt:i4>
      </vt:variant>
      <vt:variant>
        <vt:i4>212</vt:i4>
      </vt:variant>
      <vt:variant>
        <vt:i4>0</vt:i4>
      </vt:variant>
      <vt:variant>
        <vt:i4>5</vt:i4>
      </vt:variant>
      <vt:variant>
        <vt:lpwstr/>
      </vt:variant>
      <vt:variant>
        <vt:lpwstr>_Toc455496970</vt:lpwstr>
      </vt:variant>
      <vt:variant>
        <vt:i4>1441841</vt:i4>
      </vt:variant>
      <vt:variant>
        <vt:i4>206</vt:i4>
      </vt:variant>
      <vt:variant>
        <vt:i4>0</vt:i4>
      </vt:variant>
      <vt:variant>
        <vt:i4>5</vt:i4>
      </vt:variant>
      <vt:variant>
        <vt:lpwstr/>
      </vt:variant>
      <vt:variant>
        <vt:lpwstr>_Toc455496969</vt:lpwstr>
      </vt:variant>
      <vt:variant>
        <vt:i4>1441841</vt:i4>
      </vt:variant>
      <vt:variant>
        <vt:i4>200</vt:i4>
      </vt:variant>
      <vt:variant>
        <vt:i4>0</vt:i4>
      </vt:variant>
      <vt:variant>
        <vt:i4>5</vt:i4>
      </vt:variant>
      <vt:variant>
        <vt:lpwstr/>
      </vt:variant>
      <vt:variant>
        <vt:lpwstr>_Toc455496968</vt:lpwstr>
      </vt:variant>
      <vt:variant>
        <vt:i4>1441841</vt:i4>
      </vt:variant>
      <vt:variant>
        <vt:i4>194</vt:i4>
      </vt:variant>
      <vt:variant>
        <vt:i4>0</vt:i4>
      </vt:variant>
      <vt:variant>
        <vt:i4>5</vt:i4>
      </vt:variant>
      <vt:variant>
        <vt:lpwstr/>
      </vt:variant>
      <vt:variant>
        <vt:lpwstr>_Toc455496967</vt:lpwstr>
      </vt:variant>
      <vt:variant>
        <vt:i4>1441841</vt:i4>
      </vt:variant>
      <vt:variant>
        <vt:i4>188</vt:i4>
      </vt:variant>
      <vt:variant>
        <vt:i4>0</vt:i4>
      </vt:variant>
      <vt:variant>
        <vt:i4>5</vt:i4>
      </vt:variant>
      <vt:variant>
        <vt:lpwstr/>
      </vt:variant>
      <vt:variant>
        <vt:lpwstr>_Toc455496966</vt:lpwstr>
      </vt:variant>
      <vt:variant>
        <vt:i4>1441841</vt:i4>
      </vt:variant>
      <vt:variant>
        <vt:i4>182</vt:i4>
      </vt:variant>
      <vt:variant>
        <vt:i4>0</vt:i4>
      </vt:variant>
      <vt:variant>
        <vt:i4>5</vt:i4>
      </vt:variant>
      <vt:variant>
        <vt:lpwstr/>
      </vt:variant>
      <vt:variant>
        <vt:lpwstr>_Toc455496965</vt:lpwstr>
      </vt:variant>
      <vt:variant>
        <vt:i4>1441841</vt:i4>
      </vt:variant>
      <vt:variant>
        <vt:i4>176</vt:i4>
      </vt:variant>
      <vt:variant>
        <vt:i4>0</vt:i4>
      </vt:variant>
      <vt:variant>
        <vt:i4>5</vt:i4>
      </vt:variant>
      <vt:variant>
        <vt:lpwstr/>
      </vt:variant>
      <vt:variant>
        <vt:lpwstr>_Toc455496964</vt:lpwstr>
      </vt:variant>
      <vt:variant>
        <vt:i4>1441841</vt:i4>
      </vt:variant>
      <vt:variant>
        <vt:i4>170</vt:i4>
      </vt:variant>
      <vt:variant>
        <vt:i4>0</vt:i4>
      </vt:variant>
      <vt:variant>
        <vt:i4>5</vt:i4>
      </vt:variant>
      <vt:variant>
        <vt:lpwstr/>
      </vt:variant>
      <vt:variant>
        <vt:lpwstr>_Toc455496963</vt:lpwstr>
      </vt:variant>
      <vt:variant>
        <vt:i4>1441841</vt:i4>
      </vt:variant>
      <vt:variant>
        <vt:i4>164</vt:i4>
      </vt:variant>
      <vt:variant>
        <vt:i4>0</vt:i4>
      </vt:variant>
      <vt:variant>
        <vt:i4>5</vt:i4>
      </vt:variant>
      <vt:variant>
        <vt:lpwstr/>
      </vt:variant>
      <vt:variant>
        <vt:lpwstr>_Toc455496962</vt:lpwstr>
      </vt:variant>
      <vt:variant>
        <vt:i4>1441841</vt:i4>
      </vt:variant>
      <vt:variant>
        <vt:i4>158</vt:i4>
      </vt:variant>
      <vt:variant>
        <vt:i4>0</vt:i4>
      </vt:variant>
      <vt:variant>
        <vt:i4>5</vt:i4>
      </vt:variant>
      <vt:variant>
        <vt:lpwstr/>
      </vt:variant>
      <vt:variant>
        <vt:lpwstr>_Toc455496961</vt:lpwstr>
      </vt:variant>
      <vt:variant>
        <vt:i4>1441841</vt:i4>
      </vt:variant>
      <vt:variant>
        <vt:i4>152</vt:i4>
      </vt:variant>
      <vt:variant>
        <vt:i4>0</vt:i4>
      </vt:variant>
      <vt:variant>
        <vt:i4>5</vt:i4>
      </vt:variant>
      <vt:variant>
        <vt:lpwstr/>
      </vt:variant>
      <vt:variant>
        <vt:lpwstr>_Toc455496960</vt:lpwstr>
      </vt:variant>
      <vt:variant>
        <vt:i4>1376305</vt:i4>
      </vt:variant>
      <vt:variant>
        <vt:i4>146</vt:i4>
      </vt:variant>
      <vt:variant>
        <vt:i4>0</vt:i4>
      </vt:variant>
      <vt:variant>
        <vt:i4>5</vt:i4>
      </vt:variant>
      <vt:variant>
        <vt:lpwstr/>
      </vt:variant>
      <vt:variant>
        <vt:lpwstr>_Toc455496959</vt:lpwstr>
      </vt:variant>
      <vt:variant>
        <vt:i4>1376305</vt:i4>
      </vt:variant>
      <vt:variant>
        <vt:i4>140</vt:i4>
      </vt:variant>
      <vt:variant>
        <vt:i4>0</vt:i4>
      </vt:variant>
      <vt:variant>
        <vt:i4>5</vt:i4>
      </vt:variant>
      <vt:variant>
        <vt:lpwstr/>
      </vt:variant>
      <vt:variant>
        <vt:lpwstr>_Toc455496958</vt:lpwstr>
      </vt:variant>
      <vt:variant>
        <vt:i4>1376305</vt:i4>
      </vt:variant>
      <vt:variant>
        <vt:i4>134</vt:i4>
      </vt:variant>
      <vt:variant>
        <vt:i4>0</vt:i4>
      </vt:variant>
      <vt:variant>
        <vt:i4>5</vt:i4>
      </vt:variant>
      <vt:variant>
        <vt:lpwstr/>
      </vt:variant>
      <vt:variant>
        <vt:lpwstr>_Toc455496957</vt:lpwstr>
      </vt:variant>
      <vt:variant>
        <vt:i4>1376305</vt:i4>
      </vt:variant>
      <vt:variant>
        <vt:i4>128</vt:i4>
      </vt:variant>
      <vt:variant>
        <vt:i4>0</vt:i4>
      </vt:variant>
      <vt:variant>
        <vt:i4>5</vt:i4>
      </vt:variant>
      <vt:variant>
        <vt:lpwstr/>
      </vt:variant>
      <vt:variant>
        <vt:lpwstr>_Toc455496956</vt:lpwstr>
      </vt:variant>
      <vt:variant>
        <vt:i4>1376305</vt:i4>
      </vt:variant>
      <vt:variant>
        <vt:i4>122</vt:i4>
      </vt:variant>
      <vt:variant>
        <vt:i4>0</vt:i4>
      </vt:variant>
      <vt:variant>
        <vt:i4>5</vt:i4>
      </vt:variant>
      <vt:variant>
        <vt:lpwstr/>
      </vt:variant>
      <vt:variant>
        <vt:lpwstr>_Toc455496955</vt:lpwstr>
      </vt:variant>
      <vt:variant>
        <vt:i4>1376305</vt:i4>
      </vt:variant>
      <vt:variant>
        <vt:i4>116</vt:i4>
      </vt:variant>
      <vt:variant>
        <vt:i4>0</vt:i4>
      </vt:variant>
      <vt:variant>
        <vt:i4>5</vt:i4>
      </vt:variant>
      <vt:variant>
        <vt:lpwstr/>
      </vt:variant>
      <vt:variant>
        <vt:lpwstr>_Toc455496954</vt:lpwstr>
      </vt:variant>
      <vt:variant>
        <vt:i4>1376305</vt:i4>
      </vt:variant>
      <vt:variant>
        <vt:i4>110</vt:i4>
      </vt:variant>
      <vt:variant>
        <vt:i4>0</vt:i4>
      </vt:variant>
      <vt:variant>
        <vt:i4>5</vt:i4>
      </vt:variant>
      <vt:variant>
        <vt:lpwstr/>
      </vt:variant>
      <vt:variant>
        <vt:lpwstr>_Toc455496953</vt:lpwstr>
      </vt:variant>
      <vt:variant>
        <vt:i4>1376305</vt:i4>
      </vt:variant>
      <vt:variant>
        <vt:i4>104</vt:i4>
      </vt:variant>
      <vt:variant>
        <vt:i4>0</vt:i4>
      </vt:variant>
      <vt:variant>
        <vt:i4>5</vt:i4>
      </vt:variant>
      <vt:variant>
        <vt:lpwstr/>
      </vt:variant>
      <vt:variant>
        <vt:lpwstr>_Toc455496952</vt:lpwstr>
      </vt:variant>
      <vt:variant>
        <vt:i4>1376305</vt:i4>
      </vt:variant>
      <vt:variant>
        <vt:i4>98</vt:i4>
      </vt:variant>
      <vt:variant>
        <vt:i4>0</vt:i4>
      </vt:variant>
      <vt:variant>
        <vt:i4>5</vt:i4>
      </vt:variant>
      <vt:variant>
        <vt:lpwstr/>
      </vt:variant>
      <vt:variant>
        <vt:lpwstr>_Toc455496951</vt:lpwstr>
      </vt:variant>
      <vt:variant>
        <vt:i4>1376305</vt:i4>
      </vt:variant>
      <vt:variant>
        <vt:i4>92</vt:i4>
      </vt:variant>
      <vt:variant>
        <vt:i4>0</vt:i4>
      </vt:variant>
      <vt:variant>
        <vt:i4>5</vt:i4>
      </vt:variant>
      <vt:variant>
        <vt:lpwstr/>
      </vt:variant>
      <vt:variant>
        <vt:lpwstr>_Toc455496950</vt:lpwstr>
      </vt:variant>
      <vt:variant>
        <vt:i4>1310769</vt:i4>
      </vt:variant>
      <vt:variant>
        <vt:i4>86</vt:i4>
      </vt:variant>
      <vt:variant>
        <vt:i4>0</vt:i4>
      </vt:variant>
      <vt:variant>
        <vt:i4>5</vt:i4>
      </vt:variant>
      <vt:variant>
        <vt:lpwstr/>
      </vt:variant>
      <vt:variant>
        <vt:lpwstr>_Toc455496949</vt:lpwstr>
      </vt:variant>
      <vt:variant>
        <vt:i4>1310769</vt:i4>
      </vt:variant>
      <vt:variant>
        <vt:i4>80</vt:i4>
      </vt:variant>
      <vt:variant>
        <vt:i4>0</vt:i4>
      </vt:variant>
      <vt:variant>
        <vt:i4>5</vt:i4>
      </vt:variant>
      <vt:variant>
        <vt:lpwstr/>
      </vt:variant>
      <vt:variant>
        <vt:lpwstr>_Toc455496948</vt:lpwstr>
      </vt:variant>
      <vt:variant>
        <vt:i4>1310769</vt:i4>
      </vt:variant>
      <vt:variant>
        <vt:i4>74</vt:i4>
      </vt:variant>
      <vt:variant>
        <vt:i4>0</vt:i4>
      </vt:variant>
      <vt:variant>
        <vt:i4>5</vt:i4>
      </vt:variant>
      <vt:variant>
        <vt:lpwstr/>
      </vt:variant>
      <vt:variant>
        <vt:lpwstr>_Toc455496947</vt:lpwstr>
      </vt:variant>
      <vt:variant>
        <vt:i4>1310769</vt:i4>
      </vt:variant>
      <vt:variant>
        <vt:i4>68</vt:i4>
      </vt:variant>
      <vt:variant>
        <vt:i4>0</vt:i4>
      </vt:variant>
      <vt:variant>
        <vt:i4>5</vt:i4>
      </vt:variant>
      <vt:variant>
        <vt:lpwstr/>
      </vt:variant>
      <vt:variant>
        <vt:lpwstr>_Toc455496946</vt:lpwstr>
      </vt:variant>
      <vt:variant>
        <vt:i4>1310769</vt:i4>
      </vt:variant>
      <vt:variant>
        <vt:i4>62</vt:i4>
      </vt:variant>
      <vt:variant>
        <vt:i4>0</vt:i4>
      </vt:variant>
      <vt:variant>
        <vt:i4>5</vt:i4>
      </vt:variant>
      <vt:variant>
        <vt:lpwstr/>
      </vt:variant>
      <vt:variant>
        <vt:lpwstr>_Toc455496945</vt:lpwstr>
      </vt:variant>
      <vt:variant>
        <vt:i4>1310769</vt:i4>
      </vt:variant>
      <vt:variant>
        <vt:i4>56</vt:i4>
      </vt:variant>
      <vt:variant>
        <vt:i4>0</vt:i4>
      </vt:variant>
      <vt:variant>
        <vt:i4>5</vt:i4>
      </vt:variant>
      <vt:variant>
        <vt:lpwstr/>
      </vt:variant>
      <vt:variant>
        <vt:lpwstr>_Toc455496944</vt:lpwstr>
      </vt:variant>
      <vt:variant>
        <vt:i4>1310769</vt:i4>
      </vt:variant>
      <vt:variant>
        <vt:i4>50</vt:i4>
      </vt:variant>
      <vt:variant>
        <vt:i4>0</vt:i4>
      </vt:variant>
      <vt:variant>
        <vt:i4>5</vt:i4>
      </vt:variant>
      <vt:variant>
        <vt:lpwstr/>
      </vt:variant>
      <vt:variant>
        <vt:lpwstr>_Toc455496943</vt:lpwstr>
      </vt:variant>
      <vt:variant>
        <vt:i4>1310769</vt:i4>
      </vt:variant>
      <vt:variant>
        <vt:i4>44</vt:i4>
      </vt:variant>
      <vt:variant>
        <vt:i4>0</vt:i4>
      </vt:variant>
      <vt:variant>
        <vt:i4>5</vt:i4>
      </vt:variant>
      <vt:variant>
        <vt:lpwstr/>
      </vt:variant>
      <vt:variant>
        <vt:lpwstr>_Toc455496942</vt:lpwstr>
      </vt:variant>
      <vt:variant>
        <vt:i4>1310769</vt:i4>
      </vt:variant>
      <vt:variant>
        <vt:i4>38</vt:i4>
      </vt:variant>
      <vt:variant>
        <vt:i4>0</vt:i4>
      </vt:variant>
      <vt:variant>
        <vt:i4>5</vt:i4>
      </vt:variant>
      <vt:variant>
        <vt:lpwstr/>
      </vt:variant>
      <vt:variant>
        <vt:lpwstr>_Toc455496941</vt:lpwstr>
      </vt:variant>
      <vt:variant>
        <vt:i4>1310769</vt:i4>
      </vt:variant>
      <vt:variant>
        <vt:i4>32</vt:i4>
      </vt:variant>
      <vt:variant>
        <vt:i4>0</vt:i4>
      </vt:variant>
      <vt:variant>
        <vt:i4>5</vt:i4>
      </vt:variant>
      <vt:variant>
        <vt:lpwstr/>
      </vt:variant>
      <vt:variant>
        <vt:lpwstr>_Toc455496940</vt:lpwstr>
      </vt:variant>
      <vt:variant>
        <vt:i4>1245233</vt:i4>
      </vt:variant>
      <vt:variant>
        <vt:i4>26</vt:i4>
      </vt:variant>
      <vt:variant>
        <vt:i4>0</vt:i4>
      </vt:variant>
      <vt:variant>
        <vt:i4>5</vt:i4>
      </vt:variant>
      <vt:variant>
        <vt:lpwstr/>
      </vt:variant>
      <vt:variant>
        <vt:lpwstr>_Toc455496939</vt:lpwstr>
      </vt:variant>
      <vt:variant>
        <vt:i4>1245233</vt:i4>
      </vt:variant>
      <vt:variant>
        <vt:i4>20</vt:i4>
      </vt:variant>
      <vt:variant>
        <vt:i4>0</vt:i4>
      </vt:variant>
      <vt:variant>
        <vt:i4>5</vt:i4>
      </vt:variant>
      <vt:variant>
        <vt:lpwstr/>
      </vt:variant>
      <vt:variant>
        <vt:lpwstr>_Toc455496938</vt:lpwstr>
      </vt:variant>
      <vt:variant>
        <vt:i4>1245233</vt:i4>
      </vt:variant>
      <vt:variant>
        <vt:i4>14</vt:i4>
      </vt:variant>
      <vt:variant>
        <vt:i4>0</vt:i4>
      </vt:variant>
      <vt:variant>
        <vt:i4>5</vt:i4>
      </vt:variant>
      <vt:variant>
        <vt:lpwstr/>
      </vt:variant>
      <vt:variant>
        <vt:lpwstr>_Toc455496937</vt:lpwstr>
      </vt:variant>
      <vt:variant>
        <vt:i4>1245233</vt:i4>
      </vt:variant>
      <vt:variant>
        <vt:i4>8</vt:i4>
      </vt:variant>
      <vt:variant>
        <vt:i4>0</vt:i4>
      </vt:variant>
      <vt:variant>
        <vt:i4>5</vt:i4>
      </vt:variant>
      <vt:variant>
        <vt:lpwstr/>
      </vt:variant>
      <vt:variant>
        <vt:lpwstr>_Toc455496936</vt:lpwstr>
      </vt:variant>
      <vt:variant>
        <vt:i4>1245233</vt:i4>
      </vt:variant>
      <vt:variant>
        <vt:i4>2</vt:i4>
      </vt:variant>
      <vt:variant>
        <vt:i4>0</vt:i4>
      </vt:variant>
      <vt:variant>
        <vt:i4>5</vt:i4>
      </vt:variant>
      <vt:variant>
        <vt:lpwstr/>
      </vt:variant>
      <vt:variant>
        <vt:lpwstr>_Toc455496935</vt:lpwstr>
      </vt:variant>
      <vt:variant>
        <vt:i4>5767252</vt:i4>
      </vt:variant>
      <vt:variant>
        <vt:i4>6</vt:i4>
      </vt:variant>
      <vt:variant>
        <vt:i4>0</vt:i4>
      </vt:variant>
      <vt:variant>
        <vt:i4>5</vt:i4>
      </vt:variant>
      <vt:variant>
        <vt:lpwstr>http://diss.rm.ingv.it/share-edsf/index.html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ASAMPSA_E</dc:creator>
  <cp:lastModifiedBy>RAIMOND Emmanuel</cp:lastModifiedBy>
  <cp:revision>3</cp:revision>
  <cp:lastPrinted>2016-07-11T12:57:00Z</cp:lastPrinted>
  <dcterms:created xsi:type="dcterms:W3CDTF">2016-07-11T12:56:00Z</dcterms:created>
  <dcterms:modified xsi:type="dcterms:W3CDTF">2016-07-11T12:57:00Z</dcterms:modified>
</cp:coreProperties>
</file>