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A1D" w:rsidRPr="00313E82" w:rsidRDefault="00557A1D" w:rsidP="00557A1D">
      <w:pPr>
        <w:jc w:val="center"/>
        <w:rPr>
          <w:b/>
          <w:spacing w:val="-2"/>
          <w:sz w:val="20"/>
          <w:szCs w:val="20"/>
          <w:lang w:val="en-US"/>
        </w:rPr>
      </w:pPr>
      <w:r w:rsidRPr="00313E82">
        <w:rPr>
          <w:b/>
          <w:spacing w:val="-2"/>
          <w:sz w:val="20"/>
          <w:szCs w:val="20"/>
          <w:lang w:val="en-US"/>
        </w:rPr>
        <w:t>"</w:t>
      </w:r>
      <w:bookmarkStart w:id="0" w:name="_Ref342644172"/>
      <w:bookmarkStart w:id="1" w:name="_Ref342721305"/>
      <w:bookmarkEnd w:id="0"/>
      <w:bookmarkEnd w:id="1"/>
      <w:r w:rsidRPr="00313E82">
        <w:rPr>
          <w:b/>
          <w:spacing w:val="-2"/>
          <w:sz w:val="20"/>
          <w:szCs w:val="20"/>
          <w:lang w:val="en-US"/>
        </w:rPr>
        <w:t>NUCLEAR FISSION"</w:t>
      </w:r>
    </w:p>
    <w:p w:rsidR="00557A1D" w:rsidRPr="00313E82" w:rsidRDefault="00557A1D" w:rsidP="00557A1D">
      <w:pPr>
        <w:jc w:val="center"/>
        <w:rPr>
          <w:b/>
          <w:bCs/>
          <w:sz w:val="20"/>
          <w:szCs w:val="20"/>
          <w:lang w:val="en-US"/>
        </w:rPr>
      </w:pPr>
      <w:r w:rsidRPr="00313E82">
        <w:rPr>
          <w:b/>
          <w:bCs/>
          <w:sz w:val="20"/>
          <w:szCs w:val="20"/>
          <w:lang w:val="en-US"/>
        </w:rPr>
        <w:t>Safety of Existing Nuclear Installations</w:t>
      </w:r>
    </w:p>
    <w:p w:rsidR="00557A1D" w:rsidRPr="00313E82" w:rsidRDefault="00557A1D" w:rsidP="00557A1D">
      <w:pPr>
        <w:jc w:val="center"/>
        <w:rPr>
          <w:b/>
          <w:spacing w:val="-2"/>
          <w:sz w:val="20"/>
          <w:szCs w:val="20"/>
          <w:lang w:val="en-US"/>
        </w:rPr>
      </w:pPr>
    </w:p>
    <w:p w:rsidR="00557A1D" w:rsidRPr="00313E82" w:rsidRDefault="00557A1D" w:rsidP="00557A1D">
      <w:pPr>
        <w:spacing w:line="120" w:lineRule="atLeast"/>
        <w:jc w:val="center"/>
        <w:rPr>
          <w:b/>
          <w:sz w:val="20"/>
          <w:szCs w:val="20"/>
          <w:lang w:val="en-US"/>
        </w:rPr>
      </w:pPr>
      <w:r w:rsidRPr="00313E82">
        <w:rPr>
          <w:b/>
          <w:sz w:val="20"/>
          <w:szCs w:val="20"/>
          <w:lang w:val="en-US"/>
        </w:rPr>
        <w:t>Contract 605001</w:t>
      </w:r>
    </w:p>
    <w:p w:rsidR="00557A1D" w:rsidRPr="00313E82" w:rsidRDefault="00557A1D" w:rsidP="00557A1D">
      <w:pPr>
        <w:jc w:val="center"/>
        <w:rPr>
          <w:b/>
          <w:sz w:val="20"/>
          <w:lang w:val="en-US"/>
        </w:rPr>
      </w:pPr>
    </w:p>
    <w:p w:rsidR="00557A1D" w:rsidRDefault="00557A1D" w:rsidP="00557A1D">
      <w:pPr>
        <w:pBdr>
          <w:top w:val="double" w:sz="4" w:space="1" w:color="auto"/>
          <w:left w:val="double" w:sz="4" w:space="0" w:color="auto"/>
          <w:bottom w:val="double" w:sz="4" w:space="1" w:color="auto"/>
          <w:right w:val="double" w:sz="4" w:space="0" w:color="auto"/>
        </w:pBdr>
        <w:jc w:val="center"/>
        <w:rPr>
          <w:b/>
          <w:bCs/>
          <w:sz w:val="28"/>
          <w:szCs w:val="28"/>
          <w:lang w:val="en-US"/>
        </w:rPr>
      </w:pPr>
    </w:p>
    <w:p w:rsidR="00557A1D" w:rsidRDefault="00557A1D" w:rsidP="00557A1D">
      <w:pPr>
        <w:pBdr>
          <w:top w:val="double" w:sz="4" w:space="1" w:color="auto"/>
          <w:left w:val="double" w:sz="4" w:space="0" w:color="auto"/>
          <w:bottom w:val="double" w:sz="4" w:space="1" w:color="auto"/>
          <w:right w:val="double" w:sz="4" w:space="0" w:color="auto"/>
        </w:pBdr>
        <w:jc w:val="center"/>
        <w:rPr>
          <w:b/>
          <w:bCs/>
          <w:sz w:val="28"/>
          <w:szCs w:val="28"/>
          <w:lang w:val="en-US"/>
        </w:rPr>
      </w:pPr>
      <w:r w:rsidRPr="000355F6">
        <w:rPr>
          <w:b/>
          <w:bCs/>
          <w:sz w:val="28"/>
          <w:szCs w:val="28"/>
          <w:lang w:val="en-US"/>
        </w:rPr>
        <w:t>Risk Metrics and Measures for an Extended PSA</w:t>
      </w:r>
    </w:p>
    <w:p w:rsidR="00557A1D" w:rsidRPr="000355F6" w:rsidRDefault="00557A1D" w:rsidP="00557A1D">
      <w:pPr>
        <w:pBdr>
          <w:top w:val="double" w:sz="4" w:space="1" w:color="auto"/>
          <w:left w:val="double" w:sz="4" w:space="0" w:color="auto"/>
          <w:bottom w:val="double" w:sz="4" w:space="1" w:color="auto"/>
          <w:right w:val="double" w:sz="4" w:space="0" w:color="auto"/>
        </w:pBdr>
        <w:jc w:val="center"/>
        <w:rPr>
          <w:b/>
          <w:bCs/>
          <w:sz w:val="28"/>
          <w:szCs w:val="28"/>
          <w:lang w:val="en-US"/>
        </w:rPr>
      </w:pPr>
    </w:p>
    <w:p w:rsidR="00557A1D" w:rsidRDefault="00557A1D" w:rsidP="00557A1D">
      <w:pPr>
        <w:jc w:val="left"/>
        <w:rPr>
          <w:rFonts w:ascii="CG Times" w:hAnsi="CG Times"/>
          <w:bCs/>
          <w:i/>
          <w:sz w:val="20"/>
          <w:szCs w:val="20"/>
          <w:lang w:val="en-US"/>
        </w:rPr>
      </w:pPr>
    </w:p>
    <w:p w:rsidR="00557A1D" w:rsidRPr="000355F6" w:rsidRDefault="00557A1D" w:rsidP="00557A1D">
      <w:pPr>
        <w:ind w:left="1429"/>
        <w:jc w:val="left"/>
        <w:rPr>
          <w:rFonts w:ascii="CG Times" w:hAnsi="CG Times"/>
          <w:bCs/>
          <w:i/>
          <w:sz w:val="28"/>
          <w:szCs w:val="28"/>
          <w:lang w:val="en-US"/>
        </w:rPr>
      </w:pPr>
    </w:p>
    <w:p w:rsidR="00557A1D" w:rsidRPr="00313E82" w:rsidRDefault="00557A1D" w:rsidP="00557A1D">
      <w:pPr>
        <w:pBdr>
          <w:top w:val="double" w:sz="4" w:space="1" w:color="auto"/>
          <w:left w:val="double" w:sz="4" w:space="0" w:color="auto"/>
          <w:bottom w:val="double" w:sz="4" w:space="1" w:color="auto"/>
          <w:right w:val="double" w:sz="4" w:space="0" w:color="auto"/>
        </w:pBdr>
        <w:jc w:val="center"/>
        <w:rPr>
          <w:b/>
          <w:bCs/>
          <w:lang w:val="en-US"/>
        </w:rPr>
      </w:pPr>
      <w:r w:rsidRPr="00313E82">
        <w:rPr>
          <w:b/>
          <w:bCs/>
          <w:lang w:val="en-US"/>
        </w:rPr>
        <w:t>Reference ASAMPSA_E</w:t>
      </w:r>
    </w:p>
    <w:p w:rsidR="00557A1D" w:rsidRPr="00313E82" w:rsidRDefault="00557A1D" w:rsidP="00557A1D">
      <w:pPr>
        <w:pBdr>
          <w:top w:val="double" w:sz="4" w:space="1" w:color="auto"/>
          <w:left w:val="double" w:sz="4" w:space="0" w:color="auto"/>
          <w:bottom w:val="double" w:sz="4" w:space="1" w:color="auto"/>
          <w:right w:val="double" w:sz="4" w:space="0" w:color="auto"/>
        </w:pBdr>
        <w:jc w:val="center"/>
        <w:rPr>
          <w:b/>
          <w:bCs/>
          <w:lang w:val="en-US"/>
        </w:rPr>
      </w:pPr>
      <w:r w:rsidRPr="00313E82">
        <w:rPr>
          <w:b/>
          <w:bCs/>
          <w:lang w:val="en-US"/>
        </w:rPr>
        <w:t>Technical</w:t>
      </w:r>
      <w:r w:rsidR="00BF1BC8">
        <w:rPr>
          <w:b/>
          <w:bCs/>
          <w:lang w:val="en-US"/>
        </w:rPr>
        <w:t xml:space="preserve"> report ASAMPSA_E / WP30 / D30.7</w:t>
      </w:r>
      <w:r w:rsidRPr="00313E82">
        <w:rPr>
          <w:b/>
          <w:bCs/>
          <w:lang w:val="en-US"/>
        </w:rPr>
        <w:t xml:space="preserve"> / </w:t>
      </w:r>
      <w:r w:rsidR="00BF1BC8">
        <w:rPr>
          <w:b/>
          <w:bCs/>
          <w:lang w:val="en-US"/>
        </w:rPr>
        <w:t>2017</w:t>
      </w:r>
      <w:r w:rsidR="004A668F">
        <w:rPr>
          <w:b/>
          <w:bCs/>
          <w:lang w:val="en-US"/>
        </w:rPr>
        <w:t>-</w:t>
      </w:r>
      <w:r w:rsidR="00BF1BC8">
        <w:rPr>
          <w:b/>
          <w:bCs/>
          <w:lang w:val="en-US"/>
        </w:rPr>
        <w:t>31 volume 3</w:t>
      </w:r>
    </w:p>
    <w:p w:rsidR="00557A1D" w:rsidRPr="00313E82" w:rsidRDefault="00557A1D" w:rsidP="00557A1D">
      <w:pPr>
        <w:pBdr>
          <w:top w:val="double" w:sz="4" w:space="1" w:color="auto"/>
          <w:left w:val="double" w:sz="4" w:space="0" w:color="auto"/>
          <w:bottom w:val="double" w:sz="4" w:space="1" w:color="auto"/>
          <w:right w:val="double" w:sz="4" w:space="0" w:color="auto"/>
        </w:pBdr>
        <w:jc w:val="center"/>
        <w:rPr>
          <w:b/>
          <w:bCs/>
          <w:lang w:val="en-US"/>
        </w:rPr>
      </w:pPr>
      <w:r w:rsidRPr="00313E82">
        <w:rPr>
          <w:b/>
          <w:color w:val="000000"/>
          <w:lang w:val="en-US"/>
        </w:rPr>
        <w:t>Reference IRSN</w:t>
      </w:r>
      <w:r w:rsidRPr="00313E82">
        <w:rPr>
          <w:b/>
          <w:bCs/>
          <w:lang w:val="en-US"/>
        </w:rPr>
        <w:t xml:space="preserve"> </w:t>
      </w:r>
      <w:r w:rsidRPr="00313E82">
        <w:rPr>
          <w:b/>
          <w:lang w:val="en-US"/>
        </w:rPr>
        <w:t>PSN/RES/SAG/</w:t>
      </w:r>
      <w:r w:rsidRPr="00313E82">
        <w:rPr>
          <w:b/>
          <w:bCs/>
          <w:lang w:val="en-US"/>
        </w:rPr>
        <w:t>201</w:t>
      </w:r>
      <w:r w:rsidR="00BF1BC8">
        <w:rPr>
          <w:b/>
          <w:bCs/>
          <w:lang w:val="en-US"/>
        </w:rPr>
        <w:t>7-0018</w:t>
      </w:r>
    </w:p>
    <w:p w:rsidR="00557A1D" w:rsidRPr="00313E82" w:rsidRDefault="00557A1D" w:rsidP="00557A1D">
      <w:pPr>
        <w:rPr>
          <w:b/>
          <w:lang w:val="en-US"/>
        </w:rPr>
      </w:pPr>
    </w:p>
    <w:p w:rsidR="00557A1D" w:rsidRPr="006F12A5" w:rsidRDefault="00557A1D" w:rsidP="00557A1D">
      <w:pPr>
        <w:tabs>
          <w:tab w:val="center" w:pos="4309"/>
        </w:tabs>
        <w:jc w:val="center"/>
        <w:rPr>
          <w:sz w:val="28"/>
          <w:szCs w:val="28"/>
          <w:lang w:val="en-US"/>
        </w:rPr>
      </w:pPr>
      <w:r w:rsidRPr="000355F6">
        <w:rPr>
          <w:sz w:val="24"/>
          <w:lang w:val="en-US"/>
        </w:rPr>
        <w:t xml:space="preserve">A. Wielenberg (GRS), </w:t>
      </w:r>
      <w:r w:rsidR="00D76BD4" w:rsidRPr="000355F6">
        <w:rPr>
          <w:sz w:val="24"/>
          <w:lang w:val="en-US"/>
        </w:rPr>
        <w:t xml:space="preserve">C. Hasnaoui (Arexis), </w:t>
      </w:r>
      <w:r w:rsidRPr="000355F6">
        <w:rPr>
          <w:sz w:val="24"/>
          <w:lang w:val="en-GB"/>
        </w:rPr>
        <w:t xml:space="preserve">L. Burgazzi (ENEA), E. Cazzoli (CCA), </w:t>
      </w:r>
      <w:r w:rsidRPr="000355F6">
        <w:rPr>
          <w:sz w:val="24"/>
          <w:lang w:val="en-US"/>
        </w:rPr>
        <w:t xml:space="preserve">P. Jan (EDF), </w:t>
      </w:r>
      <w:r w:rsidR="004E7716">
        <w:rPr>
          <w:sz w:val="24"/>
          <w:lang w:val="en-US"/>
        </w:rPr>
        <w:t xml:space="preserve">S. La Rovere (NIER), </w:t>
      </w:r>
      <w:r w:rsidRPr="000355F6">
        <w:rPr>
          <w:sz w:val="24"/>
          <w:lang w:val="en-US"/>
        </w:rPr>
        <w:t xml:space="preserve">H. Löffler (GRS), </w:t>
      </w:r>
      <w:r w:rsidRPr="000355F6">
        <w:rPr>
          <w:sz w:val="24"/>
          <w:lang w:val="en-GB"/>
        </w:rPr>
        <w:t>T. Siklóssy (NUBIKI),</w:t>
      </w:r>
      <w:r w:rsidRPr="000355F6">
        <w:rPr>
          <w:sz w:val="24"/>
          <w:lang w:val="en-US"/>
        </w:rPr>
        <w:t xml:space="preserve"> J. Vitazkova (CCA), E. Raimond (IRSN</w:t>
      </w:r>
      <w:r w:rsidRPr="00211147">
        <w:rPr>
          <w:sz w:val="28"/>
          <w:szCs w:val="28"/>
          <w:lang w:val="en-US"/>
        </w:rPr>
        <w:t>)</w:t>
      </w:r>
      <w:r w:rsidRPr="006F12A5">
        <w:rPr>
          <w:sz w:val="28"/>
          <w:szCs w:val="28"/>
          <w:lang w:val="en-US"/>
        </w:rPr>
        <w:t xml:space="preserve"> </w:t>
      </w:r>
    </w:p>
    <w:p w:rsidR="00557A1D" w:rsidRPr="00C94556" w:rsidRDefault="00557A1D" w:rsidP="00557A1D">
      <w:pPr>
        <w:tabs>
          <w:tab w:val="center" w:pos="4309"/>
        </w:tabs>
        <w:jc w:val="center"/>
        <w:rPr>
          <w:sz w:val="28"/>
          <w:lang w:val="en-US"/>
        </w:rPr>
      </w:pPr>
    </w:p>
    <w:p w:rsidR="00557A1D" w:rsidRPr="00C94556" w:rsidRDefault="00557A1D" w:rsidP="00557A1D">
      <w:pPr>
        <w:jc w:val="center"/>
        <w:rPr>
          <w:sz w:val="28"/>
          <w:lang w:val="en-US"/>
        </w:rPr>
      </w:pPr>
    </w:p>
    <w:p w:rsidR="00557A1D" w:rsidRPr="00C94556" w:rsidRDefault="00557A1D" w:rsidP="00557A1D">
      <w:pPr>
        <w:rPr>
          <w:lang w:val="en-US"/>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520"/>
        <w:gridCol w:w="3680"/>
      </w:tblGrid>
      <w:tr w:rsidR="00557A1D" w:rsidRPr="00313E82" w:rsidTr="00557A1D">
        <w:trPr>
          <w:cantSplit/>
        </w:trPr>
        <w:tc>
          <w:tcPr>
            <w:tcW w:w="3960" w:type="dxa"/>
            <w:gridSpan w:val="2"/>
          </w:tcPr>
          <w:p w:rsidR="00557A1D" w:rsidRPr="00313E82" w:rsidRDefault="00557A1D" w:rsidP="00557A1D">
            <w:pPr>
              <w:spacing w:before="40"/>
              <w:rPr>
                <w:sz w:val="16"/>
                <w:szCs w:val="16"/>
                <w:lang w:val="en-US"/>
              </w:rPr>
            </w:pPr>
            <w:r w:rsidRPr="00313E82">
              <w:rPr>
                <w:sz w:val="16"/>
                <w:szCs w:val="16"/>
                <w:lang w:val="en-US"/>
              </w:rPr>
              <w:t xml:space="preserve">Period covered: </w:t>
            </w:r>
            <w:r w:rsidRPr="00211147">
              <w:rPr>
                <w:sz w:val="16"/>
                <w:szCs w:val="16"/>
                <w:lang w:val="en-US"/>
              </w:rPr>
              <w:t xml:space="preserve">from  </w:t>
            </w:r>
            <w:r w:rsidRPr="000355F6">
              <w:rPr>
                <w:sz w:val="16"/>
                <w:szCs w:val="16"/>
                <w:lang w:val="en-US"/>
              </w:rPr>
              <w:t>01/01/2015  to 31/12/201</w:t>
            </w:r>
            <w:r w:rsidRPr="00211147">
              <w:rPr>
                <w:sz w:val="16"/>
                <w:szCs w:val="16"/>
                <w:lang w:val="en-US"/>
              </w:rPr>
              <w:t>6</w:t>
            </w:r>
          </w:p>
        </w:tc>
        <w:tc>
          <w:tcPr>
            <w:tcW w:w="6200" w:type="dxa"/>
            <w:gridSpan w:val="2"/>
          </w:tcPr>
          <w:p w:rsidR="00557A1D" w:rsidRPr="00313E82" w:rsidRDefault="00557A1D" w:rsidP="00BF1BC8">
            <w:pPr>
              <w:spacing w:before="40"/>
              <w:rPr>
                <w:sz w:val="16"/>
                <w:szCs w:val="16"/>
                <w:lang w:val="en-US"/>
              </w:rPr>
            </w:pPr>
            <w:r w:rsidRPr="00313E82">
              <w:rPr>
                <w:sz w:val="16"/>
                <w:szCs w:val="16"/>
                <w:lang w:val="en-US"/>
              </w:rPr>
              <w:t xml:space="preserve">Actual submission date: </w:t>
            </w:r>
            <w:r w:rsidR="00BF1BC8">
              <w:rPr>
                <w:sz w:val="16"/>
                <w:szCs w:val="16"/>
                <w:lang w:val="en-US"/>
              </w:rPr>
              <w:t>31-12-2016</w:t>
            </w:r>
          </w:p>
        </w:tc>
      </w:tr>
      <w:tr w:rsidR="00557A1D" w:rsidRPr="00313E82" w:rsidTr="00557A1D">
        <w:trPr>
          <w:cantSplit/>
        </w:trPr>
        <w:tc>
          <w:tcPr>
            <w:tcW w:w="3960" w:type="dxa"/>
            <w:gridSpan w:val="2"/>
          </w:tcPr>
          <w:p w:rsidR="00557A1D" w:rsidRPr="00313E82" w:rsidRDefault="00557A1D" w:rsidP="00557A1D">
            <w:pPr>
              <w:spacing w:before="40"/>
              <w:rPr>
                <w:sz w:val="16"/>
                <w:szCs w:val="16"/>
                <w:lang w:val="en-US"/>
              </w:rPr>
            </w:pPr>
            <w:r w:rsidRPr="00313E82">
              <w:rPr>
                <w:sz w:val="16"/>
                <w:szCs w:val="16"/>
                <w:lang w:val="en-US"/>
              </w:rPr>
              <w:t>Start date of ASAMPSA_E:  01/07/2013</w:t>
            </w:r>
          </w:p>
        </w:tc>
        <w:tc>
          <w:tcPr>
            <w:tcW w:w="6200" w:type="dxa"/>
            <w:gridSpan w:val="2"/>
          </w:tcPr>
          <w:p w:rsidR="00557A1D" w:rsidRPr="00313E82" w:rsidRDefault="00557A1D" w:rsidP="00557A1D">
            <w:pPr>
              <w:spacing w:before="40"/>
              <w:rPr>
                <w:sz w:val="16"/>
                <w:szCs w:val="16"/>
                <w:lang w:val="en-US"/>
              </w:rPr>
            </w:pPr>
            <w:r w:rsidRPr="00313E82">
              <w:rPr>
                <w:sz w:val="16"/>
                <w:szCs w:val="16"/>
                <w:lang w:val="en-US"/>
              </w:rPr>
              <w:t>Duration:</w:t>
            </w:r>
            <w:r>
              <w:rPr>
                <w:sz w:val="16"/>
                <w:szCs w:val="16"/>
                <w:lang w:val="en-US"/>
              </w:rPr>
              <w:t>42</w:t>
            </w:r>
            <w:r w:rsidRPr="00313E82">
              <w:rPr>
                <w:sz w:val="16"/>
                <w:szCs w:val="16"/>
                <w:lang w:val="en-US"/>
              </w:rPr>
              <w:t xml:space="preserve"> months</w:t>
            </w:r>
          </w:p>
        </w:tc>
      </w:tr>
      <w:tr w:rsidR="00557A1D" w:rsidRPr="00313E82" w:rsidTr="00557A1D">
        <w:tc>
          <w:tcPr>
            <w:tcW w:w="1920" w:type="dxa"/>
          </w:tcPr>
          <w:p w:rsidR="00557A1D" w:rsidRPr="00313E82" w:rsidRDefault="00557A1D" w:rsidP="00557A1D">
            <w:pPr>
              <w:spacing w:before="40"/>
              <w:rPr>
                <w:sz w:val="16"/>
                <w:szCs w:val="16"/>
                <w:lang w:val="en-US"/>
              </w:rPr>
            </w:pPr>
            <w:r w:rsidRPr="00313E82">
              <w:rPr>
                <w:sz w:val="16"/>
                <w:szCs w:val="16"/>
                <w:lang w:val="en-US"/>
              </w:rPr>
              <w:t>WP No: 30</w:t>
            </w:r>
          </w:p>
        </w:tc>
        <w:tc>
          <w:tcPr>
            <w:tcW w:w="4560" w:type="dxa"/>
            <w:gridSpan w:val="2"/>
          </w:tcPr>
          <w:p w:rsidR="00557A1D" w:rsidRPr="00313E82" w:rsidRDefault="00557A1D" w:rsidP="00557A1D">
            <w:pPr>
              <w:spacing w:before="40"/>
              <w:rPr>
                <w:sz w:val="16"/>
                <w:szCs w:val="16"/>
                <w:lang w:val="en-US"/>
              </w:rPr>
            </w:pPr>
            <w:r w:rsidRPr="00313E82">
              <w:rPr>
                <w:sz w:val="16"/>
                <w:szCs w:val="16"/>
                <w:lang w:val="en-US"/>
              </w:rPr>
              <w:t>Lead topical coordinator : A. Wielenberg</w:t>
            </w:r>
          </w:p>
        </w:tc>
        <w:tc>
          <w:tcPr>
            <w:tcW w:w="3680" w:type="dxa"/>
          </w:tcPr>
          <w:p w:rsidR="00557A1D" w:rsidRPr="00313E82" w:rsidRDefault="00557A1D" w:rsidP="00557A1D">
            <w:pPr>
              <w:spacing w:before="40"/>
              <w:rPr>
                <w:sz w:val="16"/>
                <w:szCs w:val="16"/>
                <w:lang w:val="en-US"/>
              </w:rPr>
            </w:pPr>
            <w:r w:rsidRPr="00313E82">
              <w:rPr>
                <w:sz w:val="16"/>
                <w:szCs w:val="16"/>
                <w:lang w:val="en-US"/>
              </w:rPr>
              <w:t>His organization name : GRS</w:t>
            </w:r>
          </w:p>
        </w:tc>
      </w:tr>
    </w:tbl>
    <w:p w:rsidR="00557A1D" w:rsidRPr="00313E82" w:rsidRDefault="00557A1D" w:rsidP="00557A1D">
      <w:pPr>
        <w:rPr>
          <w:lang w:val="en-US"/>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557A1D" w:rsidRPr="001D3F1E" w:rsidTr="00557A1D">
        <w:tc>
          <w:tcPr>
            <w:tcW w:w="10240" w:type="dxa"/>
            <w:gridSpan w:val="3"/>
            <w:shd w:val="clear" w:color="auto" w:fill="auto"/>
          </w:tcPr>
          <w:p w:rsidR="00557A1D" w:rsidRPr="00313E82" w:rsidRDefault="00557A1D" w:rsidP="00557A1D">
            <w:pPr>
              <w:tabs>
                <w:tab w:val="center" w:pos="4536"/>
                <w:tab w:val="right" w:pos="9072"/>
              </w:tabs>
              <w:jc w:val="center"/>
              <w:rPr>
                <w:b/>
                <w:lang w:val="en-US"/>
              </w:rPr>
            </w:pPr>
            <w:r w:rsidRPr="00313E82">
              <w:rPr>
                <w:b/>
                <w:lang w:val="en-US"/>
              </w:rPr>
              <w:t>Project co-funded by the European Commission Within the Seventh Framework Programme (2013-2016)</w:t>
            </w:r>
          </w:p>
        </w:tc>
      </w:tr>
      <w:tr w:rsidR="00557A1D" w:rsidRPr="00313E82" w:rsidTr="00557A1D">
        <w:tc>
          <w:tcPr>
            <w:tcW w:w="10240" w:type="dxa"/>
            <w:gridSpan w:val="3"/>
            <w:shd w:val="clear" w:color="auto" w:fill="auto"/>
          </w:tcPr>
          <w:p w:rsidR="00557A1D" w:rsidRPr="00313E82" w:rsidRDefault="00557A1D" w:rsidP="00557A1D">
            <w:pPr>
              <w:tabs>
                <w:tab w:val="center" w:pos="4536"/>
                <w:tab w:val="right" w:pos="9072"/>
              </w:tabs>
              <w:jc w:val="center"/>
              <w:rPr>
                <w:b/>
                <w:lang w:val="en-US"/>
              </w:rPr>
            </w:pPr>
            <w:r w:rsidRPr="00313E82">
              <w:rPr>
                <w:b/>
                <w:lang w:val="en-US"/>
              </w:rPr>
              <w:t>Dissemination Level</w:t>
            </w:r>
          </w:p>
        </w:tc>
      </w:tr>
      <w:tr w:rsidR="00557A1D" w:rsidRPr="00313E82" w:rsidTr="00557A1D">
        <w:tc>
          <w:tcPr>
            <w:tcW w:w="1818" w:type="dxa"/>
            <w:shd w:val="clear" w:color="auto" w:fill="auto"/>
          </w:tcPr>
          <w:p w:rsidR="00557A1D" w:rsidRPr="00313E82" w:rsidRDefault="00557A1D" w:rsidP="00557A1D">
            <w:pPr>
              <w:tabs>
                <w:tab w:val="center" w:pos="4536"/>
                <w:tab w:val="right" w:pos="9072"/>
              </w:tabs>
              <w:rPr>
                <w:lang w:val="en-US"/>
              </w:rPr>
            </w:pPr>
            <w:r w:rsidRPr="00313E82">
              <w:rPr>
                <w:lang w:val="en-US"/>
              </w:rPr>
              <w:t>PU</w:t>
            </w:r>
          </w:p>
        </w:tc>
        <w:tc>
          <w:tcPr>
            <w:tcW w:w="6374" w:type="dxa"/>
            <w:shd w:val="clear" w:color="auto" w:fill="auto"/>
          </w:tcPr>
          <w:p w:rsidR="00557A1D" w:rsidRPr="00313E82" w:rsidRDefault="00557A1D" w:rsidP="00557A1D">
            <w:pPr>
              <w:tabs>
                <w:tab w:val="center" w:pos="4536"/>
                <w:tab w:val="right" w:pos="9072"/>
              </w:tabs>
              <w:rPr>
                <w:lang w:val="en-US"/>
              </w:rPr>
            </w:pPr>
            <w:r w:rsidRPr="00313E82">
              <w:rPr>
                <w:lang w:val="en-US"/>
              </w:rPr>
              <w:t>Public</w:t>
            </w:r>
          </w:p>
        </w:tc>
        <w:tc>
          <w:tcPr>
            <w:tcW w:w="2048" w:type="dxa"/>
            <w:shd w:val="clear" w:color="auto" w:fill="auto"/>
          </w:tcPr>
          <w:p w:rsidR="00557A1D" w:rsidRPr="00313E82" w:rsidRDefault="00BF1BC8" w:rsidP="00557A1D">
            <w:pPr>
              <w:tabs>
                <w:tab w:val="center" w:pos="4536"/>
                <w:tab w:val="right" w:pos="9072"/>
              </w:tabs>
              <w:rPr>
                <w:lang w:val="en-US"/>
              </w:rPr>
            </w:pPr>
            <w:r>
              <w:rPr>
                <w:lang w:val="en-US"/>
              </w:rPr>
              <w:t>Yes</w:t>
            </w:r>
          </w:p>
        </w:tc>
      </w:tr>
      <w:tr w:rsidR="00557A1D" w:rsidRPr="00313E82" w:rsidTr="00557A1D">
        <w:tc>
          <w:tcPr>
            <w:tcW w:w="1818" w:type="dxa"/>
            <w:shd w:val="clear" w:color="auto" w:fill="auto"/>
          </w:tcPr>
          <w:p w:rsidR="00557A1D" w:rsidRPr="00313E82" w:rsidRDefault="00557A1D" w:rsidP="00557A1D">
            <w:pPr>
              <w:tabs>
                <w:tab w:val="center" w:pos="4536"/>
                <w:tab w:val="right" w:pos="9072"/>
              </w:tabs>
              <w:rPr>
                <w:lang w:val="en-US"/>
              </w:rPr>
            </w:pPr>
            <w:r w:rsidRPr="00313E82">
              <w:rPr>
                <w:lang w:val="en-US"/>
              </w:rPr>
              <w:t>RE</w:t>
            </w:r>
          </w:p>
        </w:tc>
        <w:tc>
          <w:tcPr>
            <w:tcW w:w="6374" w:type="dxa"/>
            <w:shd w:val="clear" w:color="auto" w:fill="auto"/>
          </w:tcPr>
          <w:p w:rsidR="00557A1D" w:rsidRPr="00313E82" w:rsidRDefault="00557A1D" w:rsidP="00557A1D">
            <w:pPr>
              <w:tabs>
                <w:tab w:val="center" w:pos="4536"/>
                <w:tab w:val="right" w:pos="9072"/>
              </w:tabs>
              <w:rPr>
                <w:lang w:val="en-US"/>
              </w:rPr>
            </w:pPr>
            <w:r w:rsidRPr="00313E82">
              <w:rPr>
                <w:lang w:val="en-US"/>
              </w:rPr>
              <w:t>Restricted to a group specified by the partners of the ASAMPSA_E project</w:t>
            </w:r>
          </w:p>
        </w:tc>
        <w:tc>
          <w:tcPr>
            <w:tcW w:w="2048" w:type="dxa"/>
            <w:shd w:val="clear" w:color="auto" w:fill="auto"/>
          </w:tcPr>
          <w:p w:rsidR="00557A1D" w:rsidRPr="00313E82" w:rsidRDefault="00BF1BC8" w:rsidP="00557A1D">
            <w:pPr>
              <w:tabs>
                <w:tab w:val="center" w:pos="4536"/>
                <w:tab w:val="right" w:pos="9072"/>
              </w:tabs>
              <w:rPr>
                <w:lang w:val="en-US"/>
              </w:rPr>
            </w:pPr>
            <w:r>
              <w:rPr>
                <w:lang w:val="en-US"/>
              </w:rPr>
              <w:t>No</w:t>
            </w:r>
          </w:p>
        </w:tc>
      </w:tr>
      <w:tr w:rsidR="00557A1D" w:rsidRPr="00313E82" w:rsidTr="00557A1D">
        <w:tc>
          <w:tcPr>
            <w:tcW w:w="1818" w:type="dxa"/>
            <w:shd w:val="clear" w:color="auto" w:fill="auto"/>
          </w:tcPr>
          <w:p w:rsidR="00557A1D" w:rsidRPr="00313E82" w:rsidRDefault="00557A1D" w:rsidP="00557A1D">
            <w:pPr>
              <w:tabs>
                <w:tab w:val="center" w:pos="4536"/>
                <w:tab w:val="right" w:pos="9072"/>
              </w:tabs>
              <w:rPr>
                <w:lang w:val="en-US"/>
              </w:rPr>
            </w:pPr>
            <w:r w:rsidRPr="00313E82">
              <w:rPr>
                <w:lang w:val="en-US"/>
              </w:rPr>
              <w:t>CO</w:t>
            </w:r>
          </w:p>
        </w:tc>
        <w:tc>
          <w:tcPr>
            <w:tcW w:w="6374" w:type="dxa"/>
            <w:shd w:val="clear" w:color="auto" w:fill="auto"/>
          </w:tcPr>
          <w:p w:rsidR="00557A1D" w:rsidRPr="00313E82" w:rsidRDefault="00557A1D" w:rsidP="00557A1D">
            <w:pPr>
              <w:tabs>
                <w:tab w:val="center" w:pos="4536"/>
                <w:tab w:val="right" w:pos="9072"/>
              </w:tabs>
              <w:rPr>
                <w:lang w:val="en-US"/>
              </w:rPr>
            </w:pPr>
            <w:r w:rsidRPr="00313E82">
              <w:rPr>
                <w:lang w:val="en-US"/>
              </w:rPr>
              <w:t>Confidential, only for partners of the ASAMPSA_E project</w:t>
            </w:r>
          </w:p>
        </w:tc>
        <w:tc>
          <w:tcPr>
            <w:tcW w:w="2048" w:type="dxa"/>
            <w:shd w:val="clear" w:color="auto" w:fill="auto"/>
          </w:tcPr>
          <w:p w:rsidR="00557A1D" w:rsidRPr="00313E82" w:rsidRDefault="00557A1D" w:rsidP="00557A1D">
            <w:pPr>
              <w:tabs>
                <w:tab w:val="center" w:pos="4536"/>
                <w:tab w:val="right" w:pos="9072"/>
              </w:tabs>
              <w:rPr>
                <w:lang w:val="en-US"/>
              </w:rPr>
            </w:pPr>
            <w:r>
              <w:rPr>
                <w:lang w:val="en-US"/>
              </w:rPr>
              <w:t>No</w:t>
            </w:r>
          </w:p>
        </w:tc>
      </w:tr>
    </w:tbl>
    <w:p w:rsidR="00557A1D" w:rsidRPr="00313E82" w:rsidRDefault="00557A1D" w:rsidP="00557A1D">
      <w:pPr>
        <w:rPr>
          <w:lang w:val="en-US"/>
        </w:rPr>
      </w:pPr>
      <w:r w:rsidRPr="00313E82">
        <w:rPr>
          <w:lang w:val="en-US"/>
        </w:rPr>
        <w:br w:type="page"/>
      </w:r>
    </w:p>
    <w:p w:rsidR="00557A1D" w:rsidRPr="00313E82" w:rsidRDefault="00557A1D" w:rsidP="00557A1D">
      <w:pPr>
        <w:jc w:val="center"/>
        <w:rPr>
          <w:b/>
          <w:bCs/>
          <w:sz w:val="28"/>
          <w:lang w:val="en-US"/>
        </w:rPr>
      </w:pPr>
      <w:r w:rsidRPr="00313E82">
        <w:rPr>
          <w:b/>
          <w:bCs/>
          <w:sz w:val="28"/>
          <w:lang w:val="en-US"/>
        </w:rPr>
        <w:lastRenderedPageBreak/>
        <w:t>ASAMPSA Quality Assurance page</w:t>
      </w:r>
    </w:p>
    <w:p w:rsidR="00557A1D" w:rsidRPr="00313E82" w:rsidRDefault="00557A1D" w:rsidP="00557A1D">
      <w:pPr>
        <w:jc w:val="cente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6340"/>
      </w:tblGrid>
      <w:tr w:rsidR="00557A1D" w:rsidRPr="001D3F1E" w:rsidTr="00F076BF">
        <w:tc>
          <w:tcPr>
            <w:tcW w:w="9571" w:type="dxa"/>
            <w:gridSpan w:val="2"/>
            <w:shd w:val="clear" w:color="auto" w:fill="auto"/>
          </w:tcPr>
          <w:p w:rsidR="00557A1D" w:rsidRPr="00313E82" w:rsidRDefault="00557A1D" w:rsidP="00557A1D">
            <w:pPr>
              <w:tabs>
                <w:tab w:val="center" w:pos="4536"/>
                <w:tab w:val="right" w:pos="9072"/>
              </w:tabs>
              <w:spacing w:before="40"/>
              <w:rPr>
                <w:b/>
                <w:lang w:val="en-US"/>
              </w:rPr>
            </w:pPr>
            <w:r w:rsidRPr="00313E82">
              <w:rPr>
                <w:b/>
                <w:lang w:val="en-US"/>
              </w:rPr>
              <w:t xml:space="preserve">Partners responsible of the document : </w:t>
            </w:r>
            <w:r w:rsidRPr="00313E82">
              <w:rPr>
                <w:b/>
                <w:lang w:val="en-US"/>
              </w:rPr>
              <w:tab/>
            </w:r>
            <w:r>
              <w:rPr>
                <w:b/>
                <w:lang w:val="en-US"/>
              </w:rPr>
              <w:t xml:space="preserve">GRS, AREXIS, </w:t>
            </w:r>
            <w:r w:rsidRPr="00313E82">
              <w:rPr>
                <w:b/>
                <w:lang w:val="en-US"/>
              </w:rPr>
              <w:t>IRSN</w:t>
            </w:r>
          </w:p>
        </w:tc>
      </w:tr>
      <w:tr w:rsidR="00557A1D" w:rsidRPr="000355F6" w:rsidTr="00F076BF">
        <w:tc>
          <w:tcPr>
            <w:tcW w:w="3231" w:type="dxa"/>
            <w:shd w:val="clear" w:color="auto" w:fill="auto"/>
          </w:tcPr>
          <w:p w:rsidR="00557A1D" w:rsidRPr="00313E82" w:rsidRDefault="00557A1D" w:rsidP="00557A1D">
            <w:pPr>
              <w:tabs>
                <w:tab w:val="center" w:pos="4536"/>
                <w:tab w:val="right" w:pos="9072"/>
              </w:tabs>
              <w:spacing w:before="40"/>
              <w:rPr>
                <w:b/>
                <w:lang w:val="en-US"/>
              </w:rPr>
            </w:pPr>
            <w:r w:rsidRPr="00313E82">
              <w:rPr>
                <w:b/>
                <w:lang w:val="en-US"/>
              </w:rPr>
              <w:t>Nature of document</w:t>
            </w:r>
          </w:p>
        </w:tc>
        <w:tc>
          <w:tcPr>
            <w:tcW w:w="6340" w:type="dxa"/>
            <w:shd w:val="clear" w:color="auto" w:fill="auto"/>
          </w:tcPr>
          <w:p w:rsidR="00557A1D" w:rsidRPr="00313E82" w:rsidRDefault="00557A1D" w:rsidP="00557A1D">
            <w:pPr>
              <w:tabs>
                <w:tab w:val="center" w:pos="4536"/>
                <w:tab w:val="right" w:pos="9072"/>
              </w:tabs>
              <w:spacing w:before="40"/>
              <w:rPr>
                <w:lang w:val="en-US"/>
              </w:rPr>
            </w:pPr>
            <w:r w:rsidRPr="00313E82">
              <w:rPr>
                <w:lang w:val="en-US"/>
              </w:rPr>
              <w:t>Technical Report</w:t>
            </w:r>
          </w:p>
        </w:tc>
      </w:tr>
      <w:tr w:rsidR="00557A1D" w:rsidRPr="001D3F1E" w:rsidTr="00F076BF">
        <w:tc>
          <w:tcPr>
            <w:tcW w:w="3231" w:type="dxa"/>
            <w:shd w:val="clear" w:color="auto" w:fill="auto"/>
          </w:tcPr>
          <w:p w:rsidR="00557A1D" w:rsidRPr="00313E82" w:rsidRDefault="00557A1D" w:rsidP="00557A1D">
            <w:pPr>
              <w:tabs>
                <w:tab w:val="center" w:pos="4536"/>
                <w:tab w:val="right" w:pos="9072"/>
              </w:tabs>
              <w:spacing w:before="40"/>
              <w:rPr>
                <w:b/>
                <w:lang w:val="en-US"/>
              </w:rPr>
            </w:pPr>
            <w:r w:rsidRPr="00313E82">
              <w:rPr>
                <w:b/>
                <w:lang w:val="en-US"/>
              </w:rPr>
              <w:t>Reference(s)</w:t>
            </w:r>
          </w:p>
        </w:tc>
        <w:tc>
          <w:tcPr>
            <w:tcW w:w="6340" w:type="dxa"/>
            <w:shd w:val="clear" w:color="auto" w:fill="auto"/>
          </w:tcPr>
          <w:p w:rsidR="00557A1D" w:rsidRPr="00313E82" w:rsidRDefault="00557A1D" w:rsidP="00557A1D">
            <w:pPr>
              <w:tabs>
                <w:tab w:val="center" w:pos="4536"/>
                <w:tab w:val="right" w:pos="9072"/>
              </w:tabs>
              <w:spacing w:before="40"/>
              <w:rPr>
                <w:bCs/>
                <w:lang w:val="en-US"/>
              </w:rPr>
            </w:pPr>
            <w:r w:rsidRPr="00313E82">
              <w:rPr>
                <w:bCs/>
                <w:lang w:val="en-US"/>
              </w:rPr>
              <w:t>Technical report ASAMPSA_E/ WP 30 / D30.</w:t>
            </w:r>
            <w:r w:rsidR="00BF1BC8">
              <w:rPr>
                <w:bCs/>
                <w:lang w:val="en-US"/>
              </w:rPr>
              <w:t>7</w:t>
            </w:r>
            <w:r w:rsidRPr="00313E82">
              <w:rPr>
                <w:bCs/>
                <w:lang w:val="en-US"/>
              </w:rPr>
              <w:t xml:space="preserve"> / </w:t>
            </w:r>
            <w:r w:rsidRPr="001D3F1E">
              <w:rPr>
                <w:bCs/>
                <w:lang w:val="en-US"/>
              </w:rPr>
              <w:t>201</w:t>
            </w:r>
            <w:r w:rsidR="00BF1BC8">
              <w:rPr>
                <w:bCs/>
                <w:lang w:val="en-US"/>
              </w:rPr>
              <w:t>7</w:t>
            </w:r>
            <w:r w:rsidRPr="001D3F1E">
              <w:rPr>
                <w:bCs/>
                <w:lang w:val="en-US"/>
              </w:rPr>
              <w:t>-</w:t>
            </w:r>
            <w:r w:rsidR="00BF1BC8">
              <w:rPr>
                <w:bCs/>
                <w:lang w:val="en-US"/>
              </w:rPr>
              <w:t>31 volume 3</w:t>
            </w:r>
          </w:p>
          <w:p w:rsidR="00557A1D" w:rsidRPr="00313E82" w:rsidRDefault="00557A1D" w:rsidP="00557A1D">
            <w:pPr>
              <w:tabs>
                <w:tab w:val="center" w:pos="4536"/>
                <w:tab w:val="right" w:pos="9072"/>
              </w:tabs>
              <w:spacing w:before="40"/>
              <w:rPr>
                <w:lang w:val="en-US"/>
              </w:rPr>
            </w:pPr>
            <w:r w:rsidRPr="00313E82">
              <w:rPr>
                <w:lang w:val="en-US"/>
              </w:rPr>
              <w:t>Rapport IRSN-PSN-RES/ SAG/</w:t>
            </w:r>
            <w:r w:rsidRPr="001D3F1E">
              <w:rPr>
                <w:lang w:val="en-US"/>
              </w:rPr>
              <w:t>201</w:t>
            </w:r>
            <w:r w:rsidR="00BF1BC8">
              <w:rPr>
                <w:lang w:val="en-US"/>
              </w:rPr>
              <w:t>7</w:t>
            </w:r>
            <w:r w:rsidRPr="001D3F1E">
              <w:rPr>
                <w:lang w:val="en-US"/>
              </w:rPr>
              <w:t>-001</w:t>
            </w:r>
            <w:r w:rsidR="00BF1BC8">
              <w:rPr>
                <w:lang w:val="en-US"/>
              </w:rPr>
              <w:t>8</w:t>
            </w:r>
          </w:p>
        </w:tc>
      </w:tr>
      <w:tr w:rsidR="00557A1D" w:rsidRPr="001D3F1E" w:rsidTr="00F076BF">
        <w:tc>
          <w:tcPr>
            <w:tcW w:w="3231" w:type="dxa"/>
            <w:shd w:val="clear" w:color="auto" w:fill="auto"/>
          </w:tcPr>
          <w:p w:rsidR="00557A1D" w:rsidRPr="00313E82" w:rsidRDefault="00557A1D" w:rsidP="00557A1D">
            <w:pPr>
              <w:tabs>
                <w:tab w:val="center" w:pos="4536"/>
                <w:tab w:val="right" w:pos="9072"/>
              </w:tabs>
              <w:spacing w:before="40"/>
              <w:rPr>
                <w:b/>
                <w:lang w:val="en-US"/>
              </w:rPr>
            </w:pPr>
            <w:r w:rsidRPr="00313E82">
              <w:rPr>
                <w:b/>
                <w:lang w:val="en-US"/>
              </w:rPr>
              <w:t>Title</w:t>
            </w:r>
          </w:p>
        </w:tc>
        <w:tc>
          <w:tcPr>
            <w:tcW w:w="6340" w:type="dxa"/>
            <w:shd w:val="clear" w:color="auto" w:fill="auto"/>
          </w:tcPr>
          <w:p w:rsidR="00557A1D" w:rsidRPr="00313E82" w:rsidRDefault="00557A1D" w:rsidP="00557A1D">
            <w:pPr>
              <w:tabs>
                <w:tab w:val="center" w:pos="4536"/>
                <w:tab w:val="right" w:pos="9072"/>
              </w:tabs>
              <w:spacing w:before="40"/>
              <w:rPr>
                <w:bCs/>
                <w:lang w:val="en-US"/>
              </w:rPr>
            </w:pPr>
            <w:r w:rsidRPr="00313E82">
              <w:rPr>
                <w:lang w:val="en-US"/>
              </w:rPr>
              <w:t>Risk Metrics for an Extended PSA</w:t>
            </w:r>
          </w:p>
        </w:tc>
      </w:tr>
      <w:tr w:rsidR="00557A1D" w:rsidRPr="00D76BD4" w:rsidTr="00F076BF">
        <w:tc>
          <w:tcPr>
            <w:tcW w:w="3231" w:type="dxa"/>
            <w:shd w:val="clear" w:color="auto" w:fill="auto"/>
          </w:tcPr>
          <w:p w:rsidR="00557A1D" w:rsidRPr="00313E82" w:rsidRDefault="00557A1D" w:rsidP="00557A1D">
            <w:pPr>
              <w:tabs>
                <w:tab w:val="center" w:pos="4536"/>
                <w:tab w:val="right" w:pos="9072"/>
              </w:tabs>
              <w:spacing w:before="40"/>
              <w:rPr>
                <w:b/>
                <w:lang w:val="en-US"/>
              </w:rPr>
            </w:pPr>
            <w:r w:rsidRPr="00313E82">
              <w:rPr>
                <w:b/>
                <w:lang w:val="en-US"/>
              </w:rPr>
              <w:t>Author(s)</w:t>
            </w:r>
          </w:p>
        </w:tc>
        <w:tc>
          <w:tcPr>
            <w:tcW w:w="6340" w:type="dxa"/>
            <w:shd w:val="clear" w:color="auto" w:fill="auto"/>
          </w:tcPr>
          <w:p w:rsidR="00557A1D" w:rsidRPr="00313E82" w:rsidRDefault="00D76BD4" w:rsidP="00557A1D">
            <w:pPr>
              <w:tabs>
                <w:tab w:val="center" w:pos="4536"/>
                <w:tab w:val="right" w:pos="9072"/>
              </w:tabs>
              <w:spacing w:before="40"/>
              <w:rPr>
                <w:lang w:val="en-US"/>
              </w:rPr>
            </w:pPr>
            <w:r w:rsidRPr="00D76BD4">
              <w:rPr>
                <w:lang w:val="en-US"/>
              </w:rPr>
              <w:t>A. Wielenberg (GRS), C. Hasnaoui (Arexis), L. Burgazzi (ENEA), E. Cazzoli (CCA), P. Jan (EDF), H. Löffler (GRS), T. Siklóssy (NUBIKI), J. Vitazkova (CCA), E. Raimond (IRSN)</w:t>
            </w:r>
          </w:p>
        </w:tc>
      </w:tr>
      <w:tr w:rsidR="00557A1D" w:rsidRPr="00313E82" w:rsidTr="00F076BF">
        <w:tc>
          <w:tcPr>
            <w:tcW w:w="3231" w:type="dxa"/>
            <w:shd w:val="clear" w:color="auto" w:fill="auto"/>
          </w:tcPr>
          <w:p w:rsidR="00557A1D" w:rsidRPr="00313E82" w:rsidRDefault="00557A1D" w:rsidP="00557A1D">
            <w:pPr>
              <w:tabs>
                <w:tab w:val="center" w:pos="4536"/>
                <w:tab w:val="right" w:pos="9072"/>
              </w:tabs>
              <w:spacing w:before="40"/>
              <w:rPr>
                <w:b/>
                <w:lang w:val="en-US"/>
              </w:rPr>
            </w:pPr>
            <w:r w:rsidRPr="00313E82">
              <w:rPr>
                <w:b/>
                <w:lang w:val="en-US"/>
              </w:rPr>
              <w:t>Delivery date</w:t>
            </w:r>
          </w:p>
        </w:tc>
        <w:tc>
          <w:tcPr>
            <w:tcW w:w="6340" w:type="dxa"/>
            <w:shd w:val="clear" w:color="auto" w:fill="auto"/>
          </w:tcPr>
          <w:p w:rsidR="00557A1D" w:rsidRPr="00313E82" w:rsidRDefault="009E768B" w:rsidP="00667C6C">
            <w:pPr>
              <w:tabs>
                <w:tab w:val="center" w:pos="4536"/>
                <w:tab w:val="right" w:pos="9072"/>
              </w:tabs>
              <w:spacing w:before="40"/>
              <w:rPr>
                <w:lang w:val="en-US"/>
              </w:rPr>
            </w:pPr>
            <w:r w:rsidRPr="0042104F">
              <w:rPr>
                <w:lang w:val="en-US"/>
              </w:rPr>
              <w:t>31/12/2016</w:t>
            </w:r>
          </w:p>
        </w:tc>
      </w:tr>
      <w:tr w:rsidR="00557A1D" w:rsidRPr="00313E82" w:rsidTr="00F076BF">
        <w:tc>
          <w:tcPr>
            <w:tcW w:w="3231" w:type="dxa"/>
            <w:shd w:val="clear" w:color="auto" w:fill="auto"/>
          </w:tcPr>
          <w:p w:rsidR="00557A1D" w:rsidRPr="00313E82" w:rsidRDefault="00557A1D" w:rsidP="00557A1D">
            <w:pPr>
              <w:tabs>
                <w:tab w:val="center" w:pos="4536"/>
                <w:tab w:val="right" w:pos="9072"/>
              </w:tabs>
              <w:spacing w:before="40"/>
              <w:rPr>
                <w:b/>
                <w:lang w:val="en-US"/>
              </w:rPr>
            </w:pPr>
            <w:r w:rsidRPr="00313E82">
              <w:rPr>
                <w:b/>
                <w:lang w:val="en-US"/>
              </w:rPr>
              <w:t>Topical area</w:t>
            </w:r>
          </w:p>
        </w:tc>
        <w:tc>
          <w:tcPr>
            <w:tcW w:w="6340" w:type="dxa"/>
            <w:shd w:val="clear" w:color="auto" w:fill="auto"/>
          </w:tcPr>
          <w:p w:rsidR="00557A1D" w:rsidRPr="00313E82" w:rsidRDefault="00557A1D" w:rsidP="00557A1D">
            <w:pPr>
              <w:tabs>
                <w:tab w:val="center" w:pos="4536"/>
                <w:tab w:val="right" w:pos="9072"/>
              </w:tabs>
              <w:spacing w:before="40"/>
              <w:rPr>
                <w:lang w:val="en-US"/>
              </w:rPr>
            </w:pPr>
            <w:r w:rsidRPr="00313E82">
              <w:rPr>
                <w:lang w:val="en-US"/>
              </w:rPr>
              <w:t>Risk Measures, Risk Metrics</w:t>
            </w:r>
          </w:p>
        </w:tc>
      </w:tr>
      <w:tr w:rsidR="00557A1D" w:rsidRPr="00313E82" w:rsidTr="00F076BF">
        <w:tc>
          <w:tcPr>
            <w:tcW w:w="3231" w:type="dxa"/>
            <w:shd w:val="clear" w:color="auto" w:fill="auto"/>
          </w:tcPr>
          <w:p w:rsidR="00557A1D" w:rsidRPr="00313E82" w:rsidRDefault="00557A1D" w:rsidP="00557A1D">
            <w:pPr>
              <w:tabs>
                <w:tab w:val="center" w:pos="4536"/>
                <w:tab w:val="right" w:pos="9072"/>
              </w:tabs>
              <w:spacing w:before="40"/>
              <w:jc w:val="left"/>
              <w:rPr>
                <w:b/>
                <w:lang w:val="en-US"/>
              </w:rPr>
            </w:pPr>
            <w:r w:rsidRPr="00313E82">
              <w:rPr>
                <w:b/>
                <w:lang w:val="en-US"/>
              </w:rPr>
              <w:t>For Journal &amp; Conf. papers</w:t>
            </w:r>
          </w:p>
        </w:tc>
        <w:tc>
          <w:tcPr>
            <w:tcW w:w="6340" w:type="dxa"/>
            <w:shd w:val="clear" w:color="auto" w:fill="auto"/>
          </w:tcPr>
          <w:p w:rsidR="00557A1D" w:rsidRPr="00313E82" w:rsidRDefault="00557A1D" w:rsidP="00557A1D">
            <w:pPr>
              <w:tabs>
                <w:tab w:val="center" w:pos="4536"/>
                <w:tab w:val="right" w:pos="9072"/>
              </w:tabs>
              <w:spacing w:before="40"/>
              <w:rPr>
                <w:lang w:val="en-US"/>
              </w:rPr>
            </w:pPr>
            <w:r w:rsidRPr="00313E82">
              <w:rPr>
                <w:lang w:val="en-US"/>
              </w:rPr>
              <w:t>No</w:t>
            </w:r>
          </w:p>
        </w:tc>
      </w:tr>
      <w:tr w:rsidR="00557A1D" w:rsidRPr="001D3F1E" w:rsidTr="00F076BF">
        <w:tc>
          <w:tcPr>
            <w:tcW w:w="9571" w:type="dxa"/>
            <w:gridSpan w:val="2"/>
            <w:shd w:val="clear" w:color="auto" w:fill="auto"/>
          </w:tcPr>
          <w:p w:rsidR="00557A1D" w:rsidRPr="00313E82" w:rsidRDefault="00557A1D" w:rsidP="00557A1D">
            <w:pPr>
              <w:tabs>
                <w:tab w:val="center" w:pos="4536"/>
                <w:tab w:val="right" w:pos="9072"/>
              </w:tabs>
              <w:spacing w:before="40"/>
              <w:rPr>
                <w:lang w:val="en-US"/>
              </w:rPr>
            </w:pPr>
            <w:r w:rsidRPr="00313E82">
              <w:rPr>
                <w:b/>
                <w:u w:val="single"/>
                <w:lang w:val="en-US"/>
              </w:rPr>
              <w:t>Summary </w:t>
            </w:r>
            <w:r w:rsidRPr="00313E82">
              <w:rPr>
                <w:lang w:val="en-US"/>
              </w:rPr>
              <w:t>:</w:t>
            </w:r>
          </w:p>
          <w:p w:rsidR="00557A1D" w:rsidRDefault="00557A1D" w:rsidP="00557A1D">
            <w:pPr>
              <w:spacing w:before="40"/>
              <w:rPr>
                <w:lang w:val="en-US"/>
              </w:rPr>
            </w:pPr>
            <w:r>
              <w:rPr>
                <w:lang w:val="en-US"/>
              </w:rPr>
              <w:t>T</w:t>
            </w:r>
            <w:r w:rsidRPr="00313E82">
              <w:rPr>
                <w:lang w:val="en-US"/>
              </w:rPr>
              <w:t xml:space="preserve">his report </w:t>
            </w:r>
            <w:r>
              <w:rPr>
                <w:lang w:val="en-US"/>
              </w:rPr>
              <w:t xml:space="preserve">provides a review of the main used risk measures for Level 1 and Level 2 PSA. It depicts their </w:t>
            </w:r>
            <w:r w:rsidRPr="00313E82">
              <w:rPr>
                <w:lang w:val="en-US"/>
              </w:rPr>
              <w:t>advantage</w:t>
            </w:r>
            <w:r>
              <w:rPr>
                <w:lang w:val="en-US"/>
              </w:rPr>
              <w:t>s</w:t>
            </w:r>
            <w:r w:rsidRPr="00313E82">
              <w:rPr>
                <w:lang w:val="en-US"/>
              </w:rPr>
              <w:t>, limitations and disadvantage</w:t>
            </w:r>
            <w:r>
              <w:rPr>
                <w:lang w:val="en-US"/>
              </w:rPr>
              <w:t>s and</w:t>
            </w:r>
            <w:r w:rsidRPr="00313E82">
              <w:rPr>
                <w:lang w:val="en-US"/>
              </w:rPr>
              <w:t xml:space="preserve"> develop</w:t>
            </w:r>
            <w:r>
              <w:rPr>
                <w:lang w:val="en-US"/>
              </w:rPr>
              <w:t>s</w:t>
            </w:r>
            <w:r w:rsidRPr="00313E82">
              <w:rPr>
                <w:lang w:val="en-US"/>
              </w:rPr>
              <w:t xml:space="preserve"> some more precise risk measures relevant for extended PSAs and helpful for decision-making</w:t>
            </w:r>
            <w:r>
              <w:rPr>
                <w:lang w:val="en-US"/>
              </w:rPr>
              <w:t>. This report does not recommend or suggest any quantitative value for the risk measures. It does not discuss in details decision-making based on PSA results</w:t>
            </w:r>
            <w:r w:rsidR="008849BC">
              <w:rPr>
                <w:lang w:val="en-US"/>
              </w:rPr>
              <w:t xml:space="preserve"> neither</w:t>
            </w:r>
            <w:r>
              <w:rPr>
                <w:lang w:val="en-US"/>
              </w:rPr>
              <w:t>.</w:t>
            </w:r>
          </w:p>
          <w:p w:rsidR="00557A1D" w:rsidRDefault="004D41CB" w:rsidP="008C44DD">
            <w:pPr>
              <w:pStyle w:val="Commentaire"/>
              <w:tabs>
                <w:tab w:val="left" w:pos="1318"/>
              </w:tabs>
              <w:spacing w:before="40"/>
              <w:rPr>
                <w:sz w:val="22"/>
                <w:szCs w:val="22"/>
                <w:lang w:val="en-US"/>
              </w:rPr>
            </w:pPr>
            <w:r>
              <w:rPr>
                <w:sz w:val="22"/>
                <w:szCs w:val="22"/>
                <w:lang w:val="en-US"/>
              </w:rPr>
              <w:tab/>
            </w:r>
          </w:p>
          <w:p w:rsidR="00557A1D" w:rsidRDefault="00557A1D" w:rsidP="00557A1D">
            <w:pPr>
              <w:spacing w:before="40"/>
              <w:rPr>
                <w:lang w:val="en-US"/>
              </w:rPr>
            </w:pPr>
            <w:r w:rsidRPr="00313E82">
              <w:rPr>
                <w:lang w:val="en-US"/>
              </w:rPr>
              <w:t xml:space="preserve">The choice of one appropriate risk measure or a set of risk measures depends on the decision making approach as well as on the issue to be decided. </w:t>
            </w:r>
            <w:r>
              <w:rPr>
                <w:lang w:val="en-US"/>
              </w:rPr>
              <w:t>T</w:t>
            </w:r>
            <w:r w:rsidRPr="00313E82">
              <w:rPr>
                <w:lang w:val="en-US"/>
              </w:rPr>
              <w:t xml:space="preserve">he general approach </w:t>
            </w:r>
            <w:r>
              <w:rPr>
                <w:lang w:val="en-US"/>
              </w:rPr>
              <w:t>for decision making</w:t>
            </w:r>
            <w:r w:rsidRPr="00313E82">
              <w:rPr>
                <w:lang w:val="en-US"/>
              </w:rPr>
              <w:t xml:space="preserve"> aims at a multi-attribute approach. This can include the use of several risk measures as appropriate. </w:t>
            </w:r>
          </w:p>
          <w:p w:rsidR="00557A1D" w:rsidRPr="00313E82" w:rsidRDefault="00557A1D" w:rsidP="00557A1D">
            <w:pPr>
              <w:spacing w:before="40"/>
              <w:rPr>
                <w:lang w:val="en-US"/>
              </w:rPr>
            </w:pPr>
          </w:p>
          <w:p w:rsidR="00557A1D" w:rsidRPr="00313E82" w:rsidRDefault="00557A1D" w:rsidP="004D41CB">
            <w:pPr>
              <w:tabs>
                <w:tab w:val="center" w:pos="4536"/>
                <w:tab w:val="right" w:pos="9072"/>
              </w:tabs>
              <w:spacing w:before="40"/>
              <w:rPr>
                <w:lang w:val="en-US"/>
              </w:rPr>
            </w:pPr>
            <w:r w:rsidRPr="00BE0E02">
              <w:rPr>
                <w:lang w:val="en-US"/>
              </w:rPr>
              <w:t xml:space="preserve">Section </w:t>
            </w:r>
            <w:r w:rsidR="009E768B">
              <w:rPr>
                <w:lang w:val="en-US"/>
              </w:rPr>
              <w:fldChar w:fldCharType="begin"/>
            </w:r>
            <w:r>
              <w:rPr>
                <w:lang w:val="en-US"/>
              </w:rPr>
              <w:instrText xml:space="preserve"> REF _Ref413933830 \r \h </w:instrText>
            </w:r>
            <w:r w:rsidR="009E768B">
              <w:rPr>
                <w:lang w:val="en-US"/>
              </w:rPr>
            </w:r>
            <w:r w:rsidR="009E768B">
              <w:rPr>
                <w:lang w:val="en-US"/>
              </w:rPr>
              <w:fldChar w:fldCharType="separate"/>
            </w:r>
            <w:r w:rsidR="00B772CA">
              <w:rPr>
                <w:lang w:val="en-US"/>
              </w:rPr>
              <w:t>5</w:t>
            </w:r>
            <w:r w:rsidR="009E768B">
              <w:rPr>
                <w:lang w:val="en-US"/>
              </w:rPr>
              <w:fldChar w:fldCharType="end"/>
            </w:r>
            <w:r w:rsidRPr="00BE0E02">
              <w:rPr>
                <w:lang w:val="en-US"/>
              </w:rPr>
              <w:t xml:space="preserve"> provides </w:t>
            </w:r>
            <w:r>
              <w:rPr>
                <w:lang w:val="en-US"/>
              </w:rPr>
              <w:t xml:space="preserve">some </w:t>
            </w:r>
            <w:r w:rsidRPr="00BE0E02">
              <w:rPr>
                <w:lang w:val="en-US"/>
              </w:rPr>
              <w:t>recommendation</w:t>
            </w:r>
            <w:r>
              <w:rPr>
                <w:lang w:val="en-US"/>
              </w:rPr>
              <w:t>s</w:t>
            </w:r>
            <w:r w:rsidRPr="00BE0E02">
              <w:rPr>
                <w:lang w:val="en-US"/>
              </w:rPr>
              <w:t xml:space="preserve"> on </w:t>
            </w:r>
            <w:r>
              <w:rPr>
                <w:lang w:val="en-US"/>
              </w:rPr>
              <w:t xml:space="preserve">the main </w:t>
            </w:r>
            <w:r w:rsidRPr="00BE0E02">
              <w:rPr>
                <w:lang w:val="en-US"/>
              </w:rPr>
              <w:t xml:space="preserve">risk metrics to be used for an extended PSA. For Level 1 PSA, Fuel Damage Frequency and Radionuclide Mobilization Frequency are recommended. For Level 2 PSA, the characterization of loss of containment function and a total risk measure based on the aggregated activity releases of all sequences </w:t>
            </w:r>
            <w:r>
              <w:rPr>
                <w:lang w:val="en-US"/>
              </w:rPr>
              <w:t xml:space="preserve">rated by their frequencies </w:t>
            </w:r>
            <w:r w:rsidRPr="00BE0E02">
              <w:rPr>
                <w:lang w:val="en-US"/>
              </w:rPr>
              <w:t>is proposed.</w:t>
            </w:r>
            <w:r w:rsidRPr="00313E82">
              <w:rPr>
                <w:lang w:val="en-US"/>
              </w:rPr>
              <w:br w:type="page"/>
            </w:r>
          </w:p>
        </w:tc>
      </w:tr>
    </w:tbl>
    <w:p w:rsidR="00557A1D" w:rsidRPr="00313E82" w:rsidRDefault="00557A1D" w:rsidP="00557A1D">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3275"/>
        <w:gridCol w:w="2092"/>
        <w:gridCol w:w="3227"/>
      </w:tblGrid>
      <w:tr w:rsidR="00557A1D" w:rsidRPr="00313E82" w:rsidTr="008C44DD">
        <w:tc>
          <w:tcPr>
            <w:tcW w:w="5000" w:type="pct"/>
            <w:gridSpan w:val="4"/>
            <w:shd w:val="clear" w:color="auto" w:fill="auto"/>
          </w:tcPr>
          <w:p w:rsidR="00557A1D" w:rsidRPr="00313E82" w:rsidRDefault="00557A1D" w:rsidP="00557A1D">
            <w:pPr>
              <w:tabs>
                <w:tab w:val="center" w:pos="4536"/>
                <w:tab w:val="right" w:pos="9072"/>
              </w:tabs>
              <w:rPr>
                <w:lang w:val="en-US"/>
              </w:rPr>
            </w:pPr>
            <w:r w:rsidRPr="00313E82">
              <w:rPr>
                <w:lang w:val="en-US"/>
              </w:rPr>
              <w:t>Visa grid</w:t>
            </w:r>
          </w:p>
        </w:tc>
      </w:tr>
      <w:tr w:rsidR="00557A1D" w:rsidRPr="00313E82" w:rsidTr="008C44DD">
        <w:tc>
          <w:tcPr>
            <w:tcW w:w="510" w:type="pct"/>
            <w:shd w:val="clear" w:color="auto" w:fill="auto"/>
          </w:tcPr>
          <w:p w:rsidR="00557A1D" w:rsidRPr="00313E82" w:rsidRDefault="00557A1D" w:rsidP="00557A1D">
            <w:pPr>
              <w:tabs>
                <w:tab w:val="center" w:pos="4536"/>
                <w:tab w:val="right" w:pos="9072"/>
              </w:tabs>
              <w:rPr>
                <w:lang w:val="en-US"/>
              </w:rPr>
            </w:pPr>
          </w:p>
        </w:tc>
        <w:tc>
          <w:tcPr>
            <w:tcW w:w="1711" w:type="pct"/>
            <w:shd w:val="clear" w:color="auto" w:fill="auto"/>
          </w:tcPr>
          <w:p w:rsidR="00557A1D" w:rsidRPr="00313E82" w:rsidRDefault="00557A1D" w:rsidP="00557A1D">
            <w:pPr>
              <w:tabs>
                <w:tab w:val="center" w:pos="4536"/>
                <w:tab w:val="right" w:pos="9072"/>
              </w:tabs>
              <w:rPr>
                <w:b/>
                <w:lang w:val="en-US"/>
              </w:rPr>
            </w:pPr>
            <w:r w:rsidRPr="00313E82">
              <w:rPr>
                <w:b/>
                <w:lang w:val="en-US"/>
              </w:rPr>
              <w:t>Main author(s) :</w:t>
            </w:r>
          </w:p>
        </w:tc>
        <w:tc>
          <w:tcPr>
            <w:tcW w:w="1093" w:type="pct"/>
            <w:shd w:val="clear" w:color="auto" w:fill="auto"/>
          </w:tcPr>
          <w:p w:rsidR="00557A1D" w:rsidRPr="00313E82" w:rsidRDefault="00557A1D" w:rsidP="00557A1D">
            <w:pPr>
              <w:tabs>
                <w:tab w:val="center" w:pos="4536"/>
                <w:tab w:val="right" w:pos="9072"/>
              </w:tabs>
              <w:rPr>
                <w:b/>
                <w:lang w:val="en-US"/>
              </w:rPr>
            </w:pPr>
            <w:r w:rsidRPr="00313E82">
              <w:rPr>
                <w:b/>
                <w:lang w:val="en-US"/>
              </w:rPr>
              <w:t>Verification</w:t>
            </w:r>
          </w:p>
        </w:tc>
        <w:tc>
          <w:tcPr>
            <w:tcW w:w="1685" w:type="pct"/>
            <w:shd w:val="clear" w:color="auto" w:fill="auto"/>
          </w:tcPr>
          <w:p w:rsidR="00557A1D" w:rsidRPr="00313E82" w:rsidRDefault="00557A1D" w:rsidP="00557A1D">
            <w:pPr>
              <w:tabs>
                <w:tab w:val="center" w:pos="4536"/>
                <w:tab w:val="right" w:pos="9072"/>
              </w:tabs>
              <w:rPr>
                <w:b/>
                <w:lang w:val="en-US"/>
              </w:rPr>
            </w:pPr>
            <w:r w:rsidRPr="00313E82">
              <w:rPr>
                <w:b/>
                <w:lang w:val="en-US"/>
              </w:rPr>
              <w:t>Approval (Coordinator)</w:t>
            </w:r>
          </w:p>
        </w:tc>
      </w:tr>
      <w:tr w:rsidR="00557A1D" w:rsidRPr="00313E82" w:rsidTr="008C44DD">
        <w:tc>
          <w:tcPr>
            <w:tcW w:w="510" w:type="pct"/>
            <w:shd w:val="clear" w:color="auto" w:fill="auto"/>
          </w:tcPr>
          <w:p w:rsidR="00557A1D" w:rsidRPr="00313E82" w:rsidRDefault="00557A1D" w:rsidP="00557A1D">
            <w:pPr>
              <w:tabs>
                <w:tab w:val="center" w:pos="4536"/>
                <w:tab w:val="right" w:pos="9072"/>
              </w:tabs>
              <w:rPr>
                <w:lang w:val="en-US"/>
              </w:rPr>
            </w:pPr>
            <w:r w:rsidRPr="00313E82">
              <w:rPr>
                <w:lang w:val="en-US"/>
              </w:rPr>
              <w:t>Name (s)</w:t>
            </w:r>
          </w:p>
        </w:tc>
        <w:tc>
          <w:tcPr>
            <w:tcW w:w="1711" w:type="pct"/>
            <w:shd w:val="clear" w:color="auto" w:fill="auto"/>
          </w:tcPr>
          <w:p w:rsidR="00557A1D" w:rsidRPr="00313E82" w:rsidRDefault="00557A1D" w:rsidP="00552F4E">
            <w:pPr>
              <w:tabs>
                <w:tab w:val="center" w:pos="4536"/>
                <w:tab w:val="right" w:pos="9072"/>
              </w:tabs>
              <w:jc w:val="center"/>
              <w:rPr>
                <w:lang w:val="en-US"/>
              </w:rPr>
            </w:pPr>
            <w:r>
              <w:rPr>
                <w:lang w:val="en-US"/>
              </w:rPr>
              <w:t xml:space="preserve">A. </w:t>
            </w:r>
            <w:r w:rsidRPr="00313E82">
              <w:rPr>
                <w:lang w:val="en-US"/>
              </w:rPr>
              <w:t>Wielenberg</w:t>
            </w:r>
            <w:r>
              <w:rPr>
                <w:lang w:val="en-US"/>
              </w:rPr>
              <w:t>, C. Hasnaoui</w:t>
            </w:r>
          </w:p>
        </w:tc>
        <w:tc>
          <w:tcPr>
            <w:tcW w:w="1093" w:type="pct"/>
            <w:shd w:val="clear" w:color="auto" w:fill="auto"/>
          </w:tcPr>
          <w:p w:rsidR="00557A1D" w:rsidRPr="00313E82" w:rsidRDefault="00557A1D" w:rsidP="00552F4E">
            <w:pPr>
              <w:tabs>
                <w:tab w:val="center" w:pos="4536"/>
                <w:tab w:val="right" w:pos="9072"/>
              </w:tabs>
              <w:jc w:val="center"/>
              <w:rPr>
                <w:lang w:val="en-US"/>
              </w:rPr>
            </w:pPr>
            <w:r>
              <w:rPr>
                <w:lang w:val="en-US"/>
              </w:rPr>
              <w:t>H. Loef</w:t>
            </w:r>
            <w:r w:rsidR="0009604E">
              <w:rPr>
                <w:lang w:val="en-US"/>
              </w:rPr>
              <w:t>f</w:t>
            </w:r>
            <w:r>
              <w:rPr>
                <w:lang w:val="en-US"/>
              </w:rPr>
              <w:t>ler</w:t>
            </w:r>
          </w:p>
        </w:tc>
        <w:tc>
          <w:tcPr>
            <w:tcW w:w="1685" w:type="pct"/>
            <w:shd w:val="clear" w:color="auto" w:fill="auto"/>
          </w:tcPr>
          <w:p w:rsidR="00557A1D" w:rsidRPr="00313E82" w:rsidRDefault="00557A1D" w:rsidP="00552F4E">
            <w:pPr>
              <w:tabs>
                <w:tab w:val="center" w:pos="4536"/>
                <w:tab w:val="right" w:pos="9072"/>
              </w:tabs>
              <w:jc w:val="center"/>
              <w:rPr>
                <w:lang w:val="en-US"/>
              </w:rPr>
            </w:pPr>
            <w:r w:rsidRPr="00313E82">
              <w:rPr>
                <w:lang w:val="en-US"/>
              </w:rPr>
              <w:t>E. Raimond</w:t>
            </w:r>
          </w:p>
        </w:tc>
      </w:tr>
      <w:tr w:rsidR="00557A1D" w:rsidRPr="00313E82" w:rsidTr="008C44DD">
        <w:tc>
          <w:tcPr>
            <w:tcW w:w="510" w:type="pct"/>
            <w:shd w:val="clear" w:color="auto" w:fill="auto"/>
          </w:tcPr>
          <w:p w:rsidR="00557A1D" w:rsidRPr="00313E82" w:rsidRDefault="00557A1D" w:rsidP="00557A1D">
            <w:pPr>
              <w:tabs>
                <w:tab w:val="center" w:pos="4536"/>
                <w:tab w:val="right" w:pos="9072"/>
              </w:tabs>
              <w:rPr>
                <w:lang w:val="en-US"/>
              </w:rPr>
            </w:pPr>
            <w:r w:rsidRPr="00313E82">
              <w:rPr>
                <w:lang w:val="en-US"/>
              </w:rPr>
              <w:t>Date</w:t>
            </w:r>
          </w:p>
        </w:tc>
        <w:tc>
          <w:tcPr>
            <w:tcW w:w="1711" w:type="pct"/>
            <w:shd w:val="clear" w:color="auto" w:fill="auto"/>
          </w:tcPr>
          <w:p w:rsidR="00557A1D" w:rsidRPr="008C44DD" w:rsidRDefault="00055993" w:rsidP="00552F4E">
            <w:pPr>
              <w:tabs>
                <w:tab w:val="center" w:pos="4536"/>
                <w:tab w:val="right" w:pos="9072"/>
              </w:tabs>
              <w:jc w:val="center"/>
              <w:rPr>
                <w:highlight w:val="yellow"/>
                <w:lang w:val="en-US"/>
              </w:rPr>
            </w:pPr>
            <w:r w:rsidRPr="00055993">
              <w:rPr>
                <w:lang w:val="en-US"/>
              </w:rPr>
              <w:t>15/12/2016</w:t>
            </w:r>
          </w:p>
        </w:tc>
        <w:tc>
          <w:tcPr>
            <w:tcW w:w="1093" w:type="pct"/>
            <w:shd w:val="clear" w:color="auto" w:fill="auto"/>
          </w:tcPr>
          <w:p w:rsidR="00557A1D" w:rsidRPr="008C44DD" w:rsidRDefault="009D3B91" w:rsidP="009D3B91">
            <w:pPr>
              <w:tabs>
                <w:tab w:val="center" w:pos="4536"/>
                <w:tab w:val="right" w:pos="9072"/>
              </w:tabs>
              <w:jc w:val="center"/>
              <w:rPr>
                <w:highlight w:val="yellow"/>
                <w:lang w:val="en-US"/>
              </w:rPr>
            </w:pPr>
            <w:r w:rsidRPr="00055993">
              <w:rPr>
                <w:lang w:val="en-US"/>
              </w:rPr>
              <w:t>1</w:t>
            </w:r>
            <w:r>
              <w:rPr>
                <w:lang w:val="en-US"/>
              </w:rPr>
              <w:t>9</w:t>
            </w:r>
            <w:r w:rsidRPr="00055993">
              <w:rPr>
                <w:lang w:val="en-US"/>
              </w:rPr>
              <w:t>/12/2016</w:t>
            </w:r>
          </w:p>
        </w:tc>
        <w:tc>
          <w:tcPr>
            <w:tcW w:w="1685" w:type="pct"/>
            <w:shd w:val="clear" w:color="auto" w:fill="auto"/>
          </w:tcPr>
          <w:p w:rsidR="00557A1D" w:rsidRPr="008C44DD" w:rsidRDefault="0042104F" w:rsidP="00552F4E">
            <w:pPr>
              <w:tabs>
                <w:tab w:val="center" w:pos="4536"/>
                <w:tab w:val="right" w:pos="9072"/>
              </w:tabs>
              <w:jc w:val="center"/>
              <w:rPr>
                <w:highlight w:val="yellow"/>
                <w:lang w:val="en-US"/>
              </w:rPr>
            </w:pPr>
            <w:r w:rsidRPr="0042104F">
              <w:rPr>
                <w:lang w:val="en-US"/>
              </w:rPr>
              <w:t>09/02/2017</w:t>
            </w:r>
          </w:p>
        </w:tc>
      </w:tr>
      <w:tr w:rsidR="00557A1D" w:rsidRPr="00DC3DAF" w:rsidTr="008C44DD">
        <w:trPr>
          <w:trHeight w:val="700"/>
        </w:trPr>
        <w:tc>
          <w:tcPr>
            <w:tcW w:w="510" w:type="pct"/>
            <w:shd w:val="clear" w:color="auto" w:fill="auto"/>
          </w:tcPr>
          <w:p w:rsidR="00557A1D" w:rsidRPr="00313E82" w:rsidRDefault="00557A1D" w:rsidP="00667C6C">
            <w:pPr>
              <w:tabs>
                <w:tab w:val="center" w:pos="4536"/>
                <w:tab w:val="right" w:pos="9072"/>
              </w:tabs>
              <w:rPr>
                <w:lang w:val="en-US"/>
              </w:rPr>
            </w:pPr>
            <w:r w:rsidRPr="00055993">
              <w:rPr>
                <w:lang w:val="en-US"/>
              </w:rPr>
              <w:t>Signature</w:t>
            </w:r>
            <w:r w:rsidR="0009604E">
              <w:rPr>
                <w:lang w:val="en-US"/>
              </w:rPr>
              <w:t xml:space="preserve"> </w:t>
            </w:r>
          </w:p>
        </w:tc>
        <w:tc>
          <w:tcPr>
            <w:tcW w:w="1711" w:type="pct"/>
            <w:shd w:val="clear" w:color="auto" w:fill="auto"/>
          </w:tcPr>
          <w:p w:rsidR="00FA509C" w:rsidRDefault="00FA509C" w:rsidP="0042104F">
            <w:pPr>
              <w:tabs>
                <w:tab w:val="center" w:pos="4536"/>
                <w:tab w:val="right" w:pos="9072"/>
              </w:tabs>
              <w:jc w:val="center"/>
              <w:rPr>
                <w:lang w:val="en-US"/>
              </w:rPr>
            </w:pPr>
            <w:bookmarkStart w:id="2" w:name="_GoBack"/>
            <w:bookmarkEnd w:id="2"/>
          </w:p>
        </w:tc>
        <w:tc>
          <w:tcPr>
            <w:tcW w:w="1093" w:type="pct"/>
            <w:shd w:val="clear" w:color="auto" w:fill="auto"/>
            <w:vAlign w:val="center"/>
          </w:tcPr>
          <w:p w:rsidR="00557A1D" w:rsidRPr="008C44DD" w:rsidRDefault="00557A1D" w:rsidP="008C44DD">
            <w:pPr>
              <w:tabs>
                <w:tab w:val="center" w:pos="4536"/>
                <w:tab w:val="right" w:pos="9072"/>
              </w:tabs>
              <w:rPr>
                <w:lang w:val="en-US"/>
              </w:rPr>
            </w:pPr>
          </w:p>
        </w:tc>
        <w:tc>
          <w:tcPr>
            <w:tcW w:w="1685" w:type="pct"/>
            <w:shd w:val="clear" w:color="auto" w:fill="auto"/>
            <w:vAlign w:val="center"/>
          </w:tcPr>
          <w:p w:rsidR="00557A1D" w:rsidRPr="008C44DD" w:rsidRDefault="00557A1D" w:rsidP="008C44DD">
            <w:pPr>
              <w:tabs>
                <w:tab w:val="center" w:pos="4536"/>
                <w:tab w:val="right" w:pos="9072"/>
              </w:tabs>
              <w:rPr>
                <w:lang w:val="en-US"/>
              </w:rPr>
            </w:pPr>
          </w:p>
        </w:tc>
      </w:tr>
    </w:tbl>
    <w:p w:rsidR="00557A1D" w:rsidRPr="00313E82" w:rsidRDefault="00557A1D" w:rsidP="00557A1D">
      <w:pPr>
        <w:ind w:left="-450"/>
        <w:rPr>
          <w:b/>
          <w:smallCaps/>
          <w:lang w:val="en-US"/>
        </w:rPr>
        <w:sectPr w:rsidR="00557A1D" w:rsidRPr="00313E82" w:rsidSect="000C7670">
          <w:headerReference w:type="even" r:id="rId9"/>
          <w:headerReference w:type="default" r:id="rId10"/>
          <w:footerReference w:type="default" r:id="rId11"/>
          <w:headerReference w:type="first" r:id="rId12"/>
          <w:footerReference w:type="first" r:id="rId13"/>
          <w:pgSz w:w="11907" w:h="16840" w:code="9"/>
          <w:pgMar w:top="1304" w:right="1134" w:bottom="907" w:left="567" w:header="567" w:footer="0" w:gutter="851"/>
          <w:cols w:space="380"/>
          <w:noEndnote/>
        </w:sectPr>
      </w:pPr>
    </w:p>
    <w:p w:rsidR="00557A1D" w:rsidRPr="00313E82" w:rsidRDefault="00557A1D" w:rsidP="00557A1D">
      <w:pPr>
        <w:ind w:left="-450"/>
        <w:rPr>
          <w:b/>
          <w:smallCaps/>
          <w:lang w:val="en-US"/>
        </w:rPr>
      </w:pPr>
    </w:p>
    <w:p w:rsidR="00557A1D" w:rsidRPr="00313E82" w:rsidRDefault="00557A1D" w:rsidP="00557A1D">
      <w:pPr>
        <w:ind w:left="-450"/>
        <w:rPr>
          <w:b/>
          <w:smallCaps/>
          <w:lang w:val="en-US"/>
        </w:rPr>
      </w:pPr>
    </w:p>
    <w:p w:rsidR="00557A1D" w:rsidRPr="00552F4E" w:rsidRDefault="00557A1D" w:rsidP="00557A1D">
      <w:pPr>
        <w:pBdr>
          <w:top w:val="double" w:sz="6" w:space="3" w:color="auto"/>
        </w:pBdr>
        <w:ind w:right="491"/>
        <w:outlineLvl w:val="0"/>
        <w:rPr>
          <w:smallCaps/>
          <w:sz w:val="32"/>
          <w:szCs w:val="32"/>
          <w:lang w:val="en-US"/>
        </w:rPr>
      </w:pPr>
      <w:bookmarkStart w:id="3" w:name="_Toc451965933"/>
      <w:bookmarkStart w:id="4" w:name="_Toc474430088"/>
      <w:r w:rsidRPr="00552F4E">
        <w:rPr>
          <w:smallCaps/>
          <w:sz w:val="32"/>
          <w:szCs w:val="32"/>
          <w:lang w:val="en-US"/>
        </w:rPr>
        <w:t>Modifications of the document</w:t>
      </w:r>
      <w:bookmarkEnd w:id="3"/>
      <w:bookmarkEnd w:id="4"/>
    </w:p>
    <w:p w:rsidR="00557A1D" w:rsidRPr="00313E82" w:rsidRDefault="00557A1D" w:rsidP="00557A1D">
      <w:pPr>
        <w:rPr>
          <w:lang w:val="en-US"/>
        </w:rPr>
      </w:pPr>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557A1D" w:rsidRPr="00313E82" w:rsidTr="00557A1D">
        <w:tc>
          <w:tcPr>
            <w:tcW w:w="1134" w:type="dxa"/>
            <w:tcBorders>
              <w:bottom w:val="single" w:sz="12" w:space="0" w:color="auto"/>
            </w:tcBorders>
          </w:tcPr>
          <w:p w:rsidR="00557A1D" w:rsidRPr="00313E82" w:rsidRDefault="00557A1D" w:rsidP="00667C6C">
            <w:pPr>
              <w:spacing w:before="120" w:after="120" w:line="240" w:lineRule="auto"/>
              <w:jc w:val="center"/>
              <w:rPr>
                <w:rFonts w:cs="Arial"/>
                <w:b/>
                <w:bCs/>
                <w:i/>
                <w:iCs/>
                <w:szCs w:val="22"/>
                <w:lang w:val="en-US"/>
              </w:rPr>
            </w:pPr>
            <w:r w:rsidRPr="00313E82">
              <w:rPr>
                <w:lang w:val="en-US"/>
              </w:rPr>
              <w:t>Version</w:t>
            </w:r>
          </w:p>
        </w:tc>
        <w:tc>
          <w:tcPr>
            <w:tcW w:w="1418" w:type="dxa"/>
            <w:tcBorders>
              <w:bottom w:val="single" w:sz="12" w:space="0" w:color="auto"/>
            </w:tcBorders>
          </w:tcPr>
          <w:p w:rsidR="00557A1D" w:rsidRPr="00313E82" w:rsidRDefault="00557A1D" w:rsidP="00667C6C">
            <w:pPr>
              <w:spacing w:before="120" w:after="120" w:line="240" w:lineRule="auto"/>
              <w:jc w:val="center"/>
              <w:rPr>
                <w:rFonts w:cs="Arial"/>
                <w:b/>
                <w:bCs/>
                <w:i/>
                <w:iCs/>
                <w:szCs w:val="22"/>
                <w:lang w:val="en-US"/>
              </w:rPr>
            </w:pPr>
            <w:r w:rsidRPr="00313E82">
              <w:rPr>
                <w:lang w:val="en-US"/>
              </w:rPr>
              <w:t>Date</w:t>
            </w:r>
          </w:p>
        </w:tc>
        <w:tc>
          <w:tcPr>
            <w:tcW w:w="2419" w:type="dxa"/>
            <w:tcBorders>
              <w:bottom w:val="single" w:sz="12" w:space="0" w:color="auto"/>
            </w:tcBorders>
          </w:tcPr>
          <w:p w:rsidR="00557A1D" w:rsidRPr="00313E82" w:rsidRDefault="00557A1D" w:rsidP="00667C6C">
            <w:pPr>
              <w:spacing w:before="120" w:after="120" w:line="240" w:lineRule="auto"/>
              <w:jc w:val="center"/>
              <w:rPr>
                <w:rFonts w:cs="Arial"/>
                <w:b/>
                <w:bCs/>
                <w:i/>
                <w:iCs/>
                <w:szCs w:val="22"/>
                <w:lang w:val="en-US"/>
              </w:rPr>
            </w:pPr>
            <w:r w:rsidRPr="00313E82">
              <w:rPr>
                <w:lang w:val="en-US"/>
              </w:rPr>
              <w:t>Authors</w:t>
            </w:r>
          </w:p>
        </w:tc>
        <w:tc>
          <w:tcPr>
            <w:tcW w:w="1551" w:type="dxa"/>
            <w:tcBorders>
              <w:bottom w:val="single" w:sz="12" w:space="0" w:color="auto"/>
            </w:tcBorders>
          </w:tcPr>
          <w:p w:rsidR="00557A1D" w:rsidRPr="00313E82" w:rsidRDefault="00557A1D" w:rsidP="00667C6C">
            <w:pPr>
              <w:spacing w:before="120" w:after="120" w:line="240" w:lineRule="auto"/>
              <w:jc w:val="center"/>
              <w:rPr>
                <w:rFonts w:cs="Arial"/>
                <w:b/>
                <w:bCs/>
                <w:i/>
                <w:iCs/>
                <w:szCs w:val="22"/>
                <w:lang w:val="en-US"/>
              </w:rPr>
            </w:pPr>
            <w:r w:rsidRPr="00313E82">
              <w:rPr>
                <w:lang w:val="en-US"/>
              </w:rPr>
              <w:t>Pages or paragraphs modified</w:t>
            </w:r>
          </w:p>
        </w:tc>
        <w:tc>
          <w:tcPr>
            <w:tcW w:w="2578" w:type="dxa"/>
            <w:tcBorders>
              <w:bottom w:val="single" w:sz="12" w:space="0" w:color="auto"/>
            </w:tcBorders>
          </w:tcPr>
          <w:p w:rsidR="00557A1D" w:rsidRPr="00313E82" w:rsidRDefault="00557A1D" w:rsidP="00667C6C">
            <w:pPr>
              <w:spacing w:before="120" w:after="120" w:line="240" w:lineRule="auto"/>
              <w:jc w:val="center"/>
              <w:rPr>
                <w:rFonts w:cs="Arial"/>
                <w:b/>
                <w:bCs/>
                <w:i/>
                <w:iCs/>
                <w:szCs w:val="22"/>
                <w:lang w:val="en-US"/>
              </w:rPr>
            </w:pPr>
            <w:r w:rsidRPr="00313E82">
              <w:rPr>
                <w:lang w:val="en-US"/>
              </w:rPr>
              <w:t>Description or comments</w:t>
            </w:r>
          </w:p>
        </w:tc>
      </w:tr>
      <w:tr w:rsidR="00557A1D" w:rsidRPr="00313E82" w:rsidTr="00557A1D">
        <w:tc>
          <w:tcPr>
            <w:tcW w:w="1134" w:type="dxa"/>
            <w:tcBorders>
              <w:top w:val="nil"/>
            </w:tcBorders>
          </w:tcPr>
          <w:p w:rsidR="00557A1D" w:rsidRPr="00313E82" w:rsidRDefault="00557A1D" w:rsidP="00667C6C">
            <w:pPr>
              <w:spacing w:before="120" w:after="120" w:line="240" w:lineRule="auto"/>
              <w:ind w:left="57" w:right="57"/>
              <w:rPr>
                <w:rFonts w:cs="Arial"/>
                <w:b/>
                <w:bCs/>
                <w:i/>
                <w:iCs/>
                <w:szCs w:val="22"/>
                <w:lang w:val="en-US"/>
              </w:rPr>
            </w:pPr>
            <w:r w:rsidRPr="00313E82">
              <w:rPr>
                <w:lang w:val="en-US"/>
              </w:rPr>
              <w:t xml:space="preserve">Rev. </w:t>
            </w:r>
            <w:r w:rsidR="00DC3DAF">
              <w:rPr>
                <w:lang w:val="en-US"/>
              </w:rPr>
              <w:t>D</w:t>
            </w:r>
            <w:r w:rsidRPr="00313E82">
              <w:rPr>
                <w:lang w:val="en-US"/>
              </w:rPr>
              <w:t>0</w:t>
            </w:r>
          </w:p>
        </w:tc>
        <w:tc>
          <w:tcPr>
            <w:tcW w:w="1418" w:type="dxa"/>
            <w:tcBorders>
              <w:top w:val="nil"/>
            </w:tcBorders>
          </w:tcPr>
          <w:p w:rsidR="00557A1D" w:rsidRPr="00313E82" w:rsidRDefault="00557A1D" w:rsidP="00667C6C">
            <w:pPr>
              <w:spacing w:before="120" w:after="120" w:line="240" w:lineRule="auto"/>
              <w:ind w:left="57" w:right="57"/>
              <w:jc w:val="center"/>
              <w:rPr>
                <w:rFonts w:cs="Tahoma"/>
                <w:szCs w:val="20"/>
                <w:lang w:val="en-US"/>
              </w:rPr>
            </w:pPr>
          </w:p>
        </w:tc>
        <w:tc>
          <w:tcPr>
            <w:tcW w:w="2419" w:type="dxa"/>
            <w:tcBorders>
              <w:top w:val="nil"/>
            </w:tcBorders>
          </w:tcPr>
          <w:p w:rsidR="00557A1D" w:rsidRPr="006F12A5" w:rsidRDefault="00557A1D" w:rsidP="00667C6C">
            <w:pPr>
              <w:spacing w:before="120" w:after="120" w:line="240" w:lineRule="auto"/>
              <w:ind w:right="57"/>
              <w:jc w:val="left"/>
              <w:rPr>
                <w:rFonts w:cs="Arial"/>
                <w:b/>
                <w:bCs/>
                <w:i/>
                <w:iCs/>
                <w:szCs w:val="22"/>
                <w:lang w:val="en-US"/>
              </w:rPr>
            </w:pPr>
            <w:r>
              <w:rPr>
                <w:lang w:val="en-US"/>
              </w:rPr>
              <w:t xml:space="preserve"> </w:t>
            </w:r>
            <w:r w:rsidRPr="00211147">
              <w:rPr>
                <w:lang w:val="en-US"/>
              </w:rPr>
              <w:t>A.</w:t>
            </w:r>
            <w:r w:rsidRPr="006F12A5">
              <w:rPr>
                <w:lang w:val="en-US"/>
              </w:rPr>
              <w:t>Wielenberg</w:t>
            </w:r>
          </w:p>
        </w:tc>
        <w:tc>
          <w:tcPr>
            <w:tcW w:w="1551" w:type="dxa"/>
            <w:tcBorders>
              <w:top w:val="nil"/>
            </w:tcBorders>
          </w:tcPr>
          <w:p w:rsidR="00557A1D" w:rsidRPr="00313E82" w:rsidRDefault="00557A1D" w:rsidP="00667C6C">
            <w:pPr>
              <w:spacing w:before="120" w:after="120" w:line="240" w:lineRule="auto"/>
              <w:ind w:left="57" w:right="57"/>
              <w:rPr>
                <w:rFonts w:cs="Arial"/>
                <w:b/>
                <w:bCs/>
                <w:i/>
                <w:szCs w:val="22"/>
                <w:lang w:val="en-US"/>
              </w:rPr>
            </w:pPr>
            <w:r w:rsidRPr="00313E82">
              <w:rPr>
                <w:lang w:val="en-US"/>
              </w:rPr>
              <w:t>All</w:t>
            </w:r>
          </w:p>
        </w:tc>
        <w:tc>
          <w:tcPr>
            <w:tcW w:w="2578" w:type="dxa"/>
            <w:tcBorders>
              <w:top w:val="nil"/>
            </w:tcBorders>
          </w:tcPr>
          <w:p w:rsidR="00557A1D" w:rsidRPr="00313E82" w:rsidRDefault="00557A1D" w:rsidP="00667C6C">
            <w:pPr>
              <w:spacing w:before="120" w:after="120" w:line="240" w:lineRule="auto"/>
              <w:ind w:left="57" w:right="57"/>
              <w:rPr>
                <w:rFonts w:cs="Arial"/>
                <w:b/>
                <w:bCs/>
                <w:i/>
                <w:iCs/>
                <w:szCs w:val="22"/>
                <w:lang w:val="en-US"/>
              </w:rPr>
            </w:pPr>
            <w:r w:rsidRPr="00313E82">
              <w:rPr>
                <w:lang w:val="en-US"/>
              </w:rPr>
              <w:t>Initial version</w:t>
            </w:r>
          </w:p>
        </w:tc>
      </w:tr>
      <w:tr w:rsidR="00557A1D" w:rsidRPr="001D3F1E" w:rsidTr="00557A1D">
        <w:tc>
          <w:tcPr>
            <w:tcW w:w="1134" w:type="dxa"/>
          </w:tcPr>
          <w:p w:rsidR="00557A1D" w:rsidRPr="00313E82" w:rsidRDefault="00557A1D" w:rsidP="00667C6C">
            <w:pPr>
              <w:spacing w:before="120" w:after="120" w:line="240" w:lineRule="auto"/>
              <w:ind w:left="57" w:right="57"/>
              <w:rPr>
                <w:rFonts w:cs="Arial"/>
                <w:b/>
                <w:bCs/>
                <w:i/>
                <w:iCs/>
                <w:szCs w:val="22"/>
                <w:lang w:val="en-US"/>
              </w:rPr>
            </w:pPr>
            <w:r w:rsidRPr="00313E82">
              <w:rPr>
                <w:lang w:val="en-US"/>
              </w:rPr>
              <w:t xml:space="preserve">Rev. </w:t>
            </w:r>
            <w:r w:rsidR="00DC3DAF">
              <w:rPr>
                <w:lang w:val="en-US"/>
              </w:rPr>
              <w:t>D</w:t>
            </w:r>
            <w:r w:rsidRPr="00313E82">
              <w:rPr>
                <w:lang w:val="en-US"/>
              </w:rPr>
              <w:t>1</w:t>
            </w:r>
          </w:p>
        </w:tc>
        <w:tc>
          <w:tcPr>
            <w:tcW w:w="1418" w:type="dxa"/>
          </w:tcPr>
          <w:p w:rsidR="00557A1D" w:rsidRPr="00313E82" w:rsidRDefault="00557A1D" w:rsidP="00667C6C">
            <w:pPr>
              <w:spacing w:before="120" w:after="120" w:line="240" w:lineRule="auto"/>
              <w:ind w:left="57" w:right="57"/>
              <w:jc w:val="center"/>
              <w:rPr>
                <w:rFonts w:cs="Tahoma"/>
                <w:szCs w:val="20"/>
                <w:lang w:val="en-US"/>
              </w:rPr>
            </w:pPr>
          </w:p>
        </w:tc>
        <w:tc>
          <w:tcPr>
            <w:tcW w:w="2419" w:type="dxa"/>
          </w:tcPr>
          <w:p w:rsidR="00557A1D" w:rsidRPr="006565BB" w:rsidRDefault="00557A1D" w:rsidP="00667C6C">
            <w:pPr>
              <w:spacing w:before="120" w:after="120" w:line="240" w:lineRule="auto"/>
              <w:ind w:left="57" w:right="57"/>
              <w:jc w:val="left"/>
              <w:rPr>
                <w:rFonts w:cs="Arial"/>
                <w:b/>
                <w:bCs/>
                <w:i/>
                <w:iCs/>
                <w:szCs w:val="22"/>
                <w:lang w:val="en-US"/>
              </w:rPr>
            </w:pPr>
            <w:r>
              <w:rPr>
                <w:lang w:val="en-US"/>
              </w:rPr>
              <w:t>A.</w:t>
            </w:r>
            <w:r w:rsidRPr="006565BB">
              <w:rPr>
                <w:lang w:val="en-US"/>
              </w:rPr>
              <w:t xml:space="preserve">Wielenberg, </w:t>
            </w:r>
            <w:r>
              <w:rPr>
                <w:lang w:val="en-US"/>
              </w:rPr>
              <w:t>C.H</w:t>
            </w:r>
            <w:r w:rsidRPr="006565BB">
              <w:rPr>
                <w:lang w:val="en-US"/>
              </w:rPr>
              <w:t xml:space="preserve">asnaoui, </w:t>
            </w:r>
            <w:r w:rsidR="00B35F86">
              <w:rPr>
                <w:lang w:val="en-US"/>
              </w:rPr>
              <w:t>H.</w:t>
            </w:r>
            <w:r w:rsidRPr="006565BB">
              <w:rPr>
                <w:lang w:val="en-US"/>
              </w:rPr>
              <w:t xml:space="preserve">Löffler, </w:t>
            </w:r>
            <w:r>
              <w:rPr>
                <w:lang w:val="en-US"/>
              </w:rPr>
              <w:t>T.</w:t>
            </w:r>
            <w:r w:rsidRPr="006565BB">
              <w:rPr>
                <w:lang w:val="en-US"/>
              </w:rPr>
              <w:t xml:space="preserve">Siklossy, </w:t>
            </w:r>
            <w:r w:rsidR="004678E6">
              <w:rPr>
                <w:lang w:val="en-US"/>
              </w:rPr>
              <w:t xml:space="preserve">L. </w:t>
            </w:r>
            <w:r w:rsidRPr="006565BB">
              <w:rPr>
                <w:lang w:val="en-US"/>
              </w:rPr>
              <w:t xml:space="preserve">Burgazzi, </w:t>
            </w:r>
            <w:r>
              <w:rPr>
                <w:lang w:val="en-US"/>
              </w:rPr>
              <w:t>P.</w:t>
            </w:r>
            <w:r w:rsidRPr="006565BB">
              <w:rPr>
                <w:lang w:val="en-US"/>
              </w:rPr>
              <w:t xml:space="preserve">Jan, </w:t>
            </w:r>
            <w:r w:rsidR="00B35F86">
              <w:rPr>
                <w:lang w:val="en-US"/>
              </w:rPr>
              <w:t>A.</w:t>
            </w:r>
            <w:r w:rsidRPr="006565BB">
              <w:rPr>
                <w:lang w:val="en-US"/>
              </w:rPr>
              <w:t>Prosek,</w:t>
            </w:r>
          </w:p>
        </w:tc>
        <w:tc>
          <w:tcPr>
            <w:tcW w:w="1551" w:type="dxa"/>
          </w:tcPr>
          <w:p w:rsidR="00557A1D" w:rsidRPr="00313E82" w:rsidRDefault="00557A1D" w:rsidP="00667C6C">
            <w:pPr>
              <w:spacing w:before="120" w:after="120" w:line="240" w:lineRule="auto"/>
              <w:ind w:left="57" w:right="57"/>
              <w:rPr>
                <w:rFonts w:cs="Tahoma"/>
                <w:szCs w:val="20"/>
                <w:lang w:val="en-US"/>
              </w:rPr>
            </w:pPr>
          </w:p>
        </w:tc>
        <w:tc>
          <w:tcPr>
            <w:tcW w:w="2578" w:type="dxa"/>
          </w:tcPr>
          <w:p w:rsidR="00557A1D" w:rsidRPr="00313E82" w:rsidRDefault="00557A1D" w:rsidP="00667C6C">
            <w:pPr>
              <w:spacing w:before="120" w:after="120" w:line="240" w:lineRule="auto"/>
              <w:ind w:left="57" w:right="57"/>
              <w:rPr>
                <w:rFonts w:cs="Tahoma"/>
                <w:szCs w:val="20"/>
                <w:lang w:val="en-US"/>
              </w:rPr>
            </w:pPr>
          </w:p>
        </w:tc>
      </w:tr>
      <w:tr w:rsidR="00557A1D" w:rsidRPr="001D3F1E" w:rsidTr="00557A1D">
        <w:tc>
          <w:tcPr>
            <w:tcW w:w="1134" w:type="dxa"/>
          </w:tcPr>
          <w:p w:rsidR="00557A1D" w:rsidRPr="00313E82" w:rsidRDefault="00557A1D" w:rsidP="00667C6C">
            <w:pPr>
              <w:spacing w:before="120" w:after="120" w:line="240" w:lineRule="auto"/>
              <w:ind w:left="57" w:right="57"/>
              <w:rPr>
                <w:rFonts w:cs="Arial"/>
                <w:b/>
                <w:bCs/>
                <w:i/>
                <w:iCs/>
                <w:szCs w:val="22"/>
                <w:lang w:val="en-US"/>
              </w:rPr>
            </w:pPr>
            <w:r w:rsidRPr="00313E82">
              <w:rPr>
                <w:lang w:val="en-US"/>
              </w:rPr>
              <w:t xml:space="preserve">Rev. </w:t>
            </w:r>
            <w:r w:rsidR="00DC3DAF">
              <w:rPr>
                <w:lang w:val="en-US"/>
              </w:rPr>
              <w:t>D</w:t>
            </w:r>
            <w:r w:rsidRPr="00313E82">
              <w:rPr>
                <w:lang w:val="en-US"/>
              </w:rPr>
              <w:t>2</w:t>
            </w:r>
          </w:p>
        </w:tc>
        <w:tc>
          <w:tcPr>
            <w:tcW w:w="1418" w:type="dxa"/>
          </w:tcPr>
          <w:p w:rsidR="00557A1D" w:rsidRPr="00313E82" w:rsidRDefault="00557A1D" w:rsidP="00667C6C">
            <w:pPr>
              <w:spacing w:before="120" w:after="120" w:line="240" w:lineRule="auto"/>
              <w:ind w:left="57" w:right="57"/>
              <w:jc w:val="center"/>
              <w:rPr>
                <w:rFonts w:cs="Arial"/>
                <w:b/>
                <w:bCs/>
                <w:i/>
                <w:iCs/>
                <w:szCs w:val="22"/>
                <w:lang w:val="en-US"/>
              </w:rPr>
            </w:pPr>
            <w:r w:rsidRPr="00313E82">
              <w:rPr>
                <w:lang w:val="en-US"/>
              </w:rPr>
              <w:t>24/11/2015</w:t>
            </w:r>
          </w:p>
        </w:tc>
        <w:tc>
          <w:tcPr>
            <w:tcW w:w="2419" w:type="dxa"/>
          </w:tcPr>
          <w:p w:rsidR="00557A1D" w:rsidRPr="006565BB" w:rsidRDefault="00557A1D" w:rsidP="00667C6C">
            <w:pPr>
              <w:spacing w:before="120" w:after="120" w:line="240" w:lineRule="auto"/>
              <w:ind w:left="57" w:right="57"/>
              <w:jc w:val="left"/>
              <w:rPr>
                <w:rFonts w:cs="Arial"/>
                <w:b/>
                <w:bCs/>
                <w:i/>
                <w:iCs/>
                <w:szCs w:val="22"/>
                <w:lang w:val="en-US"/>
              </w:rPr>
            </w:pPr>
            <w:r>
              <w:rPr>
                <w:lang w:val="en-US"/>
              </w:rPr>
              <w:t>C.</w:t>
            </w:r>
            <w:r w:rsidRPr="006565BB">
              <w:rPr>
                <w:lang w:val="en-US"/>
              </w:rPr>
              <w:t xml:space="preserve">Hasnaoui (ed), </w:t>
            </w:r>
            <w:r>
              <w:rPr>
                <w:lang w:val="en-US"/>
              </w:rPr>
              <w:t>T.</w:t>
            </w:r>
            <w:r w:rsidRPr="006565BB">
              <w:rPr>
                <w:lang w:val="en-US"/>
              </w:rPr>
              <w:t xml:space="preserve">Siklossy, </w:t>
            </w:r>
            <w:r>
              <w:rPr>
                <w:lang w:val="en-US"/>
              </w:rPr>
              <w:t>J.</w:t>
            </w:r>
            <w:r w:rsidRPr="006565BB">
              <w:rPr>
                <w:lang w:val="en-US"/>
              </w:rPr>
              <w:t xml:space="preserve">Vitazkova, </w:t>
            </w:r>
            <w:r>
              <w:rPr>
                <w:lang w:val="en-US"/>
              </w:rPr>
              <w:t>L.</w:t>
            </w:r>
            <w:r w:rsidRPr="006565BB">
              <w:rPr>
                <w:lang w:val="en-US"/>
              </w:rPr>
              <w:t>Burgazzi</w:t>
            </w:r>
          </w:p>
        </w:tc>
        <w:tc>
          <w:tcPr>
            <w:tcW w:w="1551" w:type="dxa"/>
          </w:tcPr>
          <w:p w:rsidR="00557A1D" w:rsidRPr="00313E82" w:rsidRDefault="00557A1D" w:rsidP="00667C6C">
            <w:pPr>
              <w:spacing w:before="120" w:after="120" w:line="240" w:lineRule="auto"/>
              <w:ind w:left="57" w:right="57"/>
              <w:rPr>
                <w:rFonts w:cs="Arial"/>
                <w:b/>
                <w:bCs/>
                <w:i/>
                <w:iCs/>
                <w:szCs w:val="22"/>
                <w:lang w:val="en-US"/>
              </w:rPr>
            </w:pPr>
            <w:r w:rsidRPr="00313E82">
              <w:rPr>
                <w:lang w:val="en-US"/>
              </w:rPr>
              <w:t>Several</w:t>
            </w:r>
          </w:p>
        </w:tc>
        <w:tc>
          <w:tcPr>
            <w:tcW w:w="2578" w:type="dxa"/>
          </w:tcPr>
          <w:p w:rsidR="00557A1D" w:rsidRPr="00313E82" w:rsidRDefault="00557A1D" w:rsidP="00667C6C">
            <w:pPr>
              <w:spacing w:before="120" w:after="120" w:line="240" w:lineRule="auto"/>
              <w:ind w:left="57" w:right="57"/>
              <w:rPr>
                <w:rFonts w:cs="Arial"/>
                <w:b/>
                <w:bCs/>
                <w:i/>
                <w:iCs/>
                <w:szCs w:val="22"/>
                <w:lang w:val="en-US"/>
              </w:rPr>
            </w:pPr>
            <w:r w:rsidRPr="00313E82">
              <w:rPr>
                <w:lang w:val="en-US"/>
              </w:rPr>
              <w:t>Additional contributions to section 2, appendix B, Integration of comments</w:t>
            </w:r>
          </w:p>
        </w:tc>
      </w:tr>
      <w:tr w:rsidR="00557A1D" w:rsidRPr="001D3F1E" w:rsidTr="00557A1D">
        <w:tc>
          <w:tcPr>
            <w:tcW w:w="1134" w:type="dxa"/>
          </w:tcPr>
          <w:p w:rsidR="00557A1D" w:rsidRPr="00313E82" w:rsidRDefault="00557A1D" w:rsidP="00667C6C">
            <w:pPr>
              <w:spacing w:before="120" w:after="120" w:line="240" w:lineRule="auto"/>
              <w:ind w:left="57" w:right="57"/>
              <w:rPr>
                <w:rFonts w:cs="Arial"/>
                <w:b/>
                <w:bCs/>
                <w:i/>
                <w:iCs/>
                <w:szCs w:val="22"/>
                <w:lang w:val="en-US"/>
              </w:rPr>
            </w:pPr>
            <w:r>
              <w:rPr>
                <w:lang w:val="en-US"/>
              </w:rPr>
              <w:t xml:space="preserve">Rev. </w:t>
            </w:r>
            <w:r w:rsidR="00DC3DAF">
              <w:rPr>
                <w:lang w:val="en-US"/>
              </w:rPr>
              <w:t>D</w:t>
            </w:r>
            <w:r>
              <w:rPr>
                <w:lang w:val="en-US"/>
              </w:rPr>
              <w:t>3</w:t>
            </w:r>
          </w:p>
        </w:tc>
        <w:tc>
          <w:tcPr>
            <w:tcW w:w="1418" w:type="dxa"/>
          </w:tcPr>
          <w:p w:rsidR="00557A1D" w:rsidRPr="00313E82" w:rsidRDefault="00557A1D" w:rsidP="00667C6C">
            <w:pPr>
              <w:spacing w:before="120" w:after="120" w:line="240" w:lineRule="auto"/>
              <w:ind w:left="57" w:right="57"/>
              <w:jc w:val="center"/>
              <w:rPr>
                <w:rFonts w:cs="Arial"/>
                <w:b/>
                <w:bCs/>
                <w:i/>
                <w:iCs/>
                <w:szCs w:val="22"/>
                <w:lang w:val="en-US"/>
              </w:rPr>
            </w:pPr>
            <w:r>
              <w:rPr>
                <w:lang w:val="en-US"/>
              </w:rPr>
              <w:t xml:space="preserve">15/05/2016 </w:t>
            </w:r>
          </w:p>
        </w:tc>
        <w:tc>
          <w:tcPr>
            <w:tcW w:w="2419" w:type="dxa"/>
          </w:tcPr>
          <w:p w:rsidR="00557A1D" w:rsidRPr="006565BB" w:rsidRDefault="00557A1D" w:rsidP="00667C6C">
            <w:pPr>
              <w:spacing w:before="120" w:after="120" w:line="240" w:lineRule="auto"/>
              <w:ind w:left="57" w:right="57"/>
              <w:jc w:val="left"/>
              <w:rPr>
                <w:rFonts w:cs="Arial"/>
                <w:b/>
                <w:bCs/>
                <w:i/>
                <w:iCs/>
                <w:szCs w:val="22"/>
                <w:lang w:val="en-US"/>
              </w:rPr>
            </w:pPr>
            <w:r>
              <w:rPr>
                <w:lang w:val="en-US"/>
              </w:rPr>
              <w:t>A.</w:t>
            </w:r>
            <w:r w:rsidRPr="006565BB">
              <w:rPr>
                <w:lang w:val="en-US"/>
              </w:rPr>
              <w:t xml:space="preserve">Wielenberg, </w:t>
            </w:r>
            <w:r>
              <w:rPr>
                <w:lang w:val="en-US"/>
              </w:rPr>
              <w:t>C.</w:t>
            </w:r>
            <w:r w:rsidRPr="006565BB">
              <w:rPr>
                <w:lang w:val="en-US"/>
              </w:rPr>
              <w:t xml:space="preserve">Hasnaoui, </w:t>
            </w:r>
            <w:r>
              <w:rPr>
                <w:lang w:val="en-US"/>
              </w:rPr>
              <w:t>H.</w:t>
            </w:r>
            <w:r w:rsidRPr="006565BB">
              <w:rPr>
                <w:lang w:val="en-US"/>
              </w:rPr>
              <w:t xml:space="preserve">Loffler, </w:t>
            </w:r>
            <w:r>
              <w:rPr>
                <w:lang w:val="en-US"/>
              </w:rPr>
              <w:t>E.</w:t>
            </w:r>
            <w:r w:rsidRPr="006565BB">
              <w:rPr>
                <w:lang w:val="en-US"/>
              </w:rPr>
              <w:t>Raimond</w:t>
            </w:r>
          </w:p>
        </w:tc>
        <w:tc>
          <w:tcPr>
            <w:tcW w:w="1551" w:type="dxa"/>
          </w:tcPr>
          <w:p w:rsidR="00557A1D" w:rsidRPr="00313E82" w:rsidRDefault="00557A1D" w:rsidP="00667C6C">
            <w:pPr>
              <w:spacing w:before="120" w:after="120" w:line="240" w:lineRule="auto"/>
              <w:ind w:left="57" w:right="57"/>
              <w:rPr>
                <w:rFonts w:cs="Arial"/>
                <w:b/>
                <w:bCs/>
                <w:i/>
                <w:iCs/>
                <w:szCs w:val="22"/>
                <w:lang w:val="en-US"/>
              </w:rPr>
            </w:pPr>
            <w:r>
              <w:rPr>
                <w:lang w:val="en-US"/>
              </w:rPr>
              <w:t>most</w:t>
            </w:r>
          </w:p>
        </w:tc>
        <w:tc>
          <w:tcPr>
            <w:tcW w:w="2578" w:type="dxa"/>
          </w:tcPr>
          <w:p w:rsidR="00557A1D" w:rsidRPr="00313E82" w:rsidRDefault="00557A1D" w:rsidP="00667C6C">
            <w:pPr>
              <w:spacing w:before="120" w:after="120" w:line="240" w:lineRule="auto"/>
              <w:ind w:left="57" w:right="57"/>
              <w:rPr>
                <w:rFonts w:cs="Arial"/>
                <w:b/>
                <w:bCs/>
                <w:i/>
                <w:iCs/>
                <w:szCs w:val="22"/>
                <w:lang w:val="en-US"/>
              </w:rPr>
            </w:pPr>
            <w:r>
              <w:rPr>
                <w:lang w:val="en-US"/>
              </w:rPr>
              <w:t>Major revision of section 2 and section 3, integration of comments, restructuring, conclusions.</w:t>
            </w:r>
          </w:p>
        </w:tc>
      </w:tr>
      <w:tr w:rsidR="00557A1D" w:rsidRPr="001D3F1E" w:rsidTr="00557A1D">
        <w:tc>
          <w:tcPr>
            <w:tcW w:w="1134" w:type="dxa"/>
          </w:tcPr>
          <w:p w:rsidR="00557A1D" w:rsidRDefault="00557A1D" w:rsidP="00667C6C">
            <w:pPr>
              <w:spacing w:before="120" w:after="120" w:line="240" w:lineRule="auto"/>
              <w:ind w:left="57" w:right="57"/>
              <w:rPr>
                <w:rFonts w:cs="Arial"/>
                <w:b/>
                <w:bCs/>
                <w:i/>
                <w:iCs/>
                <w:szCs w:val="22"/>
                <w:lang w:val="en-US"/>
              </w:rPr>
            </w:pPr>
            <w:r>
              <w:rPr>
                <w:lang w:val="en-US"/>
              </w:rPr>
              <w:t>Rev.</w:t>
            </w:r>
            <w:r w:rsidR="00DC3DAF">
              <w:rPr>
                <w:lang w:val="en-US"/>
              </w:rPr>
              <w:t xml:space="preserve"> D</w:t>
            </w:r>
            <w:r>
              <w:rPr>
                <w:lang w:val="en-US"/>
              </w:rPr>
              <w:t>4</w:t>
            </w:r>
          </w:p>
        </w:tc>
        <w:tc>
          <w:tcPr>
            <w:tcW w:w="1418" w:type="dxa"/>
          </w:tcPr>
          <w:p w:rsidR="00557A1D" w:rsidRDefault="00557A1D" w:rsidP="00667C6C">
            <w:pPr>
              <w:spacing w:before="120" w:after="120" w:line="240" w:lineRule="auto"/>
              <w:ind w:left="57" w:right="57"/>
              <w:jc w:val="center"/>
              <w:rPr>
                <w:rFonts w:cs="Arial"/>
                <w:b/>
                <w:bCs/>
                <w:i/>
                <w:iCs/>
                <w:szCs w:val="22"/>
                <w:lang w:val="en-US"/>
              </w:rPr>
            </w:pPr>
            <w:r>
              <w:rPr>
                <w:lang w:val="en-US"/>
              </w:rPr>
              <w:t>01/06/2016</w:t>
            </w:r>
          </w:p>
        </w:tc>
        <w:tc>
          <w:tcPr>
            <w:tcW w:w="2419" w:type="dxa"/>
          </w:tcPr>
          <w:p w:rsidR="00557A1D" w:rsidRPr="006565BB" w:rsidRDefault="00557A1D" w:rsidP="00667C6C">
            <w:pPr>
              <w:spacing w:before="120" w:after="120" w:line="240" w:lineRule="auto"/>
              <w:ind w:left="57" w:right="57"/>
              <w:jc w:val="left"/>
              <w:rPr>
                <w:rFonts w:cs="Arial"/>
                <w:b/>
                <w:bCs/>
                <w:i/>
                <w:iCs/>
                <w:szCs w:val="22"/>
                <w:lang w:val="en-US"/>
              </w:rPr>
            </w:pPr>
            <w:r>
              <w:rPr>
                <w:lang w:val="en-US"/>
              </w:rPr>
              <w:t>E. Raimond</w:t>
            </w:r>
          </w:p>
        </w:tc>
        <w:tc>
          <w:tcPr>
            <w:tcW w:w="1551" w:type="dxa"/>
          </w:tcPr>
          <w:p w:rsidR="00557A1D" w:rsidRDefault="00557A1D" w:rsidP="00667C6C">
            <w:pPr>
              <w:spacing w:before="120" w:after="120" w:line="240" w:lineRule="auto"/>
              <w:ind w:left="57" w:right="57"/>
              <w:rPr>
                <w:rFonts w:cs="Arial"/>
                <w:b/>
                <w:bCs/>
                <w:i/>
                <w:iCs/>
                <w:szCs w:val="22"/>
                <w:lang w:val="en-US"/>
              </w:rPr>
            </w:pPr>
            <w:r>
              <w:rPr>
                <w:lang w:val="en-US"/>
              </w:rPr>
              <w:t>All</w:t>
            </w:r>
          </w:p>
        </w:tc>
        <w:tc>
          <w:tcPr>
            <w:tcW w:w="2578" w:type="dxa"/>
          </w:tcPr>
          <w:p w:rsidR="00557A1D" w:rsidRDefault="00557A1D" w:rsidP="00667C6C">
            <w:pPr>
              <w:spacing w:before="120" w:after="120" w:line="240" w:lineRule="auto"/>
              <w:ind w:left="57" w:right="57"/>
              <w:rPr>
                <w:rFonts w:cs="Arial"/>
                <w:b/>
                <w:bCs/>
                <w:i/>
                <w:iCs/>
                <w:szCs w:val="22"/>
                <w:lang w:val="en-US"/>
              </w:rPr>
            </w:pPr>
            <w:r>
              <w:rPr>
                <w:lang w:val="en-US"/>
              </w:rPr>
              <w:t>Approval review. Editorial modifications.</w:t>
            </w:r>
            <w:r w:rsidR="00D76BD4">
              <w:rPr>
                <w:lang w:val="en-US"/>
              </w:rPr>
              <w:t xml:space="preserve"> Conclusions </w:t>
            </w:r>
            <w:r w:rsidR="00F076BF">
              <w:rPr>
                <w:lang w:val="en-US"/>
              </w:rPr>
              <w:t>et recommendations of this version of the</w:t>
            </w:r>
            <w:r w:rsidR="00D76BD4">
              <w:rPr>
                <w:lang w:val="en-US"/>
              </w:rPr>
              <w:t xml:space="preserve"> report need to be discussed further.</w:t>
            </w:r>
          </w:p>
        </w:tc>
      </w:tr>
      <w:tr w:rsidR="0009604E" w:rsidRPr="001D3F1E" w:rsidTr="00557A1D">
        <w:tc>
          <w:tcPr>
            <w:tcW w:w="1134" w:type="dxa"/>
          </w:tcPr>
          <w:p w:rsidR="0009604E" w:rsidRDefault="0009604E" w:rsidP="00667C6C">
            <w:pPr>
              <w:spacing w:before="120" w:after="120" w:line="240" w:lineRule="auto"/>
              <w:ind w:left="57" w:right="57"/>
              <w:rPr>
                <w:lang w:val="en-US"/>
              </w:rPr>
            </w:pPr>
            <w:r>
              <w:rPr>
                <w:lang w:val="en-US"/>
              </w:rPr>
              <w:t>Rev</w:t>
            </w:r>
            <w:r w:rsidR="00B35F86">
              <w:rPr>
                <w:lang w:val="en-US"/>
              </w:rPr>
              <w:t>.</w:t>
            </w:r>
            <w:r>
              <w:rPr>
                <w:lang w:val="en-US"/>
              </w:rPr>
              <w:t xml:space="preserve"> </w:t>
            </w:r>
            <w:r w:rsidR="00DC3DAF">
              <w:rPr>
                <w:lang w:val="en-US"/>
              </w:rPr>
              <w:t>D</w:t>
            </w:r>
            <w:r>
              <w:rPr>
                <w:lang w:val="en-US"/>
              </w:rPr>
              <w:t>5</w:t>
            </w:r>
          </w:p>
        </w:tc>
        <w:tc>
          <w:tcPr>
            <w:tcW w:w="1418" w:type="dxa"/>
          </w:tcPr>
          <w:p w:rsidR="0009604E" w:rsidRDefault="0009604E" w:rsidP="00667C6C">
            <w:pPr>
              <w:spacing w:before="120" w:after="120" w:line="240" w:lineRule="auto"/>
              <w:ind w:left="57" w:right="57"/>
              <w:jc w:val="center"/>
              <w:rPr>
                <w:lang w:val="en-US"/>
              </w:rPr>
            </w:pPr>
            <w:r>
              <w:rPr>
                <w:lang w:val="en-US"/>
              </w:rPr>
              <w:t>03/11/2016</w:t>
            </w:r>
          </w:p>
        </w:tc>
        <w:tc>
          <w:tcPr>
            <w:tcW w:w="2419" w:type="dxa"/>
          </w:tcPr>
          <w:p w:rsidR="0009604E" w:rsidRDefault="0009604E" w:rsidP="00667C6C">
            <w:pPr>
              <w:spacing w:before="120" w:after="120" w:line="240" w:lineRule="auto"/>
              <w:ind w:left="57" w:right="57"/>
              <w:jc w:val="left"/>
              <w:rPr>
                <w:lang w:val="en-US"/>
              </w:rPr>
            </w:pPr>
            <w:r>
              <w:rPr>
                <w:lang w:val="en-US"/>
              </w:rPr>
              <w:t>C. Hasn</w:t>
            </w:r>
            <w:r w:rsidR="00DC3DAF">
              <w:rPr>
                <w:lang w:val="en-US"/>
              </w:rPr>
              <w:t>a</w:t>
            </w:r>
            <w:r>
              <w:rPr>
                <w:lang w:val="en-US"/>
              </w:rPr>
              <w:t>oui, H. Loeffler</w:t>
            </w:r>
          </w:p>
        </w:tc>
        <w:tc>
          <w:tcPr>
            <w:tcW w:w="1551" w:type="dxa"/>
          </w:tcPr>
          <w:p w:rsidR="0009604E" w:rsidRDefault="0009604E" w:rsidP="00667C6C">
            <w:pPr>
              <w:spacing w:before="120" w:after="120" w:line="240" w:lineRule="auto"/>
              <w:ind w:left="57" w:right="57"/>
              <w:rPr>
                <w:lang w:val="en-US"/>
              </w:rPr>
            </w:pPr>
            <w:r>
              <w:rPr>
                <w:lang w:val="en-US"/>
              </w:rPr>
              <w:t>All</w:t>
            </w:r>
          </w:p>
        </w:tc>
        <w:tc>
          <w:tcPr>
            <w:tcW w:w="2578" w:type="dxa"/>
          </w:tcPr>
          <w:p w:rsidR="0009604E" w:rsidRDefault="0009604E" w:rsidP="00667C6C">
            <w:pPr>
              <w:spacing w:before="120" w:after="120" w:line="240" w:lineRule="auto"/>
              <w:ind w:left="57" w:right="57"/>
              <w:rPr>
                <w:lang w:val="en-US"/>
              </w:rPr>
            </w:pPr>
            <w:r>
              <w:rPr>
                <w:lang w:val="en-US"/>
              </w:rPr>
              <w:t>Take</w:t>
            </w:r>
            <w:r w:rsidR="00876C82">
              <w:rPr>
                <w:lang w:val="en-US"/>
              </w:rPr>
              <w:t>s</w:t>
            </w:r>
            <w:r>
              <w:rPr>
                <w:lang w:val="en-US"/>
              </w:rPr>
              <w:t xml:space="preserve"> into account end-user’s workshop and review</w:t>
            </w:r>
          </w:p>
        </w:tc>
      </w:tr>
      <w:tr w:rsidR="00DC3DAF" w:rsidRPr="001D3F1E" w:rsidTr="00557A1D">
        <w:tc>
          <w:tcPr>
            <w:tcW w:w="1134" w:type="dxa"/>
          </w:tcPr>
          <w:p w:rsidR="00DC3DAF" w:rsidRDefault="00DC3DAF">
            <w:pPr>
              <w:spacing w:before="120" w:after="120" w:line="240" w:lineRule="auto"/>
              <w:ind w:left="57" w:right="57"/>
              <w:rPr>
                <w:lang w:val="en-US"/>
              </w:rPr>
            </w:pPr>
            <w:r>
              <w:rPr>
                <w:lang w:val="en-US"/>
              </w:rPr>
              <w:t>Rev. 0</w:t>
            </w:r>
          </w:p>
        </w:tc>
        <w:tc>
          <w:tcPr>
            <w:tcW w:w="1418" w:type="dxa"/>
          </w:tcPr>
          <w:p w:rsidR="00DC3DAF" w:rsidRDefault="00DC3DAF">
            <w:pPr>
              <w:spacing w:before="120" w:after="120" w:line="240" w:lineRule="auto"/>
              <w:ind w:left="57" w:right="57"/>
              <w:jc w:val="center"/>
              <w:rPr>
                <w:lang w:val="en-US"/>
              </w:rPr>
            </w:pPr>
            <w:r>
              <w:rPr>
                <w:lang w:val="en-US"/>
              </w:rPr>
              <w:t>05/12/2016</w:t>
            </w:r>
          </w:p>
        </w:tc>
        <w:tc>
          <w:tcPr>
            <w:tcW w:w="2419" w:type="dxa"/>
          </w:tcPr>
          <w:p w:rsidR="00DC3DAF" w:rsidRDefault="00DC3DAF">
            <w:pPr>
              <w:spacing w:before="120" w:after="120" w:line="240" w:lineRule="auto"/>
              <w:ind w:left="57" w:right="57"/>
              <w:jc w:val="left"/>
              <w:rPr>
                <w:lang w:val="en-US"/>
              </w:rPr>
            </w:pPr>
            <w:r>
              <w:rPr>
                <w:lang w:val="en-US"/>
              </w:rPr>
              <w:t>C. Hasnaoui, H. Loeffler</w:t>
            </w:r>
          </w:p>
        </w:tc>
        <w:tc>
          <w:tcPr>
            <w:tcW w:w="1551" w:type="dxa"/>
          </w:tcPr>
          <w:p w:rsidR="00DC3DAF" w:rsidRDefault="007C692C" w:rsidP="007C692C">
            <w:pPr>
              <w:spacing w:before="120" w:after="120" w:line="240" w:lineRule="auto"/>
              <w:ind w:left="57" w:right="57"/>
              <w:rPr>
                <w:lang w:val="en-US"/>
              </w:rPr>
            </w:pPr>
            <w:r>
              <w:rPr>
                <w:lang w:val="en-US"/>
              </w:rPr>
              <w:t>A.</w:t>
            </w:r>
            <w:r w:rsidRPr="006565BB">
              <w:rPr>
                <w:lang w:val="en-US"/>
              </w:rPr>
              <w:t>Prosek</w:t>
            </w:r>
            <w:r>
              <w:rPr>
                <w:lang w:val="en-US"/>
              </w:rPr>
              <w:t>, J.</w:t>
            </w:r>
            <w:r w:rsidRPr="006565BB">
              <w:rPr>
                <w:lang w:val="en-US"/>
              </w:rPr>
              <w:t>Vitazkova</w:t>
            </w:r>
            <w:r w:rsidR="00DC3DAF">
              <w:rPr>
                <w:lang w:val="en-US"/>
              </w:rPr>
              <w:t xml:space="preserve">, </w:t>
            </w:r>
            <w:r>
              <w:rPr>
                <w:lang w:val="en-US"/>
              </w:rPr>
              <w:t>P. Jan</w:t>
            </w:r>
          </w:p>
        </w:tc>
        <w:tc>
          <w:tcPr>
            <w:tcW w:w="2578" w:type="dxa"/>
          </w:tcPr>
          <w:p w:rsidR="00DC3DAF" w:rsidRDefault="00DC3DAF">
            <w:pPr>
              <w:spacing w:before="120" w:after="120" w:line="240" w:lineRule="auto"/>
              <w:ind w:left="57" w:right="57"/>
              <w:rPr>
                <w:lang w:val="en-US"/>
              </w:rPr>
            </w:pPr>
            <w:r>
              <w:rPr>
                <w:lang w:val="en-US"/>
              </w:rPr>
              <w:t>Issue of first revision</w:t>
            </w:r>
          </w:p>
        </w:tc>
      </w:tr>
      <w:tr w:rsidR="00BD0263" w:rsidRPr="001D3F1E" w:rsidTr="00557A1D">
        <w:tc>
          <w:tcPr>
            <w:tcW w:w="1134" w:type="dxa"/>
          </w:tcPr>
          <w:p w:rsidR="00BD0263" w:rsidRDefault="00BD0263" w:rsidP="00667C6C">
            <w:pPr>
              <w:spacing w:before="120" w:after="120" w:line="240" w:lineRule="auto"/>
              <w:ind w:left="57" w:right="57"/>
              <w:rPr>
                <w:lang w:val="en-US"/>
              </w:rPr>
            </w:pPr>
            <w:r>
              <w:rPr>
                <w:lang w:val="en-US"/>
              </w:rPr>
              <w:t>Rev. D6</w:t>
            </w:r>
          </w:p>
        </w:tc>
        <w:tc>
          <w:tcPr>
            <w:tcW w:w="1418" w:type="dxa"/>
          </w:tcPr>
          <w:p w:rsidR="00BD0263" w:rsidRDefault="00BD0263">
            <w:pPr>
              <w:spacing w:before="120" w:after="120" w:line="240" w:lineRule="auto"/>
              <w:ind w:left="57" w:right="57"/>
              <w:jc w:val="center"/>
              <w:rPr>
                <w:lang w:val="en-US"/>
              </w:rPr>
            </w:pPr>
            <w:r>
              <w:rPr>
                <w:lang w:val="en-US"/>
              </w:rPr>
              <w:t>14</w:t>
            </w:r>
            <w:r w:rsidR="00667C6C">
              <w:rPr>
                <w:lang w:val="en-US"/>
              </w:rPr>
              <w:t>/</w:t>
            </w:r>
            <w:r>
              <w:rPr>
                <w:lang w:val="en-US"/>
              </w:rPr>
              <w:t>12/2016</w:t>
            </w:r>
          </w:p>
        </w:tc>
        <w:tc>
          <w:tcPr>
            <w:tcW w:w="2419" w:type="dxa"/>
          </w:tcPr>
          <w:p w:rsidR="00BD0263" w:rsidRDefault="00BD0263">
            <w:pPr>
              <w:spacing w:before="120" w:after="120" w:line="240" w:lineRule="auto"/>
              <w:ind w:left="57" w:right="57"/>
              <w:jc w:val="left"/>
              <w:rPr>
                <w:lang w:val="en-US"/>
              </w:rPr>
            </w:pPr>
            <w:r>
              <w:rPr>
                <w:lang w:val="en-US"/>
              </w:rPr>
              <w:t>H. Loeffler</w:t>
            </w:r>
          </w:p>
        </w:tc>
        <w:tc>
          <w:tcPr>
            <w:tcW w:w="1551" w:type="dxa"/>
          </w:tcPr>
          <w:p w:rsidR="00BD0263" w:rsidRDefault="00BD0263" w:rsidP="00667C6C">
            <w:pPr>
              <w:spacing w:before="120" w:after="120" w:line="240" w:lineRule="auto"/>
              <w:ind w:left="57" w:right="57"/>
              <w:rPr>
                <w:lang w:val="en-US"/>
              </w:rPr>
            </w:pPr>
            <w:r>
              <w:rPr>
                <w:lang w:val="en-US"/>
              </w:rPr>
              <w:t xml:space="preserve">all </w:t>
            </w:r>
          </w:p>
        </w:tc>
        <w:tc>
          <w:tcPr>
            <w:tcW w:w="2578" w:type="dxa"/>
          </w:tcPr>
          <w:p w:rsidR="00BD0263" w:rsidRDefault="00B772CA" w:rsidP="00667C6C">
            <w:pPr>
              <w:spacing w:before="120" w:after="120" w:line="240" w:lineRule="auto"/>
              <w:ind w:left="57" w:right="57"/>
              <w:rPr>
                <w:lang w:val="en-US"/>
              </w:rPr>
            </w:pPr>
            <w:r>
              <w:rPr>
                <w:lang w:val="en-US"/>
              </w:rPr>
              <w:t>E</w:t>
            </w:r>
            <w:r w:rsidR="00BD0263">
              <w:rPr>
                <w:lang w:val="en-US"/>
              </w:rPr>
              <w:t>ditorial: acceptance of modifications, comments</w:t>
            </w:r>
            <w:r w:rsidR="00667C6C">
              <w:rPr>
                <w:lang w:val="en-US"/>
              </w:rPr>
              <w:t xml:space="preserve"> deleted</w:t>
            </w:r>
          </w:p>
        </w:tc>
      </w:tr>
      <w:tr w:rsidR="00BF1BC8" w:rsidRPr="001D3F1E" w:rsidTr="00557A1D">
        <w:tc>
          <w:tcPr>
            <w:tcW w:w="1134" w:type="dxa"/>
          </w:tcPr>
          <w:p w:rsidR="00BF1BC8" w:rsidRDefault="00BF1BC8" w:rsidP="00667C6C">
            <w:pPr>
              <w:spacing w:before="120" w:after="120" w:line="240" w:lineRule="auto"/>
              <w:ind w:left="57" w:right="57"/>
              <w:rPr>
                <w:lang w:val="en-US"/>
              </w:rPr>
            </w:pPr>
            <w:r>
              <w:rPr>
                <w:lang w:val="en-US"/>
              </w:rPr>
              <w:t>Rev 7</w:t>
            </w:r>
          </w:p>
        </w:tc>
        <w:tc>
          <w:tcPr>
            <w:tcW w:w="1418" w:type="dxa"/>
          </w:tcPr>
          <w:p w:rsidR="00BF1BC8" w:rsidRDefault="0042104F">
            <w:pPr>
              <w:spacing w:before="120" w:after="120" w:line="240" w:lineRule="auto"/>
              <w:ind w:left="57" w:right="57"/>
              <w:jc w:val="center"/>
              <w:rPr>
                <w:lang w:val="en-US"/>
              </w:rPr>
            </w:pPr>
            <w:r>
              <w:rPr>
                <w:lang w:val="en-US"/>
              </w:rPr>
              <w:t>09/02</w:t>
            </w:r>
            <w:r w:rsidR="00BF1BC8">
              <w:rPr>
                <w:lang w:val="en-US"/>
              </w:rPr>
              <w:t>/2017</w:t>
            </w:r>
          </w:p>
        </w:tc>
        <w:tc>
          <w:tcPr>
            <w:tcW w:w="2419" w:type="dxa"/>
          </w:tcPr>
          <w:p w:rsidR="00BF1BC8" w:rsidRDefault="00BF1BC8">
            <w:pPr>
              <w:spacing w:before="120" w:after="120" w:line="240" w:lineRule="auto"/>
              <w:ind w:left="57" w:right="57"/>
              <w:jc w:val="left"/>
              <w:rPr>
                <w:lang w:val="en-US"/>
              </w:rPr>
            </w:pPr>
            <w:r>
              <w:rPr>
                <w:lang w:val="en-US"/>
              </w:rPr>
              <w:t>E. Raimond</w:t>
            </w:r>
          </w:p>
        </w:tc>
        <w:tc>
          <w:tcPr>
            <w:tcW w:w="1551" w:type="dxa"/>
          </w:tcPr>
          <w:p w:rsidR="00BF1BC8" w:rsidRDefault="00BF1BC8" w:rsidP="00667C6C">
            <w:pPr>
              <w:spacing w:before="120" w:after="120" w:line="240" w:lineRule="auto"/>
              <w:ind w:left="57" w:right="57"/>
              <w:rPr>
                <w:lang w:val="en-US"/>
              </w:rPr>
            </w:pPr>
            <w:r>
              <w:rPr>
                <w:lang w:val="en-US"/>
              </w:rPr>
              <w:t>few</w:t>
            </w:r>
          </w:p>
        </w:tc>
        <w:tc>
          <w:tcPr>
            <w:tcW w:w="2578" w:type="dxa"/>
          </w:tcPr>
          <w:p w:rsidR="00BF1BC8" w:rsidRDefault="00105814" w:rsidP="00667C6C">
            <w:pPr>
              <w:spacing w:before="120" w:after="120" w:line="240" w:lineRule="auto"/>
              <w:ind w:left="57" w:right="57"/>
              <w:rPr>
                <w:lang w:val="en-US"/>
              </w:rPr>
            </w:pPr>
            <w:r>
              <w:rPr>
                <w:lang w:val="en-US"/>
              </w:rPr>
              <w:t>Approval review.</w:t>
            </w:r>
          </w:p>
        </w:tc>
      </w:tr>
    </w:tbl>
    <w:p w:rsidR="00557A1D" w:rsidRDefault="00557A1D" w:rsidP="00557A1D">
      <w:pPr>
        <w:rPr>
          <w:lang w:val="en-US"/>
        </w:rPr>
      </w:pPr>
    </w:p>
    <w:p w:rsidR="00F076BF" w:rsidRDefault="00F076BF" w:rsidP="00557A1D">
      <w:pPr>
        <w:rPr>
          <w:lang w:val="en-US"/>
        </w:rPr>
      </w:pPr>
    </w:p>
    <w:p w:rsidR="00105814" w:rsidRPr="00313E82" w:rsidRDefault="00105814" w:rsidP="00557A1D">
      <w:pPr>
        <w:rPr>
          <w:lang w:val="en-US"/>
        </w:rPr>
      </w:pPr>
    </w:p>
    <w:p w:rsidR="00557A1D" w:rsidRPr="00552F4E" w:rsidRDefault="00557A1D" w:rsidP="00552F4E">
      <w:pPr>
        <w:pBdr>
          <w:top w:val="double" w:sz="6" w:space="3" w:color="auto"/>
        </w:pBdr>
        <w:ind w:right="491"/>
        <w:outlineLvl w:val="0"/>
        <w:rPr>
          <w:b/>
          <w:smallCaps/>
          <w:lang w:val="en-US"/>
        </w:rPr>
      </w:pPr>
      <w:bookmarkStart w:id="5" w:name="_Toc451965934"/>
      <w:bookmarkStart w:id="6" w:name="_Toc474430089"/>
      <w:r w:rsidRPr="00552F4E">
        <w:rPr>
          <w:smallCaps/>
          <w:sz w:val="32"/>
          <w:szCs w:val="32"/>
          <w:lang w:val="en-US"/>
        </w:rPr>
        <w:t>List of diffusion</w:t>
      </w:r>
      <w:bookmarkEnd w:id="6"/>
      <w:r w:rsidRPr="00552F4E">
        <w:rPr>
          <w:smallCaps/>
          <w:sz w:val="32"/>
          <w:szCs w:val="32"/>
          <w:lang w:val="en-US"/>
        </w:rPr>
        <w:t xml:space="preserve"> </w:t>
      </w:r>
      <w:bookmarkEnd w:id="5"/>
    </w:p>
    <w:p w:rsidR="00557A1D" w:rsidRPr="00552F4E" w:rsidRDefault="00557A1D" w:rsidP="00552F4E">
      <w:pPr>
        <w:rPr>
          <w:smallCaps/>
          <w:lang w:val="en-US"/>
        </w:rPr>
      </w:pPr>
    </w:p>
    <w:p w:rsidR="00557A1D" w:rsidRPr="00552F4E" w:rsidRDefault="00557A1D" w:rsidP="00557A1D">
      <w:pPr>
        <w:rPr>
          <w:b/>
          <w:lang w:val="en-US"/>
        </w:rPr>
      </w:pPr>
      <w:bookmarkStart w:id="7" w:name="_Toc370476714"/>
      <w:bookmarkStart w:id="8" w:name="_Toc423549706"/>
      <w:r w:rsidRPr="00552F4E">
        <w:rPr>
          <w:b/>
          <w:lang w:val="en-US"/>
        </w:rPr>
        <w:t>European Commission (scientific officer)</w:t>
      </w:r>
    </w:p>
    <w:p w:rsidR="00557A1D" w:rsidRPr="00552F4E" w:rsidRDefault="00557A1D" w:rsidP="00557A1D">
      <w:pPr>
        <w:rPr>
          <w:smallCaps/>
          <w:lang w:val="en-US"/>
        </w:rPr>
      </w:pPr>
    </w:p>
    <w:tbl>
      <w:tblPr>
        <w:tblW w:w="0" w:type="auto"/>
        <w:tblInd w:w="55" w:type="dxa"/>
        <w:tblCellMar>
          <w:left w:w="70" w:type="dxa"/>
          <w:right w:w="70" w:type="dxa"/>
        </w:tblCellMar>
        <w:tblLook w:val="04A0" w:firstRow="1" w:lastRow="0" w:firstColumn="1" w:lastColumn="0" w:noHBand="0" w:noVBand="1"/>
      </w:tblPr>
      <w:tblGrid>
        <w:gridCol w:w="998"/>
        <w:gridCol w:w="940"/>
        <w:gridCol w:w="1095"/>
      </w:tblGrid>
      <w:tr w:rsidR="00557A1D" w:rsidRPr="00D76BD4"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1D" w:rsidRPr="00552F4E" w:rsidRDefault="00557A1D" w:rsidP="00557A1D">
            <w:pPr>
              <w:spacing w:line="240" w:lineRule="auto"/>
              <w:jc w:val="center"/>
              <w:rPr>
                <w:rFonts w:cs="Arial"/>
                <w:b/>
                <w:bCs/>
                <w:sz w:val="16"/>
                <w:szCs w:val="16"/>
                <w:lang w:val="en-US"/>
              </w:rPr>
            </w:pPr>
            <w:r w:rsidRPr="00552F4E">
              <w:rPr>
                <w:rFonts w:cs="Arial"/>
                <w:b/>
                <w:bCs/>
                <w:sz w:val="16"/>
                <w:szCs w:val="16"/>
                <w:lang w:val="en-US"/>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1D" w:rsidRPr="00552F4E" w:rsidRDefault="00557A1D" w:rsidP="00557A1D">
            <w:pPr>
              <w:spacing w:line="240" w:lineRule="auto"/>
              <w:jc w:val="center"/>
              <w:rPr>
                <w:rFonts w:cs="Arial"/>
                <w:b/>
                <w:bCs/>
                <w:sz w:val="16"/>
                <w:szCs w:val="16"/>
                <w:lang w:val="en-US"/>
              </w:rPr>
            </w:pPr>
            <w:r w:rsidRPr="00552F4E">
              <w:rPr>
                <w:rFonts w:cs="Arial"/>
                <w:b/>
                <w:bCs/>
                <w:sz w:val="16"/>
                <w:szCs w:val="16"/>
                <w:lang w:val="en-US"/>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57A1D" w:rsidRPr="00552F4E" w:rsidRDefault="00557A1D" w:rsidP="00557A1D">
            <w:pPr>
              <w:spacing w:line="240" w:lineRule="auto"/>
              <w:jc w:val="center"/>
              <w:rPr>
                <w:rFonts w:cs="Arial"/>
                <w:b/>
                <w:bCs/>
                <w:sz w:val="16"/>
                <w:szCs w:val="16"/>
                <w:lang w:val="en-US"/>
              </w:rPr>
            </w:pPr>
            <w:r w:rsidRPr="00552F4E">
              <w:rPr>
                <w:rFonts w:cs="Arial"/>
                <w:b/>
                <w:bCs/>
                <w:sz w:val="16"/>
                <w:szCs w:val="16"/>
                <w:lang w:val="en-US"/>
              </w:rPr>
              <w:t>Organization</w:t>
            </w:r>
          </w:p>
        </w:tc>
      </w:tr>
      <w:tr w:rsidR="00557A1D" w:rsidRPr="00D76BD4"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1D" w:rsidRPr="00552F4E" w:rsidRDefault="00557A1D" w:rsidP="00557A1D">
            <w:pPr>
              <w:spacing w:line="240" w:lineRule="auto"/>
              <w:jc w:val="left"/>
              <w:rPr>
                <w:rFonts w:cs="Arial"/>
                <w:bCs/>
                <w:sz w:val="16"/>
                <w:szCs w:val="16"/>
                <w:lang w:val="en-US"/>
              </w:rPr>
            </w:pPr>
            <w:r w:rsidRPr="00552F4E">
              <w:rPr>
                <w:rFonts w:cs="Arial"/>
                <w:bCs/>
                <w:sz w:val="16"/>
                <w:szCs w:val="16"/>
                <w:lang w:val="en-US"/>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1D" w:rsidRPr="00552F4E" w:rsidRDefault="00557A1D" w:rsidP="00557A1D">
            <w:pPr>
              <w:spacing w:line="240" w:lineRule="auto"/>
              <w:jc w:val="left"/>
              <w:rPr>
                <w:rFonts w:cs="Arial"/>
                <w:bCs/>
                <w:sz w:val="16"/>
                <w:szCs w:val="16"/>
                <w:lang w:val="en-US"/>
              </w:rPr>
            </w:pPr>
            <w:r w:rsidRPr="00552F4E">
              <w:rPr>
                <w:rFonts w:cs="Arial"/>
                <w:bCs/>
                <w:sz w:val="16"/>
                <w:szCs w:val="16"/>
                <w:lang w:val="en-US"/>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57A1D" w:rsidRPr="00552F4E" w:rsidRDefault="00557A1D" w:rsidP="00557A1D">
            <w:pPr>
              <w:spacing w:line="240" w:lineRule="auto"/>
              <w:jc w:val="left"/>
              <w:rPr>
                <w:rFonts w:cs="Arial"/>
                <w:bCs/>
                <w:sz w:val="16"/>
                <w:szCs w:val="16"/>
                <w:lang w:val="en-US"/>
              </w:rPr>
            </w:pPr>
            <w:r w:rsidRPr="00552F4E">
              <w:rPr>
                <w:rFonts w:cs="Arial"/>
                <w:bCs/>
                <w:sz w:val="16"/>
                <w:szCs w:val="16"/>
                <w:lang w:val="en-US"/>
              </w:rPr>
              <w:t>EC</w:t>
            </w:r>
          </w:p>
        </w:tc>
      </w:tr>
    </w:tbl>
    <w:p w:rsidR="00557A1D" w:rsidRPr="00552F4E" w:rsidRDefault="00557A1D" w:rsidP="00557A1D">
      <w:pPr>
        <w:rPr>
          <w:smallCaps/>
          <w:lang w:val="en-US"/>
        </w:rPr>
      </w:pPr>
    </w:p>
    <w:p w:rsidR="00557A1D" w:rsidRPr="000355F6" w:rsidRDefault="00557A1D" w:rsidP="00557A1D">
      <w:pPr>
        <w:rPr>
          <w:b/>
          <w:lang w:val="en-US"/>
        </w:rPr>
      </w:pPr>
      <w:r w:rsidRPr="000355F6">
        <w:rPr>
          <w:b/>
          <w:lang w:val="en-US"/>
        </w:rPr>
        <w:lastRenderedPageBreak/>
        <w:t>ASAMPSA_E Project management group (PMG)</w:t>
      </w:r>
    </w:p>
    <w:p w:rsidR="00557A1D" w:rsidRPr="000355F6" w:rsidRDefault="00557A1D" w:rsidP="00557A1D">
      <w:pPr>
        <w:rPr>
          <w:b/>
          <w:lang w:val="en-US"/>
        </w:rPr>
      </w:pPr>
    </w:p>
    <w:tbl>
      <w:tblPr>
        <w:tblW w:w="0" w:type="auto"/>
        <w:tblCellMar>
          <w:left w:w="70" w:type="dxa"/>
          <w:right w:w="70" w:type="dxa"/>
        </w:tblCellMar>
        <w:tblLook w:val="04A0" w:firstRow="1" w:lastRow="0" w:firstColumn="1" w:lastColumn="0" w:noHBand="0" w:noVBand="1"/>
      </w:tblPr>
      <w:tblGrid>
        <w:gridCol w:w="950"/>
        <w:gridCol w:w="940"/>
        <w:gridCol w:w="1392"/>
        <w:gridCol w:w="2638"/>
      </w:tblGrid>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557A1D" w:rsidRPr="000355F6" w:rsidRDefault="00557A1D" w:rsidP="00557A1D">
            <w:pPr>
              <w:spacing w:before="40" w:line="240" w:lineRule="auto"/>
              <w:jc w:val="center"/>
              <w:rPr>
                <w:rFonts w:cs="Arial"/>
                <w:b/>
                <w:bCs/>
                <w:sz w:val="16"/>
                <w:szCs w:val="16"/>
              </w:rPr>
            </w:pPr>
            <w:r w:rsidRPr="000355F6">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57A1D" w:rsidRPr="000355F6" w:rsidRDefault="00557A1D" w:rsidP="00557A1D">
            <w:pPr>
              <w:spacing w:before="40" w:line="240" w:lineRule="auto"/>
              <w:jc w:val="center"/>
              <w:rPr>
                <w:rFonts w:cs="Arial"/>
                <w:b/>
                <w:bCs/>
                <w:sz w:val="16"/>
                <w:szCs w:val="16"/>
              </w:rPr>
            </w:pPr>
            <w:r w:rsidRPr="000355F6">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vAlign w:val="center"/>
            <w:hideMark/>
          </w:tcPr>
          <w:p w:rsidR="00557A1D" w:rsidRPr="000355F6" w:rsidRDefault="00557A1D" w:rsidP="00557A1D">
            <w:pPr>
              <w:spacing w:before="40" w:line="240" w:lineRule="auto"/>
              <w:jc w:val="center"/>
              <w:rPr>
                <w:rFonts w:cs="Arial"/>
                <w:b/>
                <w:bCs/>
                <w:sz w:val="16"/>
                <w:szCs w:val="16"/>
              </w:rPr>
            </w:pPr>
            <w:r w:rsidRPr="000355F6">
              <w:rPr>
                <w:rFonts w:cs="Arial"/>
                <w:b/>
                <w:bCs/>
                <w:sz w:val="16"/>
                <w:szCs w:val="16"/>
              </w:rPr>
              <w:t>Organization</w:t>
            </w:r>
          </w:p>
        </w:tc>
        <w:tc>
          <w:tcPr>
            <w:tcW w:w="0" w:type="auto"/>
            <w:tcBorders>
              <w:top w:val="single" w:sz="4" w:space="0" w:color="auto"/>
              <w:left w:val="single" w:sz="4" w:space="0" w:color="auto"/>
              <w:bottom w:val="single" w:sz="4" w:space="0" w:color="auto"/>
              <w:right w:val="single" w:sz="4" w:space="0" w:color="auto"/>
            </w:tcBorders>
          </w:tcPr>
          <w:p w:rsidR="00557A1D" w:rsidRPr="000355F6" w:rsidRDefault="00557A1D" w:rsidP="00557A1D">
            <w:pPr>
              <w:spacing w:before="40" w:line="240" w:lineRule="auto"/>
              <w:jc w:val="center"/>
              <w:rPr>
                <w:rFonts w:cs="Arial"/>
                <w:b/>
                <w:bCs/>
                <w:sz w:val="16"/>
                <w:szCs w:val="16"/>
              </w:rPr>
            </w:pP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557A1D" w:rsidRPr="000355F6" w:rsidRDefault="00557A1D" w:rsidP="00557A1D">
            <w:pPr>
              <w:spacing w:before="40" w:line="240" w:lineRule="auto"/>
              <w:jc w:val="left"/>
              <w:rPr>
                <w:rFonts w:cs="Arial"/>
                <w:bCs/>
                <w:sz w:val="16"/>
                <w:szCs w:val="16"/>
              </w:rPr>
            </w:pPr>
            <w:r w:rsidRPr="000355F6">
              <w:rPr>
                <w:rFonts w:cs="Arial"/>
                <w:bCs/>
                <w:sz w:val="16"/>
                <w:szCs w:val="16"/>
              </w:rPr>
              <w:t>Raimond</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57A1D" w:rsidRPr="000355F6" w:rsidRDefault="00557A1D" w:rsidP="00557A1D">
            <w:pPr>
              <w:spacing w:before="40" w:line="240" w:lineRule="auto"/>
              <w:jc w:val="left"/>
              <w:rPr>
                <w:rFonts w:cs="Arial"/>
                <w:bCs/>
                <w:sz w:val="16"/>
                <w:szCs w:val="16"/>
              </w:rPr>
            </w:pPr>
            <w:r w:rsidRPr="000355F6">
              <w:rPr>
                <w:rFonts w:cs="Arial"/>
                <w:bCs/>
                <w:sz w:val="16"/>
                <w:szCs w:val="16"/>
              </w:rPr>
              <w:t>Emmanuel</w:t>
            </w:r>
          </w:p>
        </w:tc>
        <w:tc>
          <w:tcPr>
            <w:tcW w:w="0" w:type="auto"/>
            <w:tcBorders>
              <w:top w:val="single" w:sz="4" w:space="0" w:color="auto"/>
              <w:left w:val="single" w:sz="4" w:space="0" w:color="auto"/>
              <w:bottom w:val="single" w:sz="4" w:space="0" w:color="auto"/>
              <w:right w:val="single" w:sz="4" w:space="0" w:color="auto"/>
            </w:tcBorders>
            <w:vAlign w:val="center"/>
            <w:hideMark/>
          </w:tcPr>
          <w:p w:rsidR="00557A1D" w:rsidRPr="000355F6" w:rsidRDefault="00557A1D" w:rsidP="00557A1D">
            <w:pPr>
              <w:spacing w:before="40" w:line="240" w:lineRule="auto"/>
              <w:jc w:val="left"/>
              <w:rPr>
                <w:rFonts w:cs="Arial"/>
                <w:bCs/>
                <w:sz w:val="16"/>
                <w:szCs w:val="16"/>
              </w:rPr>
            </w:pPr>
            <w:r w:rsidRPr="000355F6">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rsidR="00557A1D" w:rsidRPr="000355F6" w:rsidRDefault="00557A1D" w:rsidP="00557A1D">
            <w:pPr>
              <w:spacing w:before="40" w:line="240" w:lineRule="auto"/>
              <w:jc w:val="left"/>
              <w:rPr>
                <w:rFonts w:cs="Arial"/>
                <w:bCs/>
                <w:sz w:val="16"/>
                <w:szCs w:val="16"/>
              </w:rPr>
            </w:pPr>
            <w:r w:rsidRPr="000355F6">
              <w:rPr>
                <w:rFonts w:cs="Arial"/>
                <w:bCs/>
                <w:sz w:val="16"/>
                <w:szCs w:val="16"/>
              </w:rPr>
              <w:t>Project coordinator</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Guigueno</w:t>
            </w:r>
          </w:p>
        </w:tc>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Yves</w:t>
            </w:r>
          </w:p>
        </w:tc>
        <w:tc>
          <w:tcPr>
            <w:tcW w:w="0" w:type="auto"/>
            <w:tcBorders>
              <w:top w:val="single" w:sz="4" w:space="0" w:color="auto"/>
              <w:left w:val="single" w:sz="4" w:space="0" w:color="auto"/>
              <w:bottom w:val="single" w:sz="4" w:space="0" w:color="auto"/>
              <w:right w:val="single" w:sz="4" w:space="0" w:color="auto"/>
            </w:tcBorders>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tcPr>
          <w:p w:rsidR="00557A1D" w:rsidRPr="000355F6" w:rsidRDefault="00557A1D" w:rsidP="00557A1D">
            <w:pPr>
              <w:spacing w:before="40" w:line="240" w:lineRule="auto"/>
              <w:jc w:val="left"/>
              <w:rPr>
                <w:rFonts w:cs="Arial"/>
                <w:bCs/>
                <w:sz w:val="16"/>
                <w:szCs w:val="16"/>
              </w:rPr>
            </w:pPr>
            <w:r w:rsidRPr="000355F6">
              <w:rPr>
                <w:rFonts w:cs="Arial"/>
                <w:bCs/>
                <w:sz w:val="16"/>
                <w:szCs w:val="16"/>
              </w:rPr>
              <w:t>WP10 coordinator</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557A1D" w:rsidRPr="000355F6" w:rsidRDefault="00557A1D" w:rsidP="00557A1D">
            <w:pPr>
              <w:spacing w:before="40" w:line="240" w:lineRule="auto"/>
              <w:jc w:val="left"/>
              <w:rPr>
                <w:rFonts w:cs="Arial"/>
                <w:bCs/>
                <w:sz w:val="16"/>
                <w:szCs w:val="16"/>
              </w:rPr>
            </w:pPr>
            <w:r w:rsidRPr="000355F6">
              <w:rPr>
                <w:rFonts w:cs="Arial"/>
                <w:bCs/>
                <w:sz w:val="16"/>
                <w:szCs w:val="16"/>
              </w:rPr>
              <w:t>Decker</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57A1D" w:rsidRPr="000355F6" w:rsidRDefault="00557A1D" w:rsidP="00557A1D">
            <w:pPr>
              <w:spacing w:before="40" w:line="240" w:lineRule="auto"/>
              <w:jc w:val="left"/>
              <w:rPr>
                <w:rFonts w:cs="Arial"/>
                <w:bCs/>
                <w:sz w:val="16"/>
                <w:szCs w:val="16"/>
              </w:rPr>
            </w:pPr>
            <w:r w:rsidRPr="000355F6">
              <w:rPr>
                <w:rFonts w:cs="Arial"/>
                <w:bCs/>
                <w:sz w:val="16"/>
                <w:szCs w:val="16"/>
              </w:rPr>
              <w:t>Kurt</w:t>
            </w:r>
          </w:p>
        </w:tc>
        <w:tc>
          <w:tcPr>
            <w:tcW w:w="0" w:type="auto"/>
            <w:tcBorders>
              <w:top w:val="single" w:sz="4" w:space="0" w:color="auto"/>
              <w:left w:val="single" w:sz="4" w:space="0" w:color="auto"/>
              <w:bottom w:val="single" w:sz="4" w:space="0" w:color="auto"/>
              <w:right w:val="single" w:sz="4" w:space="0" w:color="auto"/>
            </w:tcBorders>
            <w:vAlign w:val="center"/>
            <w:hideMark/>
          </w:tcPr>
          <w:p w:rsidR="00557A1D" w:rsidRPr="000355F6" w:rsidRDefault="00557A1D" w:rsidP="00557A1D">
            <w:pPr>
              <w:spacing w:before="40" w:line="240" w:lineRule="auto"/>
              <w:jc w:val="left"/>
              <w:rPr>
                <w:rFonts w:cs="Arial"/>
                <w:bCs/>
                <w:sz w:val="16"/>
                <w:szCs w:val="16"/>
              </w:rPr>
            </w:pPr>
            <w:r w:rsidRPr="000355F6">
              <w:rPr>
                <w:rFonts w:cs="Arial"/>
                <w:bCs/>
                <w:sz w:val="16"/>
                <w:szCs w:val="16"/>
              </w:rPr>
              <w:t>Vienna University</w:t>
            </w:r>
          </w:p>
        </w:tc>
        <w:tc>
          <w:tcPr>
            <w:tcW w:w="0" w:type="auto"/>
            <w:tcBorders>
              <w:top w:val="single" w:sz="4" w:space="0" w:color="auto"/>
              <w:left w:val="single" w:sz="4" w:space="0" w:color="auto"/>
              <w:bottom w:val="single" w:sz="4" w:space="0" w:color="auto"/>
              <w:right w:val="single" w:sz="4" w:space="0" w:color="auto"/>
            </w:tcBorders>
          </w:tcPr>
          <w:p w:rsidR="00557A1D" w:rsidRPr="000355F6" w:rsidRDefault="00557A1D" w:rsidP="00557A1D">
            <w:pPr>
              <w:spacing w:before="40" w:line="240" w:lineRule="auto"/>
              <w:jc w:val="left"/>
              <w:rPr>
                <w:rFonts w:cs="Arial"/>
                <w:bCs/>
                <w:sz w:val="16"/>
                <w:szCs w:val="16"/>
              </w:rPr>
            </w:pPr>
            <w:r w:rsidRPr="000355F6">
              <w:rPr>
                <w:rFonts w:cs="Arial"/>
                <w:bCs/>
                <w:sz w:val="16"/>
                <w:szCs w:val="16"/>
              </w:rPr>
              <w:t>WP21 coordinator</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Klug</w:t>
            </w:r>
          </w:p>
        </w:tc>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Joakim</w:t>
            </w:r>
          </w:p>
        </w:tc>
        <w:tc>
          <w:tcPr>
            <w:tcW w:w="0" w:type="auto"/>
            <w:tcBorders>
              <w:top w:val="single" w:sz="4" w:space="0" w:color="auto"/>
              <w:left w:val="single" w:sz="4" w:space="0" w:color="auto"/>
              <w:bottom w:val="single" w:sz="4" w:space="0" w:color="auto"/>
              <w:right w:val="single" w:sz="4" w:space="0" w:color="auto"/>
            </w:tcBorders>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rsidR="00557A1D" w:rsidRPr="000355F6" w:rsidRDefault="00557A1D" w:rsidP="00557A1D">
            <w:pPr>
              <w:spacing w:before="40" w:line="240" w:lineRule="auto"/>
              <w:jc w:val="left"/>
              <w:rPr>
                <w:rFonts w:cs="Arial"/>
                <w:bCs/>
                <w:sz w:val="16"/>
                <w:szCs w:val="16"/>
              </w:rPr>
            </w:pPr>
            <w:r w:rsidRPr="000355F6">
              <w:rPr>
                <w:rFonts w:cs="Arial"/>
                <w:bCs/>
                <w:sz w:val="16"/>
                <w:szCs w:val="16"/>
              </w:rPr>
              <w:t>WP22 coordinator until 2015-10-31</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Kumar</w:t>
            </w:r>
          </w:p>
        </w:tc>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Manorma</w:t>
            </w:r>
          </w:p>
        </w:tc>
        <w:tc>
          <w:tcPr>
            <w:tcW w:w="0" w:type="auto"/>
            <w:tcBorders>
              <w:top w:val="single" w:sz="4" w:space="0" w:color="auto"/>
              <w:left w:val="single" w:sz="4" w:space="0" w:color="auto"/>
              <w:bottom w:val="single" w:sz="4" w:space="0" w:color="auto"/>
              <w:right w:val="single" w:sz="4" w:space="0" w:color="auto"/>
            </w:tcBorders>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tcPr>
          <w:p w:rsidR="00557A1D" w:rsidRPr="000355F6" w:rsidRDefault="00557A1D" w:rsidP="00557A1D">
            <w:pPr>
              <w:spacing w:before="40" w:line="240" w:lineRule="auto"/>
              <w:jc w:val="left"/>
              <w:rPr>
                <w:rFonts w:cs="Arial"/>
                <w:bCs/>
                <w:sz w:val="16"/>
                <w:szCs w:val="16"/>
              </w:rPr>
            </w:pPr>
            <w:r w:rsidRPr="000355F6">
              <w:rPr>
                <w:rFonts w:cs="Arial"/>
                <w:bCs/>
                <w:sz w:val="16"/>
                <w:szCs w:val="16"/>
              </w:rPr>
              <w:t>WP22 coordinator from 2015-11-01</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Wielenberg</w:t>
            </w:r>
          </w:p>
        </w:tc>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Andreas</w:t>
            </w:r>
          </w:p>
        </w:tc>
        <w:tc>
          <w:tcPr>
            <w:tcW w:w="0" w:type="auto"/>
            <w:tcBorders>
              <w:top w:val="single" w:sz="4" w:space="0" w:color="auto"/>
              <w:left w:val="single" w:sz="4" w:space="0" w:color="auto"/>
              <w:bottom w:val="single" w:sz="4" w:space="0" w:color="auto"/>
              <w:right w:val="single" w:sz="4" w:space="0" w:color="auto"/>
            </w:tcBorders>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WP30 coordinator until 2016-03-31</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Löffler</w:t>
            </w:r>
          </w:p>
        </w:tc>
        <w:tc>
          <w:tcPr>
            <w:tcW w:w="0" w:type="auto"/>
            <w:tcBorders>
              <w:top w:val="single" w:sz="4" w:space="0" w:color="auto"/>
              <w:left w:val="single" w:sz="4" w:space="0" w:color="auto"/>
              <w:bottom w:val="single" w:sz="4" w:space="0" w:color="auto"/>
              <w:right w:val="single" w:sz="4" w:space="0" w:color="auto"/>
            </w:tcBorders>
            <w:noWrap/>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Horst</w:t>
            </w:r>
          </w:p>
        </w:tc>
        <w:tc>
          <w:tcPr>
            <w:tcW w:w="0" w:type="auto"/>
            <w:tcBorders>
              <w:top w:val="single" w:sz="4" w:space="0" w:color="auto"/>
              <w:left w:val="single" w:sz="4" w:space="0" w:color="auto"/>
              <w:bottom w:val="single" w:sz="4" w:space="0" w:color="auto"/>
              <w:right w:val="single" w:sz="4" w:space="0" w:color="auto"/>
            </w:tcBorders>
            <w:vAlign w:val="center"/>
          </w:tcPr>
          <w:p w:rsidR="00557A1D" w:rsidRPr="000355F6" w:rsidRDefault="00557A1D" w:rsidP="00557A1D">
            <w:pPr>
              <w:spacing w:before="40" w:line="240" w:lineRule="auto"/>
              <w:jc w:val="left"/>
              <w:rPr>
                <w:rFonts w:cs="Arial"/>
                <w:bCs/>
                <w:sz w:val="16"/>
                <w:szCs w:val="16"/>
              </w:rPr>
            </w:pPr>
            <w:r w:rsidRPr="000355F6">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rsidR="00557A1D" w:rsidRPr="000355F6" w:rsidRDefault="00557A1D" w:rsidP="00557A1D">
            <w:pPr>
              <w:spacing w:before="40" w:line="240" w:lineRule="auto"/>
              <w:jc w:val="left"/>
              <w:rPr>
                <w:rFonts w:cs="Arial"/>
                <w:bCs/>
                <w:sz w:val="16"/>
                <w:szCs w:val="16"/>
                <w:lang w:val="en-US"/>
              </w:rPr>
            </w:pPr>
            <w:r w:rsidRPr="000355F6">
              <w:rPr>
                <w:rFonts w:cs="Arial"/>
                <w:bCs/>
                <w:sz w:val="16"/>
                <w:szCs w:val="16"/>
                <w:lang w:val="en-US"/>
              </w:rPr>
              <w:t>WP40 coordinator</w:t>
            </w:r>
          </w:p>
          <w:p w:rsidR="00557A1D" w:rsidRPr="000355F6" w:rsidRDefault="00557A1D" w:rsidP="00557A1D">
            <w:pPr>
              <w:spacing w:before="40" w:line="240" w:lineRule="auto"/>
              <w:jc w:val="left"/>
              <w:rPr>
                <w:rFonts w:cs="Arial"/>
                <w:bCs/>
                <w:sz w:val="16"/>
                <w:szCs w:val="16"/>
                <w:lang w:val="en-US"/>
              </w:rPr>
            </w:pPr>
            <w:r w:rsidRPr="000355F6">
              <w:rPr>
                <w:rFonts w:cs="Arial"/>
                <w:bCs/>
                <w:sz w:val="16"/>
                <w:szCs w:val="16"/>
                <w:lang w:val="en-US"/>
              </w:rPr>
              <w:t>WP30 coordinator from 2016-04-01</w:t>
            </w:r>
          </w:p>
        </w:tc>
      </w:tr>
    </w:tbl>
    <w:p w:rsidR="00557A1D" w:rsidRPr="000355F6" w:rsidRDefault="00557A1D" w:rsidP="00557A1D">
      <w:pPr>
        <w:rPr>
          <w:b/>
          <w:lang w:val="en-US"/>
        </w:rPr>
      </w:pPr>
      <w:r w:rsidRPr="000355F6">
        <w:rPr>
          <w:b/>
          <w:lang w:val="en-US"/>
        </w:rPr>
        <w:t>REPRESENTATIVES OF ASAMPSA_E PARTNERS</w:t>
      </w:r>
    </w:p>
    <w:p w:rsidR="00557A1D" w:rsidRPr="000355F6" w:rsidRDefault="00557A1D" w:rsidP="00557A1D">
      <w:pPr>
        <w:jc w:val="center"/>
        <w:rPr>
          <w:rFonts w:cs="Arial"/>
          <w:b/>
          <w:bCs/>
          <w:szCs w:val="18"/>
          <w:lang w:val="en-US"/>
        </w:rPr>
      </w:pPr>
    </w:p>
    <w:p w:rsidR="00557A1D" w:rsidRPr="000355F6" w:rsidRDefault="00557A1D" w:rsidP="00557A1D">
      <w:pPr>
        <w:jc w:val="center"/>
        <w:rPr>
          <w:rFonts w:cs="Arial"/>
          <w:b/>
          <w:bCs/>
          <w:szCs w:val="18"/>
          <w:lang w:val="en-US"/>
        </w:rPr>
        <w:sectPr w:rsidR="00557A1D" w:rsidRPr="000355F6" w:rsidSect="00557A1D">
          <w:headerReference w:type="default" r:id="rId14"/>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1127"/>
        <w:gridCol w:w="1496"/>
        <w:gridCol w:w="1095"/>
      </w:tblGrid>
      <w:tr w:rsidR="00557A1D" w:rsidRPr="000355F6" w:rsidTr="00557A1D">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1D" w:rsidRPr="00211147" w:rsidRDefault="00557A1D" w:rsidP="00557A1D">
            <w:pPr>
              <w:spacing w:before="40" w:line="240" w:lineRule="auto"/>
              <w:jc w:val="center"/>
              <w:rPr>
                <w:rFonts w:cs="Arial"/>
                <w:b/>
                <w:bCs/>
                <w:sz w:val="16"/>
                <w:szCs w:val="16"/>
              </w:rPr>
            </w:pPr>
            <w:r w:rsidRPr="00211147">
              <w:rPr>
                <w:rFonts w:cs="Arial"/>
                <w:b/>
                <w:bCs/>
                <w:sz w:val="16"/>
                <w:szCs w:val="16"/>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1D" w:rsidRPr="000355F6" w:rsidRDefault="00557A1D" w:rsidP="00557A1D">
            <w:pPr>
              <w:spacing w:before="40" w:line="240" w:lineRule="auto"/>
              <w:jc w:val="center"/>
              <w:rPr>
                <w:rFonts w:cs="Arial"/>
                <w:b/>
                <w:bCs/>
                <w:sz w:val="16"/>
                <w:szCs w:val="16"/>
              </w:rPr>
            </w:pPr>
            <w:r w:rsidRPr="000355F6">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A1D" w:rsidRPr="000355F6" w:rsidRDefault="00557A1D" w:rsidP="00557A1D">
            <w:pPr>
              <w:spacing w:before="40" w:line="240" w:lineRule="auto"/>
              <w:jc w:val="center"/>
              <w:rPr>
                <w:rFonts w:cs="Arial"/>
                <w:b/>
                <w:bCs/>
                <w:sz w:val="16"/>
                <w:szCs w:val="16"/>
              </w:rPr>
            </w:pPr>
            <w:r w:rsidRPr="000355F6">
              <w:rPr>
                <w:rFonts w:cs="Arial"/>
                <w:b/>
                <w:bCs/>
                <w:sz w:val="16"/>
                <w:szCs w:val="16"/>
              </w:rPr>
              <w:t>Organization</w:t>
            </w:r>
          </w:p>
        </w:tc>
      </w:tr>
      <w:tr w:rsidR="00557A1D" w:rsidRPr="000355F6" w:rsidTr="00557A1D">
        <w:trPr>
          <w:trHeight w:val="300"/>
        </w:trPr>
        <w:tc>
          <w:tcPr>
            <w:tcW w:w="0" w:type="auto"/>
            <w:tcBorders>
              <w:top w:val="nil"/>
              <w:left w:val="single" w:sz="4" w:space="0" w:color="auto"/>
              <w:bottom w:val="nil"/>
              <w:right w:val="nil"/>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AMEC NNC</w:t>
            </w:r>
          </w:p>
        </w:tc>
      </w:tr>
      <w:tr w:rsidR="00557A1D" w:rsidRPr="000355F6" w:rsidTr="00557A1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AMEC NNC</w:t>
            </w:r>
          </w:p>
        </w:tc>
      </w:tr>
      <w:tr w:rsidR="00557A1D" w:rsidRPr="000355F6" w:rsidTr="00557A1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Gerben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Heiko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AREVA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Chiheb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AREXIS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AREXIS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Raphael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AREXIS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Bel V</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Dries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Bel V</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Véronique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Bel V</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Bel V</w:t>
            </w:r>
          </w:p>
        </w:tc>
      </w:tr>
      <w:tr w:rsidR="00557A1D" w:rsidRPr="000355F6" w:rsidTr="00557A1D">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Cazzoli</w:t>
            </w:r>
          </w:p>
        </w:tc>
        <w:tc>
          <w:tcPr>
            <w:tcW w:w="0" w:type="auto"/>
            <w:tcBorders>
              <w:top w:val="nil"/>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Errico</w:t>
            </w:r>
          </w:p>
        </w:tc>
        <w:tc>
          <w:tcPr>
            <w:tcW w:w="0" w:type="auto"/>
            <w:tcBorders>
              <w:top w:val="nil"/>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CCA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Jirina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CCA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EC</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Yvonnick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Henssien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Benjamin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lastRenderedPageBreak/>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EDF</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ENEA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Göran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FKA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FKA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Julia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FKA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Joel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FKA</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Loeffler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Tuerschmann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GRS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IEC</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IEC</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Cesar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IEC</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ICN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Mirela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ICN</w:t>
            </w:r>
          </w:p>
        </w:tc>
      </w:tr>
      <w:tr w:rsidR="00557A1D" w:rsidRPr="000355F6" w:rsidTr="00557A1D">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INRNE</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INRNE</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t>Andreeva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t>Marina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57A1D" w:rsidRPr="000355F6" w:rsidRDefault="00557A1D" w:rsidP="00557A1D">
            <w:pPr>
              <w:spacing w:before="40" w:line="240" w:lineRule="auto"/>
              <w:jc w:val="center"/>
              <w:rPr>
                <w:sz w:val="16"/>
                <w:szCs w:val="16"/>
              </w:rPr>
            </w:pPr>
            <w:r w:rsidRPr="000355F6">
              <w:rPr>
                <w:sz w:val="16"/>
                <w:szCs w:val="16"/>
              </w:rPr>
              <w:t>INRNE</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t>Petya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t>Petrova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57A1D" w:rsidRPr="000355F6" w:rsidRDefault="00557A1D" w:rsidP="00557A1D">
            <w:pPr>
              <w:spacing w:before="40" w:line="240" w:lineRule="auto"/>
              <w:jc w:val="center"/>
              <w:rPr>
                <w:sz w:val="16"/>
                <w:szCs w:val="16"/>
              </w:rPr>
            </w:pPr>
            <w:r w:rsidRPr="000355F6">
              <w:rPr>
                <w:sz w:val="16"/>
                <w:szCs w:val="16"/>
              </w:rPr>
              <w:t>INRNE</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Armingaud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Baumont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David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Hervé</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lastRenderedPageBreak/>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Durin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Thomas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Sotti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IRSN</w:t>
            </w:r>
          </w:p>
        </w:tc>
      </w:tr>
      <w:tr w:rsidR="00557A1D" w:rsidRPr="000355F6" w:rsidTr="00557A1D">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Andrija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JSI</w:t>
            </w:r>
          </w:p>
        </w:tc>
      </w:tr>
      <w:tr w:rsidR="00557A1D" w:rsidRPr="000355F6" w:rsidTr="00557A1D">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t xml:space="preserve">Prošek </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t>Andrej</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57A1D" w:rsidRPr="000355F6" w:rsidRDefault="00557A1D" w:rsidP="00557A1D">
            <w:pPr>
              <w:spacing w:before="40" w:line="240" w:lineRule="auto"/>
              <w:jc w:val="center"/>
              <w:rPr>
                <w:sz w:val="16"/>
                <w:szCs w:val="16"/>
              </w:rPr>
            </w:pPr>
            <w:r w:rsidRPr="000355F6">
              <w:rPr>
                <w:sz w:val="16"/>
                <w:szCs w:val="16"/>
              </w:rPr>
              <w:t>JSI</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Robertas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LEI</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Matuzas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Vaidas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LEI</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Sigitas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LEI</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LRC</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LRC</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LRC</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LRC</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NCBJ</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NCBJ</w:t>
            </w:r>
          </w:p>
        </w:tc>
      </w:tr>
      <w:tr w:rsidR="00557A1D" w:rsidRPr="000355F6" w:rsidTr="00557A1D">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Slawomir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NCBJ</w:t>
            </w:r>
          </w:p>
        </w:tc>
      </w:tr>
      <w:tr w:rsidR="00557A1D" w:rsidRPr="000355F6" w:rsidTr="00557A1D">
        <w:trPr>
          <w:trHeight w:val="401"/>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Stephano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NIER</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Paolo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NIER</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NRG</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Kahia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Sinda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NRG</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Attila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NUBIKI</w:t>
            </w:r>
          </w:p>
        </w:tc>
      </w:tr>
      <w:tr w:rsidR="00557A1D" w:rsidRPr="000355F6" w:rsidTr="00557A1D">
        <w:trPr>
          <w:trHeight w:val="20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NUBIKI</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NUBIKI</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RSE</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center"/>
              <w:rPr>
                <w:sz w:val="16"/>
                <w:szCs w:val="16"/>
              </w:rPr>
            </w:pPr>
            <w:r w:rsidRPr="000355F6">
              <w:rPr>
                <w:sz w:val="16"/>
                <w:szCs w:val="16"/>
              </w:rPr>
              <w:t>RSE</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Oleksiy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SSTC</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SSTC</w:t>
            </w:r>
          </w:p>
        </w:tc>
      </w:tr>
      <w:tr w:rsidR="00557A1D" w:rsidRPr="000355F6" w:rsidTr="00557A1D">
        <w:trPr>
          <w:trHeight w:val="300"/>
        </w:trPr>
        <w:tc>
          <w:tcPr>
            <w:tcW w:w="0" w:type="auto"/>
            <w:tcBorders>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Claus</w:t>
            </w:r>
          </w:p>
        </w:tc>
        <w:tc>
          <w:tcPr>
            <w:tcW w:w="0" w:type="auto"/>
            <w:tcBorders>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Etienne</w:t>
            </w:r>
          </w:p>
        </w:tc>
        <w:tc>
          <w:tcPr>
            <w:tcW w:w="0" w:type="auto"/>
            <w:tcBorders>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TRACTEBEL</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lastRenderedPageBreak/>
              <w:t>Yu</w:t>
            </w:r>
            <w:r w:rsidRPr="000355F6">
              <w:rPr>
                <w:sz w:val="16"/>
                <w:szCs w:val="16"/>
              </w:rPr>
              <w:tab/>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sz w:val="16"/>
                <w:szCs w:val="16"/>
              </w:rPr>
            </w:pPr>
            <w:r w:rsidRPr="000355F6">
              <w:rPr>
                <w:sz w:val="16"/>
                <w:szCs w:val="16"/>
              </w:rPr>
              <w:t>Shizhen</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center"/>
              <w:rPr>
                <w:sz w:val="16"/>
                <w:szCs w:val="16"/>
              </w:rPr>
            </w:pPr>
            <w:r w:rsidRPr="000355F6">
              <w:rPr>
                <w:sz w:val="16"/>
                <w:szCs w:val="16"/>
              </w:rPr>
              <w:t>TRACTEBEL</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Dimitar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TUS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Ivan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TUS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Kaleychev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TUS</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Jaroslav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Stanislav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Milan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Ladislav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57A1D" w:rsidRPr="000355F6" w:rsidRDefault="00557A1D" w:rsidP="00557A1D">
            <w:pPr>
              <w:spacing w:before="40" w:line="240" w:lineRule="auto"/>
              <w:jc w:val="left"/>
              <w:rPr>
                <w:rFonts w:cs="Arial"/>
                <w:bCs/>
                <w:sz w:val="16"/>
                <w:szCs w:val="16"/>
              </w:rPr>
            </w:pPr>
            <w:r w:rsidRPr="000355F6">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57A1D" w:rsidRPr="000355F6" w:rsidRDefault="00557A1D" w:rsidP="00557A1D">
            <w:pPr>
              <w:spacing w:before="40" w:line="240" w:lineRule="auto"/>
              <w:jc w:val="center"/>
              <w:rPr>
                <w:rFonts w:cs="Arial"/>
                <w:bCs/>
                <w:sz w:val="16"/>
                <w:szCs w:val="16"/>
              </w:rPr>
            </w:pPr>
            <w:r w:rsidRPr="000355F6">
              <w:rPr>
                <w:sz w:val="16"/>
                <w:szCs w:val="16"/>
              </w:rPr>
              <w:t>UJV</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rFonts w:cs="Arial"/>
                <w:bCs/>
                <w:sz w:val="16"/>
                <w:szCs w:val="16"/>
              </w:rPr>
            </w:pPr>
            <w:r w:rsidRPr="000355F6">
              <w:rPr>
                <w:sz w:val="16"/>
                <w:szCs w:val="16"/>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rFonts w:cs="Arial"/>
                <w:bCs/>
                <w:sz w:val="16"/>
                <w:szCs w:val="16"/>
              </w:rPr>
            </w:pPr>
            <w:r w:rsidRPr="000355F6">
              <w:rPr>
                <w:sz w:val="16"/>
                <w:szCs w:val="16"/>
              </w:rPr>
              <w:t>Kurt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57A1D" w:rsidRPr="000355F6" w:rsidRDefault="00557A1D" w:rsidP="00557A1D">
            <w:pPr>
              <w:spacing w:before="40" w:line="240" w:lineRule="auto"/>
              <w:jc w:val="center"/>
              <w:rPr>
                <w:rFonts w:cs="Arial"/>
                <w:bCs/>
                <w:sz w:val="16"/>
                <w:szCs w:val="16"/>
              </w:rPr>
            </w:pPr>
            <w:r w:rsidRPr="000355F6">
              <w:rPr>
                <w:sz w:val="16"/>
                <w:szCs w:val="16"/>
              </w:rPr>
              <w:t>UNIVIE</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rFonts w:cs="Arial"/>
                <w:bCs/>
                <w:sz w:val="16"/>
                <w:szCs w:val="16"/>
              </w:rPr>
            </w:pPr>
            <w:r w:rsidRPr="000355F6">
              <w:rPr>
                <w:sz w:val="16"/>
                <w:szCs w:val="16"/>
              </w:rPr>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rFonts w:cs="Arial"/>
                <w:bCs/>
                <w:sz w:val="16"/>
                <w:szCs w:val="16"/>
              </w:rPr>
            </w:pPr>
            <w:r w:rsidRPr="000355F6">
              <w:rPr>
                <w:sz w:val="16"/>
                <w:szCs w:val="16"/>
              </w:rPr>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57A1D" w:rsidRPr="000355F6" w:rsidRDefault="00557A1D" w:rsidP="00557A1D">
            <w:pPr>
              <w:spacing w:before="40" w:line="240" w:lineRule="auto"/>
              <w:jc w:val="center"/>
              <w:rPr>
                <w:rFonts w:cs="Arial"/>
                <w:bCs/>
                <w:sz w:val="16"/>
                <w:szCs w:val="16"/>
              </w:rPr>
            </w:pPr>
            <w:r w:rsidRPr="000355F6">
              <w:rPr>
                <w:sz w:val="16"/>
                <w:szCs w:val="16"/>
              </w:rPr>
              <w:t>VUJE</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rFonts w:cs="Arial"/>
                <w:bCs/>
                <w:sz w:val="16"/>
                <w:szCs w:val="16"/>
              </w:rPr>
            </w:pPr>
            <w:r w:rsidRPr="000355F6">
              <w:rPr>
                <w:sz w:val="16"/>
                <w:szCs w:val="16"/>
              </w:rPr>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rFonts w:cs="Arial"/>
                <w:bCs/>
                <w:sz w:val="16"/>
                <w:szCs w:val="16"/>
              </w:rPr>
            </w:pPr>
            <w:r w:rsidRPr="000355F6">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57A1D" w:rsidRPr="000355F6" w:rsidRDefault="00557A1D" w:rsidP="00557A1D">
            <w:pPr>
              <w:spacing w:before="40" w:line="240" w:lineRule="auto"/>
              <w:jc w:val="center"/>
              <w:rPr>
                <w:rFonts w:cs="Arial"/>
                <w:bCs/>
                <w:sz w:val="16"/>
                <w:szCs w:val="16"/>
              </w:rPr>
            </w:pPr>
            <w:r w:rsidRPr="000355F6">
              <w:rPr>
                <w:sz w:val="16"/>
                <w:szCs w:val="16"/>
              </w:rPr>
              <w:t>VUJE</w:t>
            </w:r>
          </w:p>
        </w:tc>
      </w:tr>
      <w:tr w:rsidR="00557A1D" w:rsidRPr="000355F6"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rFonts w:cs="Arial"/>
                <w:bCs/>
                <w:sz w:val="16"/>
                <w:szCs w:val="16"/>
              </w:rPr>
            </w:pPr>
            <w:r w:rsidRPr="000355F6">
              <w:rPr>
                <w:sz w:val="16"/>
                <w:szCs w:val="16"/>
              </w:rPr>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557A1D" w:rsidRPr="000355F6" w:rsidRDefault="00557A1D" w:rsidP="00557A1D">
            <w:pPr>
              <w:spacing w:before="40" w:line="240" w:lineRule="auto"/>
              <w:jc w:val="left"/>
              <w:rPr>
                <w:rFonts w:cs="Arial"/>
                <w:bCs/>
                <w:sz w:val="16"/>
                <w:szCs w:val="16"/>
              </w:rPr>
            </w:pPr>
            <w:r w:rsidRPr="000355F6">
              <w:rPr>
                <w:sz w:val="16"/>
                <w:szCs w:val="16"/>
              </w:rPr>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57A1D" w:rsidRPr="000355F6" w:rsidRDefault="00557A1D" w:rsidP="00557A1D">
            <w:pPr>
              <w:spacing w:before="40" w:line="240" w:lineRule="auto"/>
              <w:jc w:val="center"/>
              <w:rPr>
                <w:rFonts w:cs="Arial"/>
                <w:bCs/>
                <w:sz w:val="16"/>
                <w:szCs w:val="16"/>
              </w:rPr>
            </w:pPr>
            <w:r w:rsidRPr="000355F6">
              <w:rPr>
                <w:sz w:val="16"/>
                <w:szCs w:val="16"/>
              </w:rPr>
              <w:t>VUJE</w:t>
            </w:r>
          </w:p>
        </w:tc>
      </w:tr>
    </w:tbl>
    <w:p w:rsidR="00557A1D" w:rsidRDefault="00557A1D" w:rsidP="00557A1D">
      <w:pPr>
        <w:rPr>
          <w:smallCaps/>
        </w:rPr>
      </w:pPr>
    </w:p>
    <w:p w:rsidR="00557A1D" w:rsidRPr="000355F6" w:rsidRDefault="00557A1D" w:rsidP="00552F4E">
      <w:pPr>
        <w:keepNext/>
        <w:keepLines/>
        <w:rPr>
          <w:b/>
          <w:lang w:val="en-US"/>
        </w:rPr>
      </w:pPr>
      <w:r w:rsidRPr="000355F6">
        <w:rPr>
          <w:b/>
          <w:lang w:val="en-US"/>
        </w:rPr>
        <w:t>REPRESENTATIVE OF ASSOCIATED PARTNERS</w:t>
      </w:r>
      <w:r w:rsidRPr="000355F6">
        <w:rPr>
          <w:lang w:val="en-US"/>
        </w:rPr>
        <w:t xml:space="preserve"> </w:t>
      </w:r>
      <w:r w:rsidRPr="000355F6">
        <w:rPr>
          <w:b/>
          <w:lang w:val="en-US"/>
        </w:rPr>
        <w:t>(External Experts Advisory Board (EEAB))</w:t>
      </w:r>
    </w:p>
    <w:p w:rsidR="00557A1D" w:rsidRPr="000355F6" w:rsidRDefault="00557A1D" w:rsidP="00552F4E">
      <w:pPr>
        <w:keepNext/>
        <w:keepLines/>
        <w:rPr>
          <w:b/>
          <w:lang w:val="en-US"/>
        </w:rPr>
      </w:pPr>
    </w:p>
    <w:tbl>
      <w:tblPr>
        <w:tblW w:w="0" w:type="auto"/>
        <w:tblCellMar>
          <w:left w:w="70" w:type="dxa"/>
          <w:right w:w="70" w:type="dxa"/>
        </w:tblCellMar>
        <w:tblLook w:val="04A0" w:firstRow="1" w:lastRow="0" w:firstColumn="1" w:lastColumn="0" w:noHBand="0" w:noVBand="1"/>
      </w:tblPr>
      <w:tblGrid>
        <w:gridCol w:w="895"/>
        <w:gridCol w:w="940"/>
        <w:gridCol w:w="825"/>
      </w:tblGrid>
      <w:tr w:rsidR="00557A1D" w:rsidRPr="00AC2671"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center"/>
              <w:rPr>
                <w:sz w:val="16"/>
                <w:szCs w:val="16"/>
              </w:rPr>
            </w:pPr>
            <w:r w:rsidRPr="007177C0">
              <w:rPr>
                <w:rFonts w:cs="Arial"/>
                <w:b/>
                <w:bCs/>
                <w:sz w:val="16"/>
                <w:szCs w:val="16"/>
              </w:rPr>
              <w:t>Company</w:t>
            </w:r>
          </w:p>
        </w:tc>
      </w:tr>
      <w:tr w:rsidR="00557A1D" w:rsidRPr="00AC2671"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Kazuta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center"/>
              <w:rPr>
                <w:sz w:val="16"/>
                <w:szCs w:val="16"/>
              </w:rPr>
            </w:pPr>
            <w:r w:rsidRPr="007177C0">
              <w:rPr>
                <w:rFonts w:cs="Arial"/>
                <w:bCs/>
                <w:sz w:val="16"/>
                <w:szCs w:val="16"/>
              </w:rPr>
              <w:t>JANSI</w:t>
            </w:r>
          </w:p>
        </w:tc>
      </w:tr>
      <w:tr w:rsidR="00557A1D" w:rsidRPr="00AC2671"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center"/>
              <w:rPr>
                <w:sz w:val="16"/>
                <w:szCs w:val="16"/>
              </w:rPr>
            </w:pPr>
            <w:r w:rsidRPr="007177C0">
              <w:rPr>
                <w:rFonts w:cs="Arial"/>
                <w:bCs/>
                <w:sz w:val="16"/>
                <w:szCs w:val="16"/>
              </w:rPr>
              <w:t>JANSI</w:t>
            </w:r>
          </w:p>
        </w:tc>
      </w:tr>
      <w:tr w:rsidR="00557A1D" w:rsidRPr="00AC2671"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Masakatsu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center"/>
              <w:rPr>
                <w:sz w:val="16"/>
                <w:szCs w:val="16"/>
              </w:rPr>
            </w:pPr>
            <w:r w:rsidRPr="007177C0">
              <w:rPr>
                <w:rFonts w:cs="Arial"/>
                <w:bCs/>
                <w:sz w:val="16"/>
                <w:szCs w:val="16"/>
              </w:rPr>
              <w:t>JANSI</w:t>
            </w:r>
          </w:p>
        </w:tc>
      </w:tr>
      <w:tr w:rsidR="00557A1D" w:rsidRPr="00AC2671"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Yamanana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Yasunori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center"/>
              <w:rPr>
                <w:sz w:val="16"/>
                <w:szCs w:val="16"/>
              </w:rPr>
            </w:pPr>
            <w:r w:rsidRPr="007177C0">
              <w:rPr>
                <w:rFonts w:cs="Arial"/>
                <w:bCs/>
                <w:sz w:val="16"/>
                <w:szCs w:val="16"/>
              </w:rPr>
              <w:t>TEPCO</w:t>
            </w:r>
          </w:p>
        </w:tc>
      </w:tr>
      <w:tr w:rsidR="00557A1D" w:rsidRPr="00AC2671"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center"/>
              <w:rPr>
                <w:sz w:val="16"/>
                <w:szCs w:val="16"/>
              </w:rPr>
            </w:pPr>
            <w:r w:rsidRPr="007177C0">
              <w:rPr>
                <w:rFonts w:cs="Arial"/>
                <w:bCs/>
                <w:sz w:val="16"/>
                <w:szCs w:val="16"/>
              </w:rPr>
              <w:t>US-NRC</w:t>
            </w:r>
          </w:p>
        </w:tc>
      </w:tr>
      <w:tr w:rsidR="00557A1D" w:rsidRPr="00AC2671" w:rsidTr="00557A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left"/>
              <w:rPr>
                <w:sz w:val="16"/>
                <w:szCs w:val="16"/>
              </w:rPr>
            </w:pPr>
            <w:r w:rsidRPr="007177C0">
              <w:rPr>
                <w:rFonts w:cs="Arial"/>
                <w:bCs/>
                <w:sz w:val="16"/>
                <w:szCs w:val="16"/>
              </w:rPr>
              <w:t xml:space="preserve">Michelle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57A1D" w:rsidRPr="007177C0" w:rsidRDefault="00557A1D" w:rsidP="00552F4E">
            <w:pPr>
              <w:keepNext/>
              <w:keepLines/>
              <w:jc w:val="center"/>
              <w:rPr>
                <w:sz w:val="16"/>
                <w:szCs w:val="16"/>
              </w:rPr>
            </w:pPr>
            <w:r w:rsidRPr="007177C0">
              <w:rPr>
                <w:rFonts w:cs="Arial"/>
                <w:bCs/>
                <w:sz w:val="16"/>
                <w:szCs w:val="16"/>
              </w:rPr>
              <w:t>US-NRC</w:t>
            </w:r>
          </w:p>
        </w:tc>
      </w:tr>
    </w:tbl>
    <w:p w:rsidR="00557A1D" w:rsidRPr="00AC2671" w:rsidRDefault="00557A1D" w:rsidP="00557A1D">
      <w:pPr>
        <w:rPr>
          <w:smallCaps/>
        </w:rPr>
      </w:pPr>
    </w:p>
    <w:p w:rsidR="00557A1D" w:rsidRPr="00AC2671" w:rsidRDefault="00557A1D" w:rsidP="00557A1D">
      <w:pPr>
        <w:rPr>
          <w:b/>
        </w:rPr>
        <w:sectPr w:rsidR="00557A1D" w:rsidRPr="00AC2671" w:rsidSect="00557A1D">
          <w:headerReference w:type="default" r:id="rId15"/>
          <w:type w:val="continuous"/>
          <w:pgSz w:w="11907" w:h="16840" w:code="9"/>
          <w:pgMar w:top="397" w:right="1134" w:bottom="403" w:left="1418" w:header="567" w:footer="0" w:gutter="0"/>
          <w:cols w:num="2" w:space="708"/>
          <w:noEndnote/>
          <w:docGrid w:linePitch="326"/>
        </w:sectPr>
      </w:pPr>
    </w:p>
    <w:bookmarkEnd w:id="7"/>
    <w:bookmarkEnd w:id="8"/>
    <w:p w:rsidR="00557A1D" w:rsidRPr="00313E82" w:rsidRDefault="00557A1D" w:rsidP="00557A1D">
      <w:pPr>
        <w:rPr>
          <w:smallCaps/>
          <w:lang w:val="en-US"/>
        </w:rPr>
      </w:pPr>
    </w:p>
    <w:p w:rsidR="00557A1D" w:rsidRPr="00552F4E" w:rsidRDefault="00557A1D" w:rsidP="00557A1D">
      <w:pPr>
        <w:pStyle w:val="Titre1"/>
        <w:numPr>
          <w:ilvl w:val="0"/>
          <w:numId w:val="0"/>
        </w:numPr>
        <w:rPr>
          <w:lang w:val="en-US"/>
        </w:rPr>
      </w:pPr>
      <w:bookmarkStart w:id="9" w:name="_Toc451965935"/>
      <w:bookmarkStart w:id="10" w:name="_Toc474430090"/>
      <w:r w:rsidRPr="00552F4E">
        <w:rPr>
          <w:lang w:val="en-US"/>
        </w:rPr>
        <w:t>Executive Summary</w:t>
      </w:r>
      <w:bookmarkEnd w:id="9"/>
      <w:bookmarkEnd w:id="10"/>
    </w:p>
    <w:p w:rsidR="00557A1D" w:rsidRDefault="00557A1D" w:rsidP="00557A1D">
      <w:pPr>
        <w:rPr>
          <w:lang w:val="en-US"/>
        </w:rPr>
      </w:pPr>
    </w:p>
    <w:p w:rsidR="00557A1D" w:rsidRPr="000355F6" w:rsidRDefault="00557A1D" w:rsidP="00557A1D">
      <w:pPr>
        <w:rPr>
          <w:szCs w:val="18"/>
          <w:lang w:val="en-US"/>
        </w:rPr>
      </w:pPr>
      <w:r w:rsidRPr="00211147">
        <w:rPr>
          <w:szCs w:val="18"/>
          <w:lang w:val="en-US"/>
        </w:rPr>
        <w:t>This report provides a review of the main used risk measures for Level 1 and Level 2 PSA. It de</w:t>
      </w:r>
      <w:r w:rsidRPr="006F12A5">
        <w:rPr>
          <w:szCs w:val="18"/>
          <w:lang w:val="en-US"/>
        </w:rPr>
        <w:t>picts their advantages, limitations and disadvantages and develops some more precise risk measures relevant for extended PSAs and helpful for decision-making. This report does not recommend or suggest any quantitative value for the risk measures. It does n</w:t>
      </w:r>
      <w:r w:rsidRPr="000355F6">
        <w:rPr>
          <w:szCs w:val="18"/>
          <w:lang w:val="en-US"/>
        </w:rPr>
        <w:t>ot discuss in details decision-making based on PSA results</w:t>
      </w:r>
      <w:r w:rsidR="00DC3DAF">
        <w:rPr>
          <w:szCs w:val="18"/>
          <w:lang w:val="en-US"/>
        </w:rPr>
        <w:t xml:space="preserve"> </w:t>
      </w:r>
      <w:r w:rsidR="008849BC">
        <w:rPr>
          <w:szCs w:val="18"/>
          <w:lang w:val="en-US"/>
        </w:rPr>
        <w:t>either</w:t>
      </w:r>
      <w:r w:rsidRPr="000355F6">
        <w:rPr>
          <w:szCs w:val="18"/>
          <w:lang w:val="en-US"/>
        </w:rPr>
        <w:t>.</w:t>
      </w:r>
    </w:p>
    <w:p w:rsidR="00557A1D" w:rsidRPr="000355F6" w:rsidRDefault="00557A1D" w:rsidP="00557A1D">
      <w:pPr>
        <w:pStyle w:val="Commentaire"/>
        <w:rPr>
          <w:sz w:val="18"/>
          <w:szCs w:val="18"/>
          <w:lang w:val="en-US"/>
        </w:rPr>
      </w:pPr>
    </w:p>
    <w:p w:rsidR="00557A1D" w:rsidRPr="000355F6" w:rsidRDefault="00557A1D" w:rsidP="00557A1D">
      <w:pPr>
        <w:pStyle w:val="Commentaire"/>
        <w:rPr>
          <w:sz w:val="18"/>
          <w:szCs w:val="18"/>
          <w:lang w:val="en-US"/>
        </w:rPr>
      </w:pPr>
      <w:r w:rsidRPr="000355F6">
        <w:rPr>
          <w:sz w:val="18"/>
          <w:szCs w:val="18"/>
          <w:lang w:val="en-US"/>
        </w:rPr>
        <w:t xml:space="preserve">The risk measures investigated in this report are related to the Level 1 and Level 2 PSA for NPP and the properties and characteristics of risk actually included into these models. Level 3 PSA risk measures and risk metrics are not discussed in this report but Level 2+ risk measures is covered. Level 2+ PSA is understood as a Level 2 PSA with a simple model extension for releases to the environment of the plant (Level 3 PSA). </w:t>
      </w:r>
    </w:p>
    <w:p w:rsidR="00557A1D" w:rsidRPr="00211147" w:rsidRDefault="00557A1D" w:rsidP="00557A1D">
      <w:pPr>
        <w:rPr>
          <w:szCs w:val="18"/>
          <w:lang w:val="en-US"/>
        </w:rPr>
      </w:pPr>
    </w:p>
    <w:p w:rsidR="00557A1D" w:rsidRPr="000355F6" w:rsidRDefault="00557A1D" w:rsidP="00557A1D">
      <w:pPr>
        <w:rPr>
          <w:szCs w:val="18"/>
          <w:lang w:val="en-US"/>
        </w:rPr>
      </w:pPr>
      <w:r w:rsidRPr="000355F6">
        <w:rPr>
          <w:szCs w:val="18"/>
          <w:lang w:val="en-US"/>
        </w:rPr>
        <w:t xml:space="preserve">The choice of one appropriate risk measure or a set of risk measures depends on the decision making approach as well as on the issue to be decided. </w:t>
      </w:r>
    </w:p>
    <w:p w:rsidR="00557A1D" w:rsidRPr="000355F6" w:rsidRDefault="00557A1D" w:rsidP="00557A1D">
      <w:pPr>
        <w:rPr>
          <w:szCs w:val="18"/>
          <w:lang w:val="en-US"/>
        </w:rPr>
      </w:pPr>
    </w:p>
    <w:p w:rsidR="00557A1D" w:rsidRPr="000355F6" w:rsidRDefault="00557A1D" w:rsidP="00557A1D">
      <w:pPr>
        <w:rPr>
          <w:szCs w:val="18"/>
          <w:lang w:val="en-US"/>
        </w:rPr>
      </w:pPr>
      <w:r w:rsidRPr="000355F6">
        <w:rPr>
          <w:szCs w:val="18"/>
          <w:lang w:val="en-US"/>
        </w:rPr>
        <w:t xml:space="preserve">The general approach for decision making, aims at a multi-attribute decision making approach. This can include the use of several risk measures as appropriate. </w:t>
      </w:r>
    </w:p>
    <w:p w:rsidR="00557A1D" w:rsidRPr="000355F6" w:rsidRDefault="00557A1D" w:rsidP="00557A1D">
      <w:pPr>
        <w:rPr>
          <w:szCs w:val="18"/>
          <w:lang w:val="en-US"/>
        </w:rPr>
      </w:pPr>
    </w:p>
    <w:p w:rsidR="00557A1D" w:rsidRPr="000355F6" w:rsidRDefault="00557A1D" w:rsidP="00557A1D">
      <w:pPr>
        <w:rPr>
          <w:szCs w:val="18"/>
          <w:lang w:val="en-US"/>
        </w:rPr>
      </w:pPr>
      <w:r w:rsidRPr="000355F6">
        <w:rPr>
          <w:szCs w:val="18"/>
          <w:lang w:val="en-US"/>
        </w:rPr>
        <w:t xml:space="preserve">There is not necessarily a need to aggregate all different risk measures into one overall risk measure. Nonetheless, the issue of suitable risk measures for aggregating risk from similar risk measures (e.g. Level 2 PSA release categories) is relevant for decision-making and comparison. </w:t>
      </w:r>
    </w:p>
    <w:p w:rsidR="00557A1D" w:rsidRPr="000355F6" w:rsidRDefault="00557A1D" w:rsidP="00557A1D">
      <w:pPr>
        <w:pStyle w:val="Commentaire"/>
        <w:rPr>
          <w:sz w:val="18"/>
          <w:szCs w:val="18"/>
          <w:lang w:val="en-US"/>
        </w:rPr>
      </w:pPr>
    </w:p>
    <w:p w:rsidR="00557A1D" w:rsidRPr="000355F6" w:rsidRDefault="00557A1D" w:rsidP="00557A1D">
      <w:pPr>
        <w:rPr>
          <w:szCs w:val="18"/>
          <w:lang w:val="en-US"/>
        </w:rPr>
      </w:pPr>
      <w:r w:rsidRPr="00211147">
        <w:rPr>
          <w:szCs w:val="18"/>
          <w:lang w:val="en-US"/>
        </w:rPr>
        <w:t xml:space="preserve">Section </w:t>
      </w:r>
      <w:r w:rsidR="00CD0CBE">
        <w:fldChar w:fldCharType="begin"/>
      </w:r>
      <w:r w:rsidR="00CD0CBE">
        <w:instrText xml:space="preserve"> REF _Ref413933830 \r \h  \* MERGEFORMAT </w:instrText>
      </w:r>
      <w:r w:rsidR="00CD0CBE">
        <w:fldChar w:fldCharType="separate"/>
      </w:r>
      <w:r w:rsidR="00B772CA">
        <w:t>5</w:t>
      </w:r>
      <w:r w:rsidR="00CD0CBE">
        <w:fldChar w:fldCharType="end"/>
      </w:r>
      <w:r w:rsidRPr="000355F6">
        <w:rPr>
          <w:szCs w:val="18"/>
          <w:lang w:val="en-US"/>
        </w:rPr>
        <w:t xml:space="preserve"> provides some recommendations on risk metrics to be used for an extended PSA. For Level 1 PSA, Fuel Damage Frequency and Radionuclide Mobilization Frequency are recommended. For Level 2 PSA, the characterization of loss of containment function and a total risk measure based on the aggregated activity releases of all sequences rated by their frequencies is proposed.</w:t>
      </w:r>
    </w:p>
    <w:p w:rsidR="00D855EF" w:rsidRPr="00313E82" w:rsidRDefault="00D855EF" w:rsidP="00D855EF">
      <w:pPr>
        <w:jc w:val="center"/>
        <w:rPr>
          <w:lang w:val="en-US"/>
        </w:rPr>
        <w:sectPr w:rsidR="00D855EF" w:rsidRPr="00313E82">
          <w:headerReference w:type="even" r:id="rId16"/>
          <w:headerReference w:type="default" r:id="rId17"/>
          <w:headerReference w:type="first" r:id="rId18"/>
          <w:pgSz w:w="11907" w:h="16840" w:code="9"/>
          <w:pgMar w:top="397" w:right="1134" w:bottom="403" w:left="1418" w:header="567" w:footer="0" w:gutter="0"/>
          <w:cols w:space="708"/>
          <w:noEndnote/>
          <w:docGrid w:linePitch="326"/>
        </w:sectPr>
      </w:pPr>
    </w:p>
    <w:p w:rsidR="009A1C44" w:rsidRPr="00313E82" w:rsidRDefault="00D640E2" w:rsidP="00395E63">
      <w:pPr>
        <w:pStyle w:val="Titre1"/>
        <w:numPr>
          <w:ilvl w:val="0"/>
          <w:numId w:val="0"/>
        </w:numPr>
        <w:rPr>
          <w:lang w:val="en-US"/>
        </w:rPr>
      </w:pPr>
      <w:bookmarkStart w:id="11" w:name="_Toc474430091"/>
      <w:r>
        <w:rPr>
          <w:lang w:val="en-US"/>
        </w:rPr>
        <w:lastRenderedPageBreak/>
        <w:t>Content</w:t>
      </w:r>
      <w:bookmarkEnd w:id="11"/>
    </w:p>
    <w:p w:rsidR="009A1C44" w:rsidRPr="00313E82" w:rsidRDefault="009A1C44" w:rsidP="009A1C44">
      <w:pPr>
        <w:rPr>
          <w:lang w:val="en-US"/>
        </w:rPr>
      </w:pPr>
    </w:p>
    <w:p w:rsidR="00D640E2" w:rsidRDefault="009E768B">
      <w:pPr>
        <w:pStyle w:val="TM1"/>
        <w:tabs>
          <w:tab w:val="right" w:leader="dot" w:pos="9345"/>
        </w:tabs>
        <w:rPr>
          <w:rFonts w:asciiTheme="minorHAnsi" w:eastAsiaTheme="minorEastAsia" w:hAnsiTheme="minorHAnsi" w:cstheme="minorBidi"/>
          <w:bCs w:val="0"/>
          <w:iCs w:val="0"/>
          <w:noProof/>
          <w:sz w:val="22"/>
          <w:szCs w:val="22"/>
        </w:rPr>
      </w:pPr>
      <w:r>
        <w:rPr>
          <w:rFonts w:ascii="Arial" w:hAnsi="Arial" w:cs="Arial"/>
          <w:i/>
          <w:iCs w:val="0"/>
          <w:caps/>
          <w:sz w:val="24"/>
          <w:lang w:val="en-US"/>
        </w:rPr>
        <w:fldChar w:fldCharType="begin"/>
      </w:r>
      <w:r w:rsidR="00520A83">
        <w:rPr>
          <w:rFonts w:ascii="Arial" w:hAnsi="Arial" w:cs="Arial"/>
          <w:i/>
          <w:iCs w:val="0"/>
          <w:caps/>
          <w:sz w:val="24"/>
          <w:lang w:val="en-US"/>
        </w:rPr>
        <w:instrText xml:space="preserve"> TOC \o "1-3" \h \z \u </w:instrText>
      </w:r>
      <w:r>
        <w:rPr>
          <w:rFonts w:ascii="Arial" w:hAnsi="Arial" w:cs="Arial"/>
          <w:i/>
          <w:iCs w:val="0"/>
          <w:caps/>
          <w:sz w:val="24"/>
          <w:lang w:val="en-US"/>
        </w:rPr>
        <w:fldChar w:fldCharType="separate"/>
      </w:r>
      <w:hyperlink w:anchor="_Toc474430088" w:history="1">
        <w:r w:rsidR="00D640E2" w:rsidRPr="00D60732">
          <w:rPr>
            <w:rStyle w:val="Lienhypertexte"/>
            <w:smallCaps/>
            <w:noProof/>
            <w:lang w:val="en-US"/>
          </w:rPr>
          <w:t>Modifications of the document</w:t>
        </w:r>
        <w:r w:rsidR="00D640E2">
          <w:rPr>
            <w:noProof/>
            <w:webHidden/>
          </w:rPr>
          <w:tab/>
        </w:r>
        <w:r w:rsidR="00D640E2">
          <w:rPr>
            <w:noProof/>
            <w:webHidden/>
          </w:rPr>
          <w:fldChar w:fldCharType="begin"/>
        </w:r>
        <w:r w:rsidR="00D640E2">
          <w:rPr>
            <w:noProof/>
            <w:webHidden/>
          </w:rPr>
          <w:instrText xml:space="preserve"> PAGEREF _Toc474430088 \h </w:instrText>
        </w:r>
        <w:r w:rsidR="00D640E2">
          <w:rPr>
            <w:noProof/>
            <w:webHidden/>
          </w:rPr>
        </w:r>
        <w:r w:rsidR="00D640E2">
          <w:rPr>
            <w:noProof/>
            <w:webHidden/>
          </w:rPr>
          <w:fldChar w:fldCharType="separate"/>
        </w:r>
        <w:r w:rsidR="00D640E2">
          <w:rPr>
            <w:noProof/>
            <w:webHidden/>
          </w:rPr>
          <w:t>3</w:t>
        </w:r>
        <w:r w:rsidR="00D640E2">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089" w:history="1">
        <w:r w:rsidRPr="00D60732">
          <w:rPr>
            <w:rStyle w:val="Lienhypertexte"/>
            <w:smallCaps/>
            <w:noProof/>
            <w:lang w:val="en-US"/>
          </w:rPr>
          <w:t>List of diffusion</w:t>
        </w:r>
        <w:r>
          <w:rPr>
            <w:noProof/>
            <w:webHidden/>
          </w:rPr>
          <w:tab/>
        </w:r>
        <w:r>
          <w:rPr>
            <w:noProof/>
            <w:webHidden/>
          </w:rPr>
          <w:fldChar w:fldCharType="begin"/>
        </w:r>
        <w:r>
          <w:rPr>
            <w:noProof/>
            <w:webHidden/>
          </w:rPr>
          <w:instrText xml:space="preserve"> PAGEREF _Toc474430089 \h </w:instrText>
        </w:r>
        <w:r>
          <w:rPr>
            <w:noProof/>
            <w:webHidden/>
          </w:rPr>
        </w:r>
        <w:r>
          <w:rPr>
            <w:noProof/>
            <w:webHidden/>
          </w:rPr>
          <w:fldChar w:fldCharType="separate"/>
        </w:r>
        <w:r>
          <w:rPr>
            <w:noProof/>
            <w:webHidden/>
          </w:rPr>
          <w:t>3</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090" w:history="1">
        <w:r w:rsidRPr="00D60732">
          <w:rPr>
            <w:rStyle w:val="Lienhypertexte"/>
            <w:noProof/>
            <w:lang w:val="en-US"/>
          </w:rPr>
          <w:t>Executive Summary</w:t>
        </w:r>
        <w:r>
          <w:rPr>
            <w:noProof/>
            <w:webHidden/>
          </w:rPr>
          <w:tab/>
        </w:r>
        <w:r>
          <w:rPr>
            <w:noProof/>
            <w:webHidden/>
          </w:rPr>
          <w:fldChar w:fldCharType="begin"/>
        </w:r>
        <w:r>
          <w:rPr>
            <w:noProof/>
            <w:webHidden/>
          </w:rPr>
          <w:instrText xml:space="preserve"> PAGEREF _Toc474430090 \h </w:instrText>
        </w:r>
        <w:r>
          <w:rPr>
            <w:noProof/>
            <w:webHidden/>
          </w:rPr>
        </w:r>
        <w:r>
          <w:rPr>
            <w:noProof/>
            <w:webHidden/>
          </w:rPr>
          <w:fldChar w:fldCharType="separate"/>
        </w:r>
        <w:r>
          <w:rPr>
            <w:noProof/>
            <w:webHidden/>
          </w:rPr>
          <w:t>6</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091" w:history="1">
        <w:r w:rsidRPr="00D60732">
          <w:rPr>
            <w:rStyle w:val="Lienhypertexte"/>
            <w:noProof/>
            <w:lang w:val="en-US"/>
          </w:rPr>
          <w:t>Content</w:t>
        </w:r>
        <w:r>
          <w:rPr>
            <w:noProof/>
            <w:webHidden/>
          </w:rPr>
          <w:tab/>
        </w:r>
        <w:r>
          <w:rPr>
            <w:noProof/>
            <w:webHidden/>
          </w:rPr>
          <w:fldChar w:fldCharType="begin"/>
        </w:r>
        <w:r>
          <w:rPr>
            <w:noProof/>
            <w:webHidden/>
          </w:rPr>
          <w:instrText xml:space="preserve"> PAGEREF _Toc474430091 \h </w:instrText>
        </w:r>
        <w:r>
          <w:rPr>
            <w:noProof/>
            <w:webHidden/>
          </w:rPr>
        </w:r>
        <w:r>
          <w:rPr>
            <w:noProof/>
            <w:webHidden/>
          </w:rPr>
          <w:fldChar w:fldCharType="separate"/>
        </w:r>
        <w:r>
          <w:rPr>
            <w:noProof/>
            <w:webHidden/>
          </w:rPr>
          <w:t>7</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092" w:history="1">
        <w:r w:rsidRPr="00D60732">
          <w:rPr>
            <w:rStyle w:val="Lienhypertexte"/>
            <w:noProof/>
            <w:lang w:val="en-US"/>
          </w:rPr>
          <w:t>List of Tables</w:t>
        </w:r>
        <w:r>
          <w:rPr>
            <w:noProof/>
            <w:webHidden/>
          </w:rPr>
          <w:tab/>
        </w:r>
        <w:r>
          <w:rPr>
            <w:noProof/>
            <w:webHidden/>
          </w:rPr>
          <w:fldChar w:fldCharType="begin"/>
        </w:r>
        <w:r>
          <w:rPr>
            <w:noProof/>
            <w:webHidden/>
          </w:rPr>
          <w:instrText xml:space="preserve"> PAGEREF _Toc474430092 \h </w:instrText>
        </w:r>
        <w:r>
          <w:rPr>
            <w:noProof/>
            <w:webHidden/>
          </w:rPr>
        </w:r>
        <w:r>
          <w:rPr>
            <w:noProof/>
            <w:webHidden/>
          </w:rPr>
          <w:fldChar w:fldCharType="separate"/>
        </w:r>
        <w:r>
          <w:rPr>
            <w:noProof/>
            <w:webHidden/>
          </w:rPr>
          <w:t>12</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093" w:history="1">
        <w:r w:rsidRPr="00D60732">
          <w:rPr>
            <w:rStyle w:val="Lienhypertexte"/>
            <w:noProof/>
            <w:lang w:val="en-US"/>
          </w:rPr>
          <w:t>List of Figures</w:t>
        </w:r>
        <w:r>
          <w:rPr>
            <w:noProof/>
            <w:webHidden/>
          </w:rPr>
          <w:tab/>
        </w:r>
        <w:r>
          <w:rPr>
            <w:noProof/>
            <w:webHidden/>
          </w:rPr>
          <w:fldChar w:fldCharType="begin"/>
        </w:r>
        <w:r>
          <w:rPr>
            <w:noProof/>
            <w:webHidden/>
          </w:rPr>
          <w:instrText xml:space="preserve"> PAGEREF _Toc474430093 \h </w:instrText>
        </w:r>
        <w:r>
          <w:rPr>
            <w:noProof/>
            <w:webHidden/>
          </w:rPr>
        </w:r>
        <w:r>
          <w:rPr>
            <w:noProof/>
            <w:webHidden/>
          </w:rPr>
          <w:fldChar w:fldCharType="separate"/>
        </w:r>
        <w:r>
          <w:rPr>
            <w:noProof/>
            <w:webHidden/>
          </w:rPr>
          <w:t>13</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094" w:history="1">
        <w:r w:rsidRPr="00D60732">
          <w:rPr>
            <w:rStyle w:val="Lienhypertexte"/>
            <w:noProof/>
            <w:lang w:val="en-US"/>
          </w:rPr>
          <w:t>GLOSSARY</w:t>
        </w:r>
        <w:r>
          <w:rPr>
            <w:noProof/>
            <w:webHidden/>
          </w:rPr>
          <w:tab/>
        </w:r>
        <w:r>
          <w:rPr>
            <w:noProof/>
            <w:webHidden/>
          </w:rPr>
          <w:fldChar w:fldCharType="begin"/>
        </w:r>
        <w:r>
          <w:rPr>
            <w:noProof/>
            <w:webHidden/>
          </w:rPr>
          <w:instrText xml:space="preserve"> PAGEREF _Toc474430094 \h </w:instrText>
        </w:r>
        <w:r>
          <w:rPr>
            <w:noProof/>
            <w:webHidden/>
          </w:rPr>
        </w:r>
        <w:r>
          <w:rPr>
            <w:noProof/>
            <w:webHidden/>
          </w:rPr>
          <w:fldChar w:fldCharType="separate"/>
        </w:r>
        <w:r>
          <w:rPr>
            <w:noProof/>
            <w:webHidden/>
          </w:rPr>
          <w:t>14</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095" w:history="1">
        <w:r w:rsidRPr="00D60732">
          <w:rPr>
            <w:rStyle w:val="Lienhypertexte"/>
            <w:noProof/>
            <w:lang w:val="en-US"/>
          </w:rPr>
          <w:t>List of Symbols</w:t>
        </w:r>
        <w:r>
          <w:rPr>
            <w:noProof/>
            <w:webHidden/>
          </w:rPr>
          <w:tab/>
        </w:r>
        <w:r>
          <w:rPr>
            <w:noProof/>
            <w:webHidden/>
          </w:rPr>
          <w:fldChar w:fldCharType="begin"/>
        </w:r>
        <w:r>
          <w:rPr>
            <w:noProof/>
            <w:webHidden/>
          </w:rPr>
          <w:instrText xml:space="preserve"> PAGEREF _Toc474430095 \h </w:instrText>
        </w:r>
        <w:r>
          <w:rPr>
            <w:noProof/>
            <w:webHidden/>
          </w:rPr>
        </w:r>
        <w:r>
          <w:rPr>
            <w:noProof/>
            <w:webHidden/>
          </w:rPr>
          <w:fldChar w:fldCharType="separate"/>
        </w:r>
        <w:r>
          <w:rPr>
            <w:noProof/>
            <w:webHidden/>
          </w:rPr>
          <w:t>16</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096" w:history="1">
        <w:r w:rsidRPr="00D60732">
          <w:rPr>
            <w:rStyle w:val="Lienhypertexte"/>
            <w:noProof/>
            <w:lang w:val="en-US"/>
          </w:rPr>
          <w:t>1 Introduction</w:t>
        </w:r>
        <w:r>
          <w:rPr>
            <w:noProof/>
            <w:webHidden/>
          </w:rPr>
          <w:tab/>
        </w:r>
        <w:r>
          <w:rPr>
            <w:noProof/>
            <w:webHidden/>
          </w:rPr>
          <w:fldChar w:fldCharType="begin"/>
        </w:r>
        <w:r>
          <w:rPr>
            <w:noProof/>
            <w:webHidden/>
          </w:rPr>
          <w:instrText xml:space="preserve"> PAGEREF _Toc474430096 \h </w:instrText>
        </w:r>
        <w:r>
          <w:rPr>
            <w:noProof/>
            <w:webHidden/>
          </w:rPr>
        </w:r>
        <w:r>
          <w:rPr>
            <w:noProof/>
            <w:webHidden/>
          </w:rPr>
          <w:fldChar w:fldCharType="separate"/>
        </w:r>
        <w:r>
          <w:rPr>
            <w:noProof/>
            <w:webHidden/>
          </w:rPr>
          <w:t>17</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097" w:history="1">
        <w:r w:rsidRPr="00D60732">
          <w:rPr>
            <w:rStyle w:val="Lienhypertexte"/>
            <w:noProof/>
            <w:lang w:val="en-US"/>
          </w:rPr>
          <w:t>1.1 Background</w:t>
        </w:r>
        <w:r>
          <w:rPr>
            <w:noProof/>
            <w:webHidden/>
          </w:rPr>
          <w:tab/>
        </w:r>
        <w:r>
          <w:rPr>
            <w:noProof/>
            <w:webHidden/>
          </w:rPr>
          <w:fldChar w:fldCharType="begin"/>
        </w:r>
        <w:r>
          <w:rPr>
            <w:noProof/>
            <w:webHidden/>
          </w:rPr>
          <w:instrText xml:space="preserve"> PAGEREF _Toc474430097 \h </w:instrText>
        </w:r>
        <w:r>
          <w:rPr>
            <w:noProof/>
            <w:webHidden/>
          </w:rPr>
        </w:r>
        <w:r>
          <w:rPr>
            <w:noProof/>
            <w:webHidden/>
          </w:rPr>
          <w:fldChar w:fldCharType="separate"/>
        </w:r>
        <w:r>
          <w:rPr>
            <w:noProof/>
            <w:webHidden/>
          </w:rPr>
          <w:t>17</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098" w:history="1">
        <w:r w:rsidRPr="00D60732">
          <w:rPr>
            <w:rStyle w:val="Lienhypertexte"/>
            <w:noProof/>
            <w:lang w:val="en-US"/>
          </w:rPr>
          <w:t>1.2 Report Objectives</w:t>
        </w:r>
        <w:r>
          <w:rPr>
            <w:noProof/>
            <w:webHidden/>
          </w:rPr>
          <w:tab/>
        </w:r>
        <w:r>
          <w:rPr>
            <w:noProof/>
            <w:webHidden/>
          </w:rPr>
          <w:fldChar w:fldCharType="begin"/>
        </w:r>
        <w:r>
          <w:rPr>
            <w:noProof/>
            <w:webHidden/>
          </w:rPr>
          <w:instrText xml:space="preserve"> PAGEREF _Toc474430098 \h </w:instrText>
        </w:r>
        <w:r>
          <w:rPr>
            <w:noProof/>
            <w:webHidden/>
          </w:rPr>
        </w:r>
        <w:r>
          <w:rPr>
            <w:noProof/>
            <w:webHidden/>
          </w:rPr>
          <w:fldChar w:fldCharType="separate"/>
        </w:r>
        <w:r>
          <w:rPr>
            <w:noProof/>
            <w:webHidden/>
          </w:rPr>
          <w:t>17</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099" w:history="1">
        <w:r w:rsidRPr="00D60732">
          <w:rPr>
            <w:rStyle w:val="Lienhypertexte"/>
            <w:noProof/>
            <w:lang w:val="en-US"/>
          </w:rPr>
          <w:t>1.3 Definitions</w:t>
        </w:r>
        <w:r>
          <w:rPr>
            <w:noProof/>
            <w:webHidden/>
          </w:rPr>
          <w:tab/>
        </w:r>
        <w:r>
          <w:rPr>
            <w:noProof/>
            <w:webHidden/>
          </w:rPr>
          <w:fldChar w:fldCharType="begin"/>
        </w:r>
        <w:r>
          <w:rPr>
            <w:noProof/>
            <w:webHidden/>
          </w:rPr>
          <w:instrText xml:space="preserve"> PAGEREF _Toc474430099 \h </w:instrText>
        </w:r>
        <w:r>
          <w:rPr>
            <w:noProof/>
            <w:webHidden/>
          </w:rPr>
        </w:r>
        <w:r>
          <w:rPr>
            <w:noProof/>
            <w:webHidden/>
          </w:rPr>
          <w:fldChar w:fldCharType="separate"/>
        </w:r>
        <w:r>
          <w:rPr>
            <w:noProof/>
            <w:webHidden/>
          </w:rPr>
          <w:t>18</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00" w:history="1">
        <w:r w:rsidRPr="00D60732">
          <w:rPr>
            <w:rStyle w:val="Lienhypertexte"/>
            <w:noProof/>
            <w:lang w:val="en-US"/>
          </w:rPr>
          <w:t>1.4 Risk Metric Attributes</w:t>
        </w:r>
        <w:r>
          <w:rPr>
            <w:noProof/>
            <w:webHidden/>
          </w:rPr>
          <w:tab/>
        </w:r>
        <w:r>
          <w:rPr>
            <w:noProof/>
            <w:webHidden/>
          </w:rPr>
          <w:fldChar w:fldCharType="begin"/>
        </w:r>
        <w:r>
          <w:rPr>
            <w:noProof/>
            <w:webHidden/>
          </w:rPr>
          <w:instrText xml:space="preserve"> PAGEREF _Toc474430100 \h </w:instrText>
        </w:r>
        <w:r>
          <w:rPr>
            <w:noProof/>
            <w:webHidden/>
          </w:rPr>
        </w:r>
        <w:r>
          <w:rPr>
            <w:noProof/>
            <w:webHidden/>
          </w:rPr>
          <w:fldChar w:fldCharType="separate"/>
        </w:r>
        <w:r>
          <w:rPr>
            <w:noProof/>
            <w:webHidden/>
          </w:rPr>
          <w:t>19</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01" w:history="1">
        <w:r w:rsidRPr="00D60732">
          <w:rPr>
            <w:rStyle w:val="Lienhypertexte"/>
            <w:noProof/>
            <w:lang w:val="en-US"/>
          </w:rPr>
          <w:t>1.5 Risk Consideration for Decision Making</w:t>
        </w:r>
        <w:r>
          <w:rPr>
            <w:noProof/>
            <w:webHidden/>
          </w:rPr>
          <w:tab/>
        </w:r>
        <w:r>
          <w:rPr>
            <w:noProof/>
            <w:webHidden/>
          </w:rPr>
          <w:fldChar w:fldCharType="begin"/>
        </w:r>
        <w:r>
          <w:rPr>
            <w:noProof/>
            <w:webHidden/>
          </w:rPr>
          <w:instrText xml:space="preserve"> PAGEREF _Toc474430101 \h </w:instrText>
        </w:r>
        <w:r>
          <w:rPr>
            <w:noProof/>
            <w:webHidden/>
          </w:rPr>
        </w:r>
        <w:r>
          <w:rPr>
            <w:noProof/>
            <w:webHidden/>
          </w:rPr>
          <w:fldChar w:fldCharType="separate"/>
        </w:r>
        <w:r>
          <w:rPr>
            <w:noProof/>
            <w:webHidden/>
          </w:rPr>
          <w:t>22</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02" w:history="1">
        <w:r w:rsidRPr="00D60732">
          <w:rPr>
            <w:rStyle w:val="Lienhypertexte"/>
            <w:noProof/>
            <w:lang w:val="en-US"/>
          </w:rPr>
          <w:t>1.6 Structure of the Report</w:t>
        </w:r>
        <w:r>
          <w:rPr>
            <w:noProof/>
            <w:webHidden/>
          </w:rPr>
          <w:tab/>
        </w:r>
        <w:r>
          <w:rPr>
            <w:noProof/>
            <w:webHidden/>
          </w:rPr>
          <w:fldChar w:fldCharType="begin"/>
        </w:r>
        <w:r>
          <w:rPr>
            <w:noProof/>
            <w:webHidden/>
          </w:rPr>
          <w:instrText xml:space="preserve"> PAGEREF _Toc474430102 \h </w:instrText>
        </w:r>
        <w:r>
          <w:rPr>
            <w:noProof/>
            <w:webHidden/>
          </w:rPr>
        </w:r>
        <w:r>
          <w:rPr>
            <w:noProof/>
            <w:webHidden/>
          </w:rPr>
          <w:fldChar w:fldCharType="separate"/>
        </w:r>
        <w:r>
          <w:rPr>
            <w:noProof/>
            <w:webHidden/>
          </w:rPr>
          <w:t>24</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103" w:history="1">
        <w:r w:rsidRPr="00D60732">
          <w:rPr>
            <w:rStyle w:val="Lienhypertexte"/>
            <w:rFonts w:eastAsia="Batang"/>
            <w:noProof/>
            <w:lang w:val="en-US"/>
          </w:rPr>
          <w:t>2 Risk Metrics for Level 1 PSA</w:t>
        </w:r>
        <w:r>
          <w:rPr>
            <w:noProof/>
            <w:webHidden/>
          </w:rPr>
          <w:tab/>
        </w:r>
        <w:r>
          <w:rPr>
            <w:noProof/>
            <w:webHidden/>
          </w:rPr>
          <w:fldChar w:fldCharType="begin"/>
        </w:r>
        <w:r>
          <w:rPr>
            <w:noProof/>
            <w:webHidden/>
          </w:rPr>
          <w:instrText xml:space="preserve"> PAGEREF _Toc474430103 \h </w:instrText>
        </w:r>
        <w:r>
          <w:rPr>
            <w:noProof/>
            <w:webHidden/>
          </w:rPr>
        </w:r>
        <w:r>
          <w:rPr>
            <w:noProof/>
            <w:webHidden/>
          </w:rPr>
          <w:fldChar w:fldCharType="separate"/>
        </w:r>
        <w:r>
          <w:rPr>
            <w:noProof/>
            <w:webHidden/>
          </w:rPr>
          <w:t>24</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04" w:history="1">
        <w:r w:rsidRPr="00D60732">
          <w:rPr>
            <w:rStyle w:val="Lienhypertexte"/>
            <w:rFonts w:eastAsia="Batang"/>
            <w:noProof/>
            <w:lang w:val="en-US"/>
          </w:rPr>
          <w:t>2.1 Core Damage Frequency (CDF), time average</w:t>
        </w:r>
        <w:r>
          <w:rPr>
            <w:noProof/>
            <w:webHidden/>
          </w:rPr>
          <w:tab/>
        </w:r>
        <w:r>
          <w:rPr>
            <w:noProof/>
            <w:webHidden/>
          </w:rPr>
          <w:fldChar w:fldCharType="begin"/>
        </w:r>
        <w:r>
          <w:rPr>
            <w:noProof/>
            <w:webHidden/>
          </w:rPr>
          <w:instrText xml:space="preserve"> PAGEREF _Toc474430104 \h </w:instrText>
        </w:r>
        <w:r>
          <w:rPr>
            <w:noProof/>
            <w:webHidden/>
          </w:rPr>
        </w:r>
        <w:r>
          <w:rPr>
            <w:noProof/>
            <w:webHidden/>
          </w:rPr>
          <w:fldChar w:fldCharType="separate"/>
        </w:r>
        <w:r>
          <w:rPr>
            <w:noProof/>
            <w:webHidden/>
          </w:rPr>
          <w:t>25</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05" w:history="1">
        <w:r w:rsidRPr="00D60732">
          <w:rPr>
            <w:rStyle w:val="Lienhypertexte"/>
          </w:rPr>
          <w:t>2.1.1 Definition of Risk Measure</w:t>
        </w:r>
        <w:r>
          <w:rPr>
            <w:webHidden/>
          </w:rPr>
          <w:tab/>
        </w:r>
        <w:r>
          <w:rPr>
            <w:webHidden/>
          </w:rPr>
          <w:fldChar w:fldCharType="begin"/>
        </w:r>
        <w:r>
          <w:rPr>
            <w:webHidden/>
          </w:rPr>
          <w:instrText xml:space="preserve"> PAGEREF _Toc474430105 \h </w:instrText>
        </w:r>
        <w:r>
          <w:rPr>
            <w:webHidden/>
          </w:rPr>
        </w:r>
        <w:r>
          <w:rPr>
            <w:webHidden/>
          </w:rPr>
          <w:fldChar w:fldCharType="separate"/>
        </w:r>
        <w:r>
          <w:rPr>
            <w:webHidden/>
          </w:rPr>
          <w:t>25</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06" w:history="1">
        <w:r w:rsidRPr="00D60732">
          <w:rPr>
            <w:rStyle w:val="Lienhypertexte"/>
          </w:rPr>
          <w:t>2.1.2 Areas of application</w:t>
        </w:r>
        <w:r>
          <w:rPr>
            <w:webHidden/>
          </w:rPr>
          <w:tab/>
        </w:r>
        <w:r>
          <w:rPr>
            <w:webHidden/>
          </w:rPr>
          <w:fldChar w:fldCharType="begin"/>
        </w:r>
        <w:r>
          <w:rPr>
            <w:webHidden/>
          </w:rPr>
          <w:instrText xml:space="preserve"> PAGEREF _Toc474430106 \h </w:instrText>
        </w:r>
        <w:r>
          <w:rPr>
            <w:webHidden/>
          </w:rPr>
        </w:r>
        <w:r>
          <w:rPr>
            <w:webHidden/>
          </w:rPr>
          <w:fldChar w:fldCharType="separate"/>
        </w:r>
        <w:r>
          <w:rPr>
            <w:webHidden/>
          </w:rPr>
          <w:t>26</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07" w:history="1">
        <w:r w:rsidRPr="00D60732">
          <w:rPr>
            <w:rStyle w:val="Lienhypertexte"/>
          </w:rPr>
          <w:t>2.1.3 Discussion</w:t>
        </w:r>
        <w:r>
          <w:rPr>
            <w:webHidden/>
          </w:rPr>
          <w:tab/>
        </w:r>
        <w:r>
          <w:rPr>
            <w:webHidden/>
          </w:rPr>
          <w:fldChar w:fldCharType="begin"/>
        </w:r>
        <w:r>
          <w:rPr>
            <w:webHidden/>
          </w:rPr>
          <w:instrText xml:space="preserve"> PAGEREF _Toc474430107 \h </w:instrText>
        </w:r>
        <w:r>
          <w:rPr>
            <w:webHidden/>
          </w:rPr>
        </w:r>
        <w:r>
          <w:rPr>
            <w:webHidden/>
          </w:rPr>
          <w:fldChar w:fldCharType="separate"/>
        </w:r>
        <w:r>
          <w:rPr>
            <w:webHidden/>
          </w:rPr>
          <w:t>27</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08" w:history="1">
        <w:r w:rsidRPr="00D60732">
          <w:rPr>
            <w:rStyle w:val="Lienhypertexte"/>
          </w:rPr>
          <w:t>2.1.4 Limitation</w:t>
        </w:r>
        <w:r>
          <w:rPr>
            <w:webHidden/>
          </w:rPr>
          <w:tab/>
        </w:r>
        <w:r>
          <w:rPr>
            <w:webHidden/>
          </w:rPr>
          <w:fldChar w:fldCharType="begin"/>
        </w:r>
        <w:r>
          <w:rPr>
            <w:webHidden/>
          </w:rPr>
          <w:instrText xml:space="preserve"> PAGEREF _Toc474430108 \h </w:instrText>
        </w:r>
        <w:r>
          <w:rPr>
            <w:webHidden/>
          </w:rPr>
        </w:r>
        <w:r>
          <w:rPr>
            <w:webHidden/>
          </w:rPr>
          <w:fldChar w:fldCharType="separate"/>
        </w:r>
        <w:r>
          <w:rPr>
            <w:webHidden/>
          </w:rPr>
          <w:t>28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09" w:history="1">
        <w:r w:rsidRPr="00D60732">
          <w:rPr>
            <w:rStyle w:val="Lienhypertexte"/>
          </w:rPr>
          <w:t>2.1.5 ASAMPSA_E recommendation on CDF (Time Average)</w:t>
        </w:r>
        <w:r>
          <w:rPr>
            <w:webHidden/>
          </w:rPr>
          <w:tab/>
        </w:r>
        <w:r>
          <w:rPr>
            <w:webHidden/>
          </w:rPr>
          <w:fldChar w:fldCharType="begin"/>
        </w:r>
        <w:r>
          <w:rPr>
            <w:webHidden/>
          </w:rPr>
          <w:instrText xml:space="preserve"> PAGEREF _Toc474430109 \h </w:instrText>
        </w:r>
        <w:r>
          <w:rPr>
            <w:webHidden/>
          </w:rPr>
        </w:r>
        <w:r>
          <w:rPr>
            <w:webHidden/>
          </w:rPr>
          <w:fldChar w:fldCharType="separate"/>
        </w:r>
        <w:r>
          <w:rPr>
            <w:webHidden/>
          </w:rPr>
          <w:t>29</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10" w:history="1">
        <w:r w:rsidRPr="00D60732">
          <w:rPr>
            <w:rStyle w:val="Lienhypertexte"/>
            <w:rFonts w:eastAsia="Batang"/>
            <w:noProof/>
            <w:lang w:val="en-US"/>
          </w:rPr>
          <w:t>2.2 Core Damage Frequency, time dependent</w:t>
        </w:r>
        <w:r>
          <w:rPr>
            <w:noProof/>
            <w:webHidden/>
          </w:rPr>
          <w:tab/>
        </w:r>
        <w:r>
          <w:rPr>
            <w:noProof/>
            <w:webHidden/>
          </w:rPr>
          <w:fldChar w:fldCharType="begin"/>
        </w:r>
        <w:r>
          <w:rPr>
            <w:noProof/>
            <w:webHidden/>
          </w:rPr>
          <w:instrText xml:space="preserve"> PAGEREF _Toc474430110 \h </w:instrText>
        </w:r>
        <w:r>
          <w:rPr>
            <w:noProof/>
            <w:webHidden/>
          </w:rPr>
        </w:r>
        <w:r>
          <w:rPr>
            <w:noProof/>
            <w:webHidden/>
          </w:rPr>
          <w:fldChar w:fldCharType="separate"/>
        </w:r>
        <w:r>
          <w:rPr>
            <w:noProof/>
            <w:webHidden/>
          </w:rPr>
          <w:t>30</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11" w:history="1">
        <w:r w:rsidRPr="00D60732">
          <w:rPr>
            <w:rStyle w:val="Lienhypertexte"/>
          </w:rPr>
          <w:t>2.2.1 Definition of Risk Measure</w:t>
        </w:r>
        <w:r>
          <w:rPr>
            <w:webHidden/>
          </w:rPr>
          <w:tab/>
        </w:r>
        <w:r>
          <w:rPr>
            <w:webHidden/>
          </w:rPr>
          <w:fldChar w:fldCharType="begin"/>
        </w:r>
        <w:r>
          <w:rPr>
            <w:webHidden/>
          </w:rPr>
          <w:instrText xml:space="preserve"> PAGEREF _Toc474430111 \h </w:instrText>
        </w:r>
        <w:r>
          <w:rPr>
            <w:webHidden/>
          </w:rPr>
        </w:r>
        <w:r>
          <w:rPr>
            <w:webHidden/>
          </w:rPr>
          <w:fldChar w:fldCharType="separate"/>
        </w:r>
        <w:r>
          <w:rPr>
            <w:webHidden/>
          </w:rPr>
          <w:t>30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12" w:history="1">
        <w:r w:rsidRPr="00D60732">
          <w:rPr>
            <w:rStyle w:val="Lienhypertexte"/>
          </w:rPr>
          <w:t>2.2.2 Areas of application</w:t>
        </w:r>
        <w:r>
          <w:rPr>
            <w:webHidden/>
          </w:rPr>
          <w:tab/>
        </w:r>
        <w:r>
          <w:rPr>
            <w:webHidden/>
          </w:rPr>
          <w:fldChar w:fldCharType="begin"/>
        </w:r>
        <w:r>
          <w:rPr>
            <w:webHidden/>
          </w:rPr>
          <w:instrText xml:space="preserve"> PAGEREF _Toc474430112 \h </w:instrText>
        </w:r>
        <w:r>
          <w:rPr>
            <w:webHidden/>
          </w:rPr>
        </w:r>
        <w:r>
          <w:rPr>
            <w:webHidden/>
          </w:rPr>
          <w:fldChar w:fldCharType="separate"/>
        </w:r>
        <w:r>
          <w:rPr>
            <w:webHidden/>
          </w:rPr>
          <w:t>30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13" w:history="1">
        <w:r w:rsidRPr="00D60732">
          <w:rPr>
            <w:rStyle w:val="Lienhypertexte"/>
          </w:rPr>
          <w:t>2.2.3 Discussion</w:t>
        </w:r>
        <w:r>
          <w:rPr>
            <w:webHidden/>
          </w:rPr>
          <w:tab/>
        </w:r>
        <w:r>
          <w:rPr>
            <w:webHidden/>
          </w:rPr>
          <w:fldChar w:fldCharType="begin"/>
        </w:r>
        <w:r>
          <w:rPr>
            <w:webHidden/>
          </w:rPr>
          <w:instrText xml:space="preserve"> PAGEREF _Toc474430113 \h </w:instrText>
        </w:r>
        <w:r>
          <w:rPr>
            <w:webHidden/>
          </w:rPr>
        </w:r>
        <w:r>
          <w:rPr>
            <w:webHidden/>
          </w:rPr>
          <w:fldChar w:fldCharType="separate"/>
        </w:r>
        <w:r>
          <w:rPr>
            <w:webHidden/>
          </w:rPr>
          <w:t>30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14" w:history="1">
        <w:r w:rsidRPr="00D60732">
          <w:rPr>
            <w:rStyle w:val="Lienhypertexte"/>
          </w:rPr>
          <w:t>2.2.4 Limitation</w:t>
        </w:r>
        <w:r>
          <w:rPr>
            <w:webHidden/>
          </w:rPr>
          <w:tab/>
        </w:r>
        <w:r>
          <w:rPr>
            <w:webHidden/>
          </w:rPr>
          <w:fldChar w:fldCharType="begin"/>
        </w:r>
        <w:r>
          <w:rPr>
            <w:webHidden/>
          </w:rPr>
          <w:instrText xml:space="preserve"> PAGEREF _Toc474430114 \h </w:instrText>
        </w:r>
        <w:r>
          <w:rPr>
            <w:webHidden/>
          </w:rPr>
        </w:r>
        <w:r>
          <w:rPr>
            <w:webHidden/>
          </w:rPr>
          <w:fldChar w:fldCharType="separate"/>
        </w:r>
        <w:r>
          <w:rPr>
            <w:webHidden/>
          </w:rPr>
          <w:t>31</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15" w:history="1">
        <w:r w:rsidRPr="00D60732">
          <w:rPr>
            <w:rStyle w:val="Lienhypertexte"/>
          </w:rPr>
          <w:t>2.2.5 ASAMPSA_E recommendation on CDF (Time Dependent)</w:t>
        </w:r>
        <w:r>
          <w:rPr>
            <w:webHidden/>
          </w:rPr>
          <w:tab/>
        </w:r>
        <w:r>
          <w:rPr>
            <w:webHidden/>
          </w:rPr>
          <w:fldChar w:fldCharType="begin"/>
        </w:r>
        <w:r>
          <w:rPr>
            <w:webHidden/>
          </w:rPr>
          <w:instrText xml:space="preserve"> PAGEREF _Toc474430115 \h </w:instrText>
        </w:r>
        <w:r>
          <w:rPr>
            <w:webHidden/>
          </w:rPr>
        </w:r>
        <w:r>
          <w:rPr>
            <w:webHidden/>
          </w:rPr>
          <w:fldChar w:fldCharType="separate"/>
        </w:r>
        <w:r>
          <w:rPr>
            <w:webHidden/>
          </w:rPr>
          <w:t>31</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16" w:history="1">
        <w:r w:rsidRPr="00D60732">
          <w:rPr>
            <w:rStyle w:val="Lienhypertexte"/>
            <w:rFonts w:eastAsia="Batang"/>
            <w:noProof/>
            <w:lang w:val="en-US"/>
          </w:rPr>
          <w:t>2.3 Change in CDF (Time Average and Time Dependent)</w:t>
        </w:r>
        <w:r>
          <w:rPr>
            <w:noProof/>
            <w:webHidden/>
          </w:rPr>
          <w:tab/>
        </w:r>
        <w:r>
          <w:rPr>
            <w:noProof/>
            <w:webHidden/>
          </w:rPr>
          <w:fldChar w:fldCharType="begin"/>
        </w:r>
        <w:r>
          <w:rPr>
            <w:noProof/>
            <w:webHidden/>
          </w:rPr>
          <w:instrText xml:space="preserve"> PAGEREF _Toc474430116 \h </w:instrText>
        </w:r>
        <w:r>
          <w:rPr>
            <w:noProof/>
            <w:webHidden/>
          </w:rPr>
        </w:r>
        <w:r>
          <w:rPr>
            <w:noProof/>
            <w:webHidden/>
          </w:rPr>
          <w:fldChar w:fldCharType="separate"/>
        </w:r>
        <w:r>
          <w:rPr>
            <w:noProof/>
            <w:webHidden/>
          </w:rPr>
          <w:t>31</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17" w:history="1">
        <w:r w:rsidRPr="00D60732">
          <w:rPr>
            <w:rStyle w:val="Lienhypertexte"/>
          </w:rPr>
          <w:t>2.3.1 Definition of Risk Measure</w:t>
        </w:r>
        <w:r>
          <w:rPr>
            <w:webHidden/>
          </w:rPr>
          <w:tab/>
        </w:r>
        <w:r>
          <w:rPr>
            <w:webHidden/>
          </w:rPr>
          <w:fldChar w:fldCharType="begin"/>
        </w:r>
        <w:r>
          <w:rPr>
            <w:webHidden/>
          </w:rPr>
          <w:instrText xml:space="preserve"> PAGEREF _Toc474430117 \h </w:instrText>
        </w:r>
        <w:r>
          <w:rPr>
            <w:webHidden/>
          </w:rPr>
        </w:r>
        <w:r>
          <w:rPr>
            <w:webHidden/>
          </w:rPr>
          <w:fldChar w:fldCharType="separate"/>
        </w:r>
        <w:r>
          <w:rPr>
            <w:webHidden/>
          </w:rPr>
          <w:t>32</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18" w:history="1">
        <w:r w:rsidRPr="00D60732">
          <w:rPr>
            <w:rStyle w:val="Lienhypertexte"/>
          </w:rPr>
          <w:t>2.3.2 Areas of application:</w:t>
        </w:r>
        <w:r>
          <w:rPr>
            <w:webHidden/>
          </w:rPr>
          <w:tab/>
        </w:r>
        <w:r>
          <w:rPr>
            <w:webHidden/>
          </w:rPr>
          <w:fldChar w:fldCharType="begin"/>
        </w:r>
        <w:r>
          <w:rPr>
            <w:webHidden/>
          </w:rPr>
          <w:instrText xml:space="preserve"> PAGEREF _Toc474430118 \h </w:instrText>
        </w:r>
        <w:r>
          <w:rPr>
            <w:webHidden/>
          </w:rPr>
        </w:r>
        <w:r>
          <w:rPr>
            <w:webHidden/>
          </w:rPr>
          <w:fldChar w:fldCharType="separate"/>
        </w:r>
        <w:r>
          <w:rPr>
            <w:webHidden/>
          </w:rPr>
          <w:t>32</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19" w:history="1">
        <w:r w:rsidRPr="00D60732">
          <w:rPr>
            <w:rStyle w:val="Lienhypertexte"/>
          </w:rPr>
          <w:t>2.3.3 Discussion</w:t>
        </w:r>
        <w:r>
          <w:rPr>
            <w:webHidden/>
          </w:rPr>
          <w:tab/>
        </w:r>
        <w:r>
          <w:rPr>
            <w:webHidden/>
          </w:rPr>
          <w:fldChar w:fldCharType="begin"/>
        </w:r>
        <w:r>
          <w:rPr>
            <w:webHidden/>
          </w:rPr>
          <w:instrText xml:space="preserve"> PAGEREF _Toc474430119 \h </w:instrText>
        </w:r>
        <w:r>
          <w:rPr>
            <w:webHidden/>
          </w:rPr>
        </w:r>
        <w:r>
          <w:rPr>
            <w:webHidden/>
          </w:rPr>
          <w:fldChar w:fldCharType="separate"/>
        </w:r>
        <w:r>
          <w:rPr>
            <w:webHidden/>
          </w:rPr>
          <w:t>33</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20" w:history="1">
        <w:r w:rsidRPr="00D60732">
          <w:rPr>
            <w:rStyle w:val="Lienhypertexte"/>
          </w:rPr>
          <w:t>2.3.4 Limitation</w:t>
        </w:r>
        <w:r>
          <w:rPr>
            <w:webHidden/>
          </w:rPr>
          <w:tab/>
        </w:r>
        <w:r>
          <w:rPr>
            <w:webHidden/>
          </w:rPr>
          <w:fldChar w:fldCharType="begin"/>
        </w:r>
        <w:r>
          <w:rPr>
            <w:webHidden/>
          </w:rPr>
          <w:instrText xml:space="preserve"> PAGEREF _Toc474430120 \h </w:instrText>
        </w:r>
        <w:r>
          <w:rPr>
            <w:webHidden/>
          </w:rPr>
        </w:r>
        <w:r>
          <w:rPr>
            <w:webHidden/>
          </w:rPr>
          <w:fldChar w:fldCharType="separate"/>
        </w:r>
        <w:r>
          <w:rPr>
            <w:webHidden/>
          </w:rPr>
          <w:t>34</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21" w:history="1">
        <w:r w:rsidRPr="00D60732">
          <w:rPr>
            <w:rStyle w:val="Lienhypertexte"/>
          </w:rPr>
          <w:t>2.3.5 ASAMPSA_E recommendation on Change in CDF</w:t>
        </w:r>
        <w:r>
          <w:rPr>
            <w:webHidden/>
          </w:rPr>
          <w:tab/>
        </w:r>
        <w:r>
          <w:rPr>
            <w:webHidden/>
          </w:rPr>
          <w:fldChar w:fldCharType="begin"/>
        </w:r>
        <w:r>
          <w:rPr>
            <w:webHidden/>
          </w:rPr>
          <w:instrText xml:space="preserve"> PAGEREF _Toc474430121 \h </w:instrText>
        </w:r>
        <w:r>
          <w:rPr>
            <w:webHidden/>
          </w:rPr>
        </w:r>
        <w:r>
          <w:rPr>
            <w:webHidden/>
          </w:rPr>
          <w:fldChar w:fldCharType="separate"/>
        </w:r>
        <w:r>
          <w:rPr>
            <w:webHidden/>
          </w:rPr>
          <w:t>34</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22" w:history="1">
        <w:r w:rsidRPr="00D60732">
          <w:rPr>
            <w:rStyle w:val="Lienhypertexte"/>
            <w:rFonts w:eastAsia="Batang"/>
            <w:noProof/>
            <w:lang w:val="en-US"/>
          </w:rPr>
          <w:t>2.4 Conditional Core Damage Probability (CCDP)</w:t>
        </w:r>
        <w:r>
          <w:rPr>
            <w:noProof/>
            <w:webHidden/>
          </w:rPr>
          <w:tab/>
        </w:r>
        <w:r>
          <w:rPr>
            <w:noProof/>
            <w:webHidden/>
          </w:rPr>
          <w:fldChar w:fldCharType="begin"/>
        </w:r>
        <w:r>
          <w:rPr>
            <w:noProof/>
            <w:webHidden/>
          </w:rPr>
          <w:instrText xml:space="preserve"> PAGEREF _Toc474430122 \h </w:instrText>
        </w:r>
        <w:r>
          <w:rPr>
            <w:noProof/>
            <w:webHidden/>
          </w:rPr>
        </w:r>
        <w:r>
          <w:rPr>
            <w:noProof/>
            <w:webHidden/>
          </w:rPr>
          <w:fldChar w:fldCharType="separate"/>
        </w:r>
        <w:r>
          <w:rPr>
            <w:noProof/>
            <w:webHidden/>
          </w:rPr>
          <w:t>34</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23" w:history="1">
        <w:r w:rsidRPr="00D60732">
          <w:rPr>
            <w:rStyle w:val="Lienhypertexte"/>
          </w:rPr>
          <w:t>2.4.1 Definition of Risk Measure</w:t>
        </w:r>
        <w:r>
          <w:rPr>
            <w:webHidden/>
          </w:rPr>
          <w:tab/>
        </w:r>
        <w:r>
          <w:rPr>
            <w:webHidden/>
          </w:rPr>
          <w:fldChar w:fldCharType="begin"/>
        </w:r>
        <w:r>
          <w:rPr>
            <w:webHidden/>
          </w:rPr>
          <w:instrText xml:space="preserve"> PAGEREF _Toc474430123 \h </w:instrText>
        </w:r>
        <w:r>
          <w:rPr>
            <w:webHidden/>
          </w:rPr>
        </w:r>
        <w:r>
          <w:rPr>
            <w:webHidden/>
          </w:rPr>
          <w:fldChar w:fldCharType="separate"/>
        </w:r>
        <w:r>
          <w:rPr>
            <w:webHidden/>
          </w:rPr>
          <w:t>34</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24" w:history="1">
        <w:r w:rsidRPr="00D60732">
          <w:rPr>
            <w:rStyle w:val="Lienhypertexte"/>
          </w:rPr>
          <w:t>2.4.2 Areas of application:</w:t>
        </w:r>
        <w:r>
          <w:rPr>
            <w:webHidden/>
          </w:rPr>
          <w:tab/>
        </w:r>
        <w:r>
          <w:rPr>
            <w:webHidden/>
          </w:rPr>
          <w:fldChar w:fldCharType="begin"/>
        </w:r>
        <w:r>
          <w:rPr>
            <w:webHidden/>
          </w:rPr>
          <w:instrText xml:space="preserve"> PAGEREF _Toc474430124 \h </w:instrText>
        </w:r>
        <w:r>
          <w:rPr>
            <w:webHidden/>
          </w:rPr>
        </w:r>
        <w:r>
          <w:rPr>
            <w:webHidden/>
          </w:rPr>
          <w:fldChar w:fldCharType="separate"/>
        </w:r>
        <w:r>
          <w:rPr>
            <w:webHidden/>
          </w:rPr>
          <w:t>36</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25" w:history="1">
        <w:r w:rsidRPr="00D60732">
          <w:rPr>
            <w:rStyle w:val="Lienhypertexte"/>
          </w:rPr>
          <w:t>2.4.3 Discussion</w:t>
        </w:r>
        <w:r>
          <w:rPr>
            <w:webHidden/>
          </w:rPr>
          <w:tab/>
        </w:r>
        <w:r>
          <w:rPr>
            <w:webHidden/>
          </w:rPr>
          <w:fldChar w:fldCharType="begin"/>
        </w:r>
        <w:r>
          <w:rPr>
            <w:webHidden/>
          </w:rPr>
          <w:instrText xml:space="preserve"> PAGEREF _Toc474430125 \h </w:instrText>
        </w:r>
        <w:r>
          <w:rPr>
            <w:webHidden/>
          </w:rPr>
        </w:r>
        <w:r>
          <w:rPr>
            <w:webHidden/>
          </w:rPr>
          <w:fldChar w:fldCharType="separate"/>
        </w:r>
        <w:r>
          <w:rPr>
            <w:webHidden/>
          </w:rPr>
          <w:t>36</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26" w:history="1">
        <w:r w:rsidRPr="00D60732">
          <w:rPr>
            <w:rStyle w:val="Lienhypertexte"/>
          </w:rPr>
          <w:t>2.4.4 Limitation</w:t>
        </w:r>
        <w:r>
          <w:rPr>
            <w:webHidden/>
          </w:rPr>
          <w:tab/>
        </w:r>
        <w:r>
          <w:rPr>
            <w:webHidden/>
          </w:rPr>
          <w:fldChar w:fldCharType="begin"/>
        </w:r>
        <w:r>
          <w:rPr>
            <w:webHidden/>
          </w:rPr>
          <w:instrText xml:space="preserve"> PAGEREF _Toc474430126 \h </w:instrText>
        </w:r>
        <w:r>
          <w:rPr>
            <w:webHidden/>
          </w:rPr>
        </w:r>
        <w:r>
          <w:rPr>
            <w:webHidden/>
          </w:rPr>
          <w:fldChar w:fldCharType="separate"/>
        </w:r>
        <w:r>
          <w:rPr>
            <w:webHidden/>
          </w:rPr>
          <w:t>37</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27" w:history="1">
        <w:r w:rsidRPr="00D60732">
          <w:rPr>
            <w:rStyle w:val="Lienhypertexte"/>
          </w:rPr>
          <w:t>2.4.5 ASAMPSA_E recommendation on CCDP</w:t>
        </w:r>
        <w:r>
          <w:rPr>
            <w:webHidden/>
          </w:rPr>
          <w:tab/>
        </w:r>
        <w:r>
          <w:rPr>
            <w:webHidden/>
          </w:rPr>
          <w:fldChar w:fldCharType="begin"/>
        </w:r>
        <w:r>
          <w:rPr>
            <w:webHidden/>
          </w:rPr>
          <w:instrText xml:space="preserve"> PAGEREF _Toc474430127 \h </w:instrText>
        </w:r>
        <w:r>
          <w:rPr>
            <w:webHidden/>
          </w:rPr>
        </w:r>
        <w:r>
          <w:rPr>
            <w:webHidden/>
          </w:rPr>
          <w:fldChar w:fldCharType="separate"/>
        </w:r>
        <w:r>
          <w:rPr>
            <w:webHidden/>
          </w:rPr>
          <w:t>37</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28" w:history="1">
        <w:r w:rsidRPr="00D60732">
          <w:rPr>
            <w:rStyle w:val="Lienhypertexte"/>
            <w:rFonts w:eastAsia="Batang"/>
            <w:noProof/>
            <w:lang w:val="en-US"/>
          </w:rPr>
          <w:t>2.5 Conditional Core Damage Frequency (CCDF)</w:t>
        </w:r>
        <w:r>
          <w:rPr>
            <w:noProof/>
            <w:webHidden/>
          </w:rPr>
          <w:tab/>
        </w:r>
        <w:r>
          <w:rPr>
            <w:noProof/>
            <w:webHidden/>
          </w:rPr>
          <w:fldChar w:fldCharType="begin"/>
        </w:r>
        <w:r>
          <w:rPr>
            <w:noProof/>
            <w:webHidden/>
          </w:rPr>
          <w:instrText xml:space="preserve"> PAGEREF _Toc474430128 \h </w:instrText>
        </w:r>
        <w:r>
          <w:rPr>
            <w:noProof/>
            <w:webHidden/>
          </w:rPr>
        </w:r>
        <w:r>
          <w:rPr>
            <w:noProof/>
            <w:webHidden/>
          </w:rPr>
          <w:fldChar w:fldCharType="separate"/>
        </w:r>
        <w:r>
          <w:rPr>
            <w:noProof/>
            <w:webHidden/>
          </w:rPr>
          <w:t>37</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29" w:history="1">
        <w:r w:rsidRPr="00D60732">
          <w:rPr>
            <w:rStyle w:val="Lienhypertexte"/>
          </w:rPr>
          <w:t>2.5.1 Definition of Risk Measure</w:t>
        </w:r>
        <w:r>
          <w:rPr>
            <w:webHidden/>
          </w:rPr>
          <w:tab/>
        </w:r>
        <w:r>
          <w:rPr>
            <w:webHidden/>
          </w:rPr>
          <w:fldChar w:fldCharType="begin"/>
        </w:r>
        <w:r>
          <w:rPr>
            <w:webHidden/>
          </w:rPr>
          <w:instrText xml:space="preserve"> PAGEREF _Toc474430129 \h </w:instrText>
        </w:r>
        <w:r>
          <w:rPr>
            <w:webHidden/>
          </w:rPr>
        </w:r>
        <w:r>
          <w:rPr>
            <w:webHidden/>
          </w:rPr>
          <w:fldChar w:fldCharType="separate"/>
        </w:r>
        <w:r>
          <w:rPr>
            <w:webHidden/>
          </w:rPr>
          <w:t>37</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30" w:history="1">
        <w:r w:rsidRPr="00D60732">
          <w:rPr>
            <w:rStyle w:val="Lienhypertexte"/>
          </w:rPr>
          <w:t>2.5.2 Areas of application:</w:t>
        </w:r>
        <w:r>
          <w:rPr>
            <w:webHidden/>
          </w:rPr>
          <w:tab/>
        </w:r>
        <w:r>
          <w:rPr>
            <w:webHidden/>
          </w:rPr>
          <w:fldChar w:fldCharType="begin"/>
        </w:r>
        <w:r>
          <w:rPr>
            <w:webHidden/>
          </w:rPr>
          <w:instrText xml:space="preserve"> PAGEREF _Toc474430130 \h </w:instrText>
        </w:r>
        <w:r>
          <w:rPr>
            <w:webHidden/>
          </w:rPr>
        </w:r>
        <w:r>
          <w:rPr>
            <w:webHidden/>
          </w:rPr>
          <w:fldChar w:fldCharType="separate"/>
        </w:r>
        <w:r>
          <w:rPr>
            <w:webHidden/>
          </w:rPr>
          <w:t>38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31" w:history="1">
        <w:r w:rsidRPr="00D60732">
          <w:rPr>
            <w:rStyle w:val="Lienhypertexte"/>
          </w:rPr>
          <w:t>2.5.3 Discussion</w:t>
        </w:r>
        <w:r>
          <w:rPr>
            <w:webHidden/>
          </w:rPr>
          <w:tab/>
        </w:r>
        <w:r>
          <w:rPr>
            <w:webHidden/>
          </w:rPr>
          <w:fldChar w:fldCharType="begin"/>
        </w:r>
        <w:r>
          <w:rPr>
            <w:webHidden/>
          </w:rPr>
          <w:instrText xml:space="preserve"> PAGEREF _Toc474430131 \h </w:instrText>
        </w:r>
        <w:r>
          <w:rPr>
            <w:webHidden/>
          </w:rPr>
        </w:r>
        <w:r>
          <w:rPr>
            <w:webHidden/>
          </w:rPr>
          <w:fldChar w:fldCharType="separate"/>
        </w:r>
        <w:r>
          <w:rPr>
            <w:webHidden/>
          </w:rPr>
          <w:t>38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32" w:history="1">
        <w:r w:rsidRPr="00D60732">
          <w:rPr>
            <w:rStyle w:val="Lienhypertexte"/>
          </w:rPr>
          <w:t>2.5.4 Limitation</w:t>
        </w:r>
        <w:r>
          <w:rPr>
            <w:webHidden/>
          </w:rPr>
          <w:tab/>
        </w:r>
        <w:r>
          <w:rPr>
            <w:webHidden/>
          </w:rPr>
          <w:fldChar w:fldCharType="begin"/>
        </w:r>
        <w:r>
          <w:rPr>
            <w:webHidden/>
          </w:rPr>
          <w:instrText xml:space="preserve"> PAGEREF _Toc474430132 \h </w:instrText>
        </w:r>
        <w:r>
          <w:rPr>
            <w:webHidden/>
          </w:rPr>
        </w:r>
        <w:r>
          <w:rPr>
            <w:webHidden/>
          </w:rPr>
          <w:fldChar w:fldCharType="separate"/>
        </w:r>
        <w:r>
          <w:rPr>
            <w:webHidden/>
          </w:rPr>
          <w:t>38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33" w:history="1">
        <w:r w:rsidRPr="00D60732">
          <w:rPr>
            <w:rStyle w:val="Lienhypertexte"/>
          </w:rPr>
          <w:t>2.5.5 ASAMPSA_E recommendation on CCDF</w:t>
        </w:r>
        <w:r>
          <w:rPr>
            <w:webHidden/>
          </w:rPr>
          <w:tab/>
        </w:r>
        <w:r>
          <w:rPr>
            <w:webHidden/>
          </w:rPr>
          <w:fldChar w:fldCharType="begin"/>
        </w:r>
        <w:r>
          <w:rPr>
            <w:webHidden/>
          </w:rPr>
          <w:instrText xml:space="preserve"> PAGEREF _Toc474430133 \h </w:instrText>
        </w:r>
        <w:r>
          <w:rPr>
            <w:webHidden/>
          </w:rPr>
        </w:r>
        <w:r>
          <w:rPr>
            <w:webHidden/>
          </w:rPr>
          <w:fldChar w:fldCharType="separate"/>
        </w:r>
        <w:r>
          <w:rPr>
            <w:webHidden/>
          </w:rPr>
          <w:t>39</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34" w:history="1">
        <w:r w:rsidRPr="00D60732">
          <w:rPr>
            <w:rStyle w:val="Lienhypertexte"/>
            <w:rFonts w:eastAsia="Batang"/>
            <w:noProof/>
            <w:lang w:val="en-US"/>
          </w:rPr>
          <w:t>2.6 Importance Risk Measures</w:t>
        </w:r>
        <w:r>
          <w:rPr>
            <w:noProof/>
            <w:webHidden/>
          </w:rPr>
          <w:tab/>
        </w:r>
        <w:r>
          <w:rPr>
            <w:noProof/>
            <w:webHidden/>
          </w:rPr>
          <w:fldChar w:fldCharType="begin"/>
        </w:r>
        <w:r>
          <w:rPr>
            <w:noProof/>
            <w:webHidden/>
          </w:rPr>
          <w:instrText xml:space="preserve"> PAGEREF _Toc474430134 \h </w:instrText>
        </w:r>
        <w:r>
          <w:rPr>
            <w:noProof/>
            <w:webHidden/>
          </w:rPr>
        </w:r>
        <w:r>
          <w:rPr>
            <w:noProof/>
            <w:webHidden/>
          </w:rPr>
          <w:fldChar w:fldCharType="separate"/>
        </w:r>
        <w:r>
          <w:rPr>
            <w:noProof/>
            <w:webHidden/>
          </w:rPr>
          <w:t>39</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35" w:history="1">
        <w:r w:rsidRPr="00D60732">
          <w:rPr>
            <w:rStyle w:val="Lienhypertexte"/>
          </w:rPr>
          <w:t>2.6.1 Definition of Risk Measures</w:t>
        </w:r>
        <w:r>
          <w:rPr>
            <w:webHidden/>
          </w:rPr>
          <w:tab/>
        </w:r>
        <w:r>
          <w:rPr>
            <w:webHidden/>
          </w:rPr>
          <w:fldChar w:fldCharType="begin"/>
        </w:r>
        <w:r>
          <w:rPr>
            <w:webHidden/>
          </w:rPr>
          <w:instrText xml:space="preserve"> PAGEREF _Toc474430135 \h </w:instrText>
        </w:r>
        <w:r>
          <w:rPr>
            <w:webHidden/>
          </w:rPr>
        </w:r>
        <w:r>
          <w:rPr>
            <w:webHidden/>
          </w:rPr>
          <w:fldChar w:fldCharType="separate"/>
        </w:r>
        <w:r>
          <w:rPr>
            <w:webHidden/>
          </w:rPr>
          <w:t>39</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36" w:history="1">
        <w:r w:rsidRPr="00D60732">
          <w:rPr>
            <w:rStyle w:val="Lienhypertexte"/>
          </w:rPr>
          <w:t>2.6.2 Areas of application</w:t>
        </w:r>
        <w:r>
          <w:rPr>
            <w:webHidden/>
          </w:rPr>
          <w:tab/>
        </w:r>
        <w:r>
          <w:rPr>
            <w:webHidden/>
          </w:rPr>
          <w:fldChar w:fldCharType="begin"/>
        </w:r>
        <w:r>
          <w:rPr>
            <w:webHidden/>
          </w:rPr>
          <w:instrText xml:space="preserve"> PAGEREF _Toc474430136 \h </w:instrText>
        </w:r>
        <w:r>
          <w:rPr>
            <w:webHidden/>
          </w:rPr>
        </w:r>
        <w:r>
          <w:rPr>
            <w:webHidden/>
          </w:rPr>
          <w:fldChar w:fldCharType="separate"/>
        </w:r>
        <w:r>
          <w:rPr>
            <w:webHidden/>
          </w:rPr>
          <w:t>40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37" w:history="1">
        <w:r w:rsidRPr="00D60732">
          <w:rPr>
            <w:rStyle w:val="Lienhypertexte"/>
          </w:rPr>
          <w:t>2.6.3 Discussion</w:t>
        </w:r>
        <w:r>
          <w:rPr>
            <w:webHidden/>
          </w:rPr>
          <w:tab/>
        </w:r>
        <w:r>
          <w:rPr>
            <w:webHidden/>
          </w:rPr>
          <w:fldChar w:fldCharType="begin"/>
        </w:r>
        <w:r>
          <w:rPr>
            <w:webHidden/>
          </w:rPr>
          <w:instrText xml:space="preserve"> PAGEREF _Toc474430137 \h </w:instrText>
        </w:r>
        <w:r>
          <w:rPr>
            <w:webHidden/>
          </w:rPr>
        </w:r>
        <w:r>
          <w:rPr>
            <w:webHidden/>
          </w:rPr>
          <w:fldChar w:fldCharType="separate"/>
        </w:r>
        <w:r>
          <w:rPr>
            <w:webHidden/>
          </w:rPr>
          <w:t>41</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38" w:history="1">
        <w:r w:rsidRPr="00D60732">
          <w:rPr>
            <w:rStyle w:val="Lienhypertexte"/>
          </w:rPr>
          <w:t>2.6.4 Limitation</w:t>
        </w:r>
        <w:r>
          <w:rPr>
            <w:webHidden/>
          </w:rPr>
          <w:tab/>
        </w:r>
        <w:r>
          <w:rPr>
            <w:webHidden/>
          </w:rPr>
          <w:fldChar w:fldCharType="begin"/>
        </w:r>
        <w:r>
          <w:rPr>
            <w:webHidden/>
          </w:rPr>
          <w:instrText xml:space="preserve"> PAGEREF _Toc474430138 \h </w:instrText>
        </w:r>
        <w:r>
          <w:rPr>
            <w:webHidden/>
          </w:rPr>
        </w:r>
        <w:r>
          <w:rPr>
            <w:webHidden/>
          </w:rPr>
          <w:fldChar w:fldCharType="separate"/>
        </w:r>
        <w:r>
          <w:rPr>
            <w:webHidden/>
          </w:rPr>
          <w:t>42</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39" w:history="1">
        <w:r w:rsidRPr="00D60732">
          <w:rPr>
            <w:rStyle w:val="Lienhypertexte"/>
            <w:rFonts w:eastAsia="Batang"/>
            <w:noProof/>
            <w:lang w:val="en-US"/>
          </w:rPr>
          <w:t>2.7 Differential Importance Measures</w:t>
        </w:r>
        <w:r>
          <w:rPr>
            <w:noProof/>
            <w:webHidden/>
          </w:rPr>
          <w:tab/>
        </w:r>
        <w:r>
          <w:rPr>
            <w:noProof/>
            <w:webHidden/>
          </w:rPr>
          <w:fldChar w:fldCharType="begin"/>
        </w:r>
        <w:r>
          <w:rPr>
            <w:noProof/>
            <w:webHidden/>
          </w:rPr>
          <w:instrText xml:space="preserve"> PAGEREF _Toc474430139 \h </w:instrText>
        </w:r>
        <w:r>
          <w:rPr>
            <w:noProof/>
            <w:webHidden/>
          </w:rPr>
        </w:r>
        <w:r>
          <w:rPr>
            <w:noProof/>
            <w:webHidden/>
          </w:rPr>
          <w:fldChar w:fldCharType="separate"/>
        </w:r>
        <w:r>
          <w:rPr>
            <w:noProof/>
            <w:webHidden/>
          </w:rPr>
          <w:t>43</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40" w:history="1">
        <w:r w:rsidRPr="00D60732">
          <w:rPr>
            <w:rStyle w:val="Lienhypertexte"/>
          </w:rPr>
          <w:t>2.7.1 Definition of Risk Measure</w:t>
        </w:r>
        <w:r>
          <w:rPr>
            <w:webHidden/>
          </w:rPr>
          <w:tab/>
        </w:r>
        <w:r>
          <w:rPr>
            <w:webHidden/>
          </w:rPr>
          <w:fldChar w:fldCharType="begin"/>
        </w:r>
        <w:r>
          <w:rPr>
            <w:webHidden/>
          </w:rPr>
          <w:instrText xml:space="preserve"> PAGEREF _Toc474430140 \h </w:instrText>
        </w:r>
        <w:r>
          <w:rPr>
            <w:webHidden/>
          </w:rPr>
        </w:r>
        <w:r>
          <w:rPr>
            <w:webHidden/>
          </w:rPr>
          <w:fldChar w:fldCharType="separate"/>
        </w:r>
        <w:r>
          <w:rPr>
            <w:webHidden/>
          </w:rPr>
          <w:t>43</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41" w:history="1">
        <w:r w:rsidRPr="00D60732">
          <w:rPr>
            <w:rStyle w:val="Lienhypertexte"/>
          </w:rPr>
          <w:t>2.7.2 Areas of application</w:t>
        </w:r>
        <w:r>
          <w:rPr>
            <w:webHidden/>
          </w:rPr>
          <w:tab/>
        </w:r>
        <w:r>
          <w:rPr>
            <w:webHidden/>
          </w:rPr>
          <w:fldChar w:fldCharType="begin"/>
        </w:r>
        <w:r>
          <w:rPr>
            <w:webHidden/>
          </w:rPr>
          <w:instrText xml:space="preserve"> PAGEREF _Toc474430141 \h </w:instrText>
        </w:r>
        <w:r>
          <w:rPr>
            <w:webHidden/>
          </w:rPr>
        </w:r>
        <w:r>
          <w:rPr>
            <w:webHidden/>
          </w:rPr>
          <w:fldChar w:fldCharType="separate"/>
        </w:r>
        <w:r>
          <w:rPr>
            <w:webHidden/>
          </w:rPr>
          <w:t>44</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42" w:history="1">
        <w:r w:rsidRPr="00D60732">
          <w:rPr>
            <w:rStyle w:val="Lienhypertexte"/>
          </w:rPr>
          <w:t>2.7.3 Discussion</w:t>
        </w:r>
        <w:r>
          <w:rPr>
            <w:webHidden/>
          </w:rPr>
          <w:tab/>
        </w:r>
        <w:r>
          <w:rPr>
            <w:webHidden/>
          </w:rPr>
          <w:fldChar w:fldCharType="begin"/>
        </w:r>
        <w:r>
          <w:rPr>
            <w:webHidden/>
          </w:rPr>
          <w:instrText xml:space="preserve"> PAGEREF _Toc474430142 \h </w:instrText>
        </w:r>
        <w:r>
          <w:rPr>
            <w:webHidden/>
          </w:rPr>
        </w:r>
        <w:r>
          <w:rPr>
            <w:webHidden/>
          </w:rPr>
          <w:fldChar w:fldCharType="separate"/>
        </w:r>
        <w:r>
          <w:rPr>
            <w:webHidden/>
          </w:rPr>
          <w:t>45</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43" w:history="1">
        <w:r w:rsidRPr="00D60732">
          <w:rPr>
            <w:rStyle w:val="Lienhypertexte"/>
          </w:rPr>
          <w:t>2.7.4 Limitation</w:t>
        </w:r>
        <w:r>
          <w:rPr>
            <w:webHidden/>
          </w:rPr>
          <w:tab/>
        </w:r>
        <w:r>
          <w:rPr>
            <w:webHidden/>
          </w:rPr>
          <w:fldChar w:fldCharType="begin"/>
        </w:r>
        <w:r>
          <w:rPr>
            <w:webHidden/>
          </w:rPr>
          <w:instrText xml:space="preserve"> PAGEREF _Toc474430143 \h </w:instrText>
        </w:r>
        <w:r>
          <w:rPr>
            <w:webHidden/>
          </w:rPr>
        </w:r>
        <w:r>
          <w:rPr>
            <w:webHidden/>
          </w:rPr>
          <w:fldChar w:fldCharType="separate"/>
        </w:r>
        <w:r>
          <w:rPr>
            <w:webHidden/>
          </w:rPr>
          <w:t>46</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44" w:history="1">
        <w:r w:rsidRPr="00D60732">
          <w:rPr>
            <w:rStyle w:val="Lienhypertexte"/>
          </w:rPr>
          <w:t>2.7.5 ASAMPSA_E recommendation on Differential Importance Measures</w:t>
        </w:r>
        <w:r>
          <w:rPr>
            <w:webHidden/>
          </w:rPr>
          <w:tab/>
        </w:r>
        <w:r>
          <w:rPr>
            <w:webHidden/>
          </w:rPr>
          <w:fldChar w:fldCharType="begin"/>
        </w:r>
        <w:r>
          <w:rPr>
            <w:webHidden/>
          </w:rPr>
          <w:instrText xml:space="preserve"> PAGEREF _Toc474430144 \h </w:instrText>
        </w:r>
        <w:r>
          <w:rPr>
            <w:webHidden/>
          </w:rPr>
        </w:r>
        <w:r>
          <w:rPr>
            <w:webHidden/>
          </w:rPr>
          <w:fldChar w:fldCharType="separate"/>
        </w:r>
        <w:r>
          <w:rPr>
            <w:webHidden/>
          </w:rPr>
          <w:t>47</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45" w:history="1">
        <w:r w:rsidRPr="00D60732">
          <w:rPr>
            <w:rStyle w:val="Lienhypertexte"/>
            <w:rFonts w:eastAsia="Batang"/>
            <w:noProof/>
            <w:lang w:val="en-US"/>
          </w:rPr>
          <w:t>2.8 Linear Regression Method for Sensitivity Measures</w:t>
        </w:r>
        <w:r>
          <w:rPr>
            <w:noProof/>
            <w:webHidden/>
          </w:rPr>
          <w:tab/>
        </w:r>
        <w:r>
          <w:rPr>
            <w:noProof/>
            <w:webHidden/>
          </w:rPr>
          <w:fldChar w:fldCharType="begin"/>
        </w:r>
        <w:r>
          <w:rPr>
            <w:noProof/>
            <w:webHidden/>
          </w:rPr>
          <w:instrText xml:space="preserve"> PAGEREF _Toc474430145 \h </w:instrText>
        </w:r>
        <w:r>
          <w:rPr>
            <w:noProof/>
            <w:webHidden/>
          </w:rPr>
        </w:r>
        <w:r>
          <w:rPr>
            <w:noProof/>
            <w:webHidden/>
          </w:rPr>
          <w:fldChar w:fldCharType="separate"/>
        </w:r>
        <w:r>
          <w:rPr>
            <w:noProof/>
            <w:webHidden/>
          </w:rPr>
          <w:t>47</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46" w:history="1">
        <w:r w:rsidRPr="00D60732">
          <w:rPr>
            <w:rStyle w:val="Lienhypertexte"/>
          </w:rPr>
          <w:t>2.8.1 Definition of Risk Measure</w:t>
        </w:r>
        <w:r>
          <w:rPr>
            <w:webHidden/>
          </w:rPr>
          <w:tab/>
        </w:r>
        <w:r>
          <w:rPr>
            <w:webHidden/>
          </w:rPr>
          <w:fldChar w:fldCharType="begin"/>
        </w:r>
        <w:r>
          <w:rPr>
            <w:webHidden/>
          </w:rPr>
          <w:instrText xml:space="preserve"> PAGEREF _Toc474430146 \h </w:instrText>
        </w:r>
        <w:r>
          <w:rPr>
            <w:webHidden/>
          </w:rPr>
        </w:r>
        <w:r>
          <w:rPr>
            <w:webHidden/>
          </w:rPr>
          <w:fldChar w:fldCharType="separate"/>
        </w:r>
        <w:r>
          <w:rPr>
            <w:webHidden/>
          </w:rPr>
          <w:t>47</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47" w:history="1">
        <w:r w:rsidRPr="00D60732">
          <w:rPr>
            <w:rStyle w:val="Lienhypertexte"/>
          </w:rPr>
          <w:t>2.8.2 Areas of application</w:t>
        </w:r>
        <w:r>
          <w:rPr>
            <w:webHidden/>
          </w:rPr>
          <w:tab/>
        </w:r>
        <w:r>
          <w:rPr>
            <w:webHidden/>
          </w:rPr>
          <w:fldChar w:fldCharType="begin"/>
        </w:r>
        <w:r>
          <w:rPr>
            <w:webHidden/>
          </w:rPr>
          <w:instrText xml:space="preserve"> PAGEREF _Toc474430147 \h </w:instrText>
        </w:r>
        <w:r>
          <w:rPr>
            <w:webHidden/>
          </w:rPr>
        </w:r>
        <w:r>
          <w:rPr>
            <w:webHidden/>
          </w:rPr>
          <w:fldChar w:fldCharType="separate"/>
        </w:r>
        <w:r>
          <w:rPr>
            <w:webHidden/>
          </w:rPr>
          <w:t>48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48" w:history="1">
        <w:r w:rsidRPr="00D60732">
          <w:rPr>
            <w:rStyle w:val="Lienhypertexte"/>
          </w:rPr>
          <w:t>2.8.3 Discussion</w:t>
        </w:r>
        <w:r>
          <w:rPr>
            <w:webHidden/>
          </w:rPr>
          <w:tab/>
        </w:r>
        <w:r>
          <w:rPr>
            <w:webHidden/>
          </w:rPr>
          <w:fldChar w:fldCharType="begin"/>
        </w:r>
        <w:r>
          <w:rPr>
            <w:webHidden/>
          </w:rPr>
          <w:instrText xml:space="preserve"> PAGEREF _Toc474430148 \h </w:instrText>
        </w:r>
        <w:r>
          <w:rPr>
            <w:webHidden/>
          </w:rPr>
        </w:r>
        <w:r>
          <w:rPr>
            <w:webHidden/>
          </w:rPr>
          <w:fldChar w:fldCharType="separate"/>
        </w:r>
        <w:r>
          <w:rPr>
            <w:webHidden/>
          </w:rPr>
          <w:t>48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49" w:history="1">
        <w:r w:rsidRPr="00D60732">
          <w:rPr>
            <w:rStyle w:val="Lienhypertexte"/>
          </w:rPr>
          <w:t>2.8.4 Limitation</w:t>
        </w:r>
        <w:r>
          <w:rPr>
            <w:webHidden/>
          </w:rPr>
          <w:tab/>
        </w:r>
        <w:r>
          <w:rPr>
            <w:webHidden/>
          </w:rPr>
          <w:fldChar w:fldCharType="begin"/>
        </w:r>
        <w:r>
          <w:rPr>
            <w:webHidden/>
          </w:rPr>
          <w:instrText xml:space="preserve"> PAGEREF _Toc474430149 \h </w:instrText>
        </w:r>
        <w:r>
          <w:rPr>
            <w:webHidden/>
          </w:rPr>
        </w:r>
        <w:r>
          <w:rPr>
            <w:webHidden/>
          </w:rPr>
          <w:fldChar w:fldCharType="separate"/>
        </w:r>
        <w:r>
          <w:rPr>
            <w:webHidden/>
          </w:rPr>
          <w:t>49</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50" w:history="1">
        <w:r w:rsidRPr="00D60732">
          <w:rPr>
            <w:rStyle w:val="Lienhypertexte"/>
          </w:rPr>
          <w:t>2.8.5 ASAMPSA_E recommendation on harmonized definition</w:t>
        </w:r>
        <w:r>
          <w:rPr>
            <w:webHidden/>
          </w:rPr>
          <w:tab/>
        </w:r>
        <w:r>
          <w:rPr>
            <w:webHidden/>
          </w:rPr>
          <w:fldChar w:fldCharType="begin"/>
        </w:r>
        <w:r>
          <w:rPr>
            <w:webHidden/>
          </w:rPr>
          <w:instrText xml:space="preserve"> PAGEREF _Toc474430150 \h </w:instrText>
        </w:r>
        <w:r>
          <w:rPr>
            <w:webHidden/>
          </w:rPr>
        </w:r>
        <w:r>
          <w:rPr>
            <w:webHidden/>
          </w:rPr>
          <w:fldChar w:fldCharType="separate"/>
        </w:r>
        <w:r>
          <w:rPr>
            <w:webHidden/>
          </w:rPr>
          <w:t>49</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51" w:history="1">
        <w:r w:rsidRPr="00D60732">
          <w:rPr>
            <w:rStyle w:val="Lienhypertexte"/>
            <w:rFonts w:eastAsia="Batang"/>
            <w:noProof/>
            <w:lang w:val="en-US"/>
          </w:rPr>
          <w:t>2.9 “Finite Change” approach for Linear Regression Method for Sensitivity Measures</w:t>
        </w:r>
        <w:r>
          <w:rPr>
            <w:noProof/>
            <w:webHidden/>
          </w:rPr>
          <w:tab/>
        </w:r>
        <w:r>
          <w:rPr>
            <w:noProof/>
            <w:webHidden/>
          </w:rPr>
          <w:fldChar w:fldCharType="begin"/>
        </w:r>
        <w:r>
          <w:rPr>
            <w:noProof/>
            <w:webHidden/>
          </w:rPr>
          <w:instrText xml:space="preserve"> PAGEREF _Toc474430151 \h </w:instrText>
        </w:r>
        <w:r>
          <w:rPr>
            <w:noProof/>
            <w:webHidden/>
          </w:rPr>
        </w:r>
        <w:r>
          <w:rPr>
            <w:noProof/>
            <w:webHidden/>
          </w:rPr>
          <w:fldChar w:fldCharType="separate"/>
        </w:r>
        <w:r>
          <w:rPr>
            <w:noProof/>
            <w:webHidden/>
          </w:rPr>
          <w:t>49</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52" w:history="1">
        <w:r w:rsidRPr="00D60732">
          <w:rPr>
            <w:rStyle w:val="Lienhypertexte"/>
          </w:rPr>
          <w:t>2.9.1 Definition of Risk Measure</w:t>
        </w:r>
        <w:r>
          <w:rPr>
            <w:webHidden/>
          </w:rPr>
          <w:tab/>
        </w:r>
        <w:r>
          <w:rPr>
            <w:webHidden/>
          </w:rPr>
          <w:fldChar w:fldCharType="begin"/>
        </w:r>
        <w:r>
          <w:rPr>
            <w:webHidden/>
          </w:rPr>
          <w:instrText xml:space="preserve"> PAGEREF _Toc474430152 \h </w:instrText>
        </w:r>
        <w:r>
          <w:rPr>
            <w:webHidden/>
          </w:rPr>
        </w:r>
        <w:r>
          <w:rPr>
            <w:webHidden/>
          </w:rPr>
          <w:fldChar w:fldCharType="separate"/>
        </w:r>
        <w:r>
          <w:rPr>
            <w:webHidden/>
          </w:rPr>
          <w:t>49</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53" w:history="1">
        <w:r w:rsidRPr="00D60732">
          <w:rPr>
            <w:rStyle w:val="Lienhypertexte"/>
          </w:rPr>
          <w:t>2.9.2 Areas of application</w:t>
        </w:r>
        <w:r>
          <w:rPr>
            <w:webHidden/>
          </w:rPr>
          <w:tab/>
        </w:r>
        <w:r>
          <w:rPr>
            <w:webHidden/>
          </w:rPr>
          <w:fldChar w:fldCharType="begin"/>
        </w:r>
        <w:r>
          <w:rPr>
            <w:webHidden/>
          </w:rPr>
          <w:instrText xml:space="preserve"> PAGEREF _Toc474430153 \h </w:instrText>
        </w:r>
        <w:r>
          <w:rPr>
            <w:webHidden/>
          </w:rPr>
        </w:r>
        <w:r>
          <w:rPr>
            <w:webHidden/>
          </w:rPr>
          <w:fldChar w:fldCharType="separate"/>
        </w:r>
        <w:r>
          <w:rPr>
            <w:webHidden/>
          </w:rPr>
          <w:t>50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54" w:history="1">
        <w:r w:rsidRPr="00D60732">
          <w:rPr>
            <w:rStyle w:val="Lienhypertexte"/>
          </w:rPr>
          <w:t>2.9.3 Discussion</w:t>
        </w:r>
        <w:r>
          <w:rPr>
            <w:webHidden/>
          </w:rPr>
          <w:tab/>
        </w:r>
        <w:r>
          <w:rPr>
            <w:webHidden/>
          </w:rPr>
          <w:fldChar w:fldCharType="begin"/>
        </w:r>
        <w:r>
          <w:rPr>
            <w:webHidden/>
          </w:rPr>
          <w:instrText xml:space="preserve"> PAGEREF _Toc474430154 \h </w:instrText>
        </w:r>
        <w:r>
          <w:rPr>
            <w:webHidden/>
          </w:rPr>
        </w:r>
        <w:r>
          <w:rPr>
            <w:webHidden/>
          </w:rPr>
          <w:fldChar w:fldCharType="separate"/>
        </w:r>
        <w:r>
          <w:rPr>
            <w:webHidden/>
          </w:rPr>
          <w:t>51</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55" w:history="1">
        <w:r w:rsidRPr="00D60732">
          <w:rPr>
            <w:rStyle w:val="Lienhypertexte"/>
          </w:rPr>
          <w:t>2.9.4 Limitation</w:t>
        </w:r>
        <w:r>
          <w:rPr>
            <w:webHidden/>
          </w:rPr>
          <w:tab/>
        </w:r>
        <w:r>
          <w:rPr>
            <w:webHidden/>
          </w:rPr>
          <w:fldChar w:fldCharType="begin"/>
        </w:r>
        <w:r>
          <w:rPr>
            <w:webHidden/>
          </w:rPr>
          <w:instrText xml:space="preserve"> PAGEREF _Toc474430155 \h </w:instrText>
        </w:r>
        <w:r>
          <w:rPr>
            <w:webHidden/>
          </w:rPr>
        </w:r>
        <w:r>
          <w:rPr>
            <w:webHidden/>
          </w:rPr>
          <w:fldChar w:fldCharType="separate"/>
        </w:r>
        <w:r>
          <w:rPr>
            <w:webHidden/>
          </w:rPr>
          <w:t>52</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56" w:history="1">
        <w:r w:rsidRPr="00D60732">
          <w:rPr>
            <w:rStyle w:val="Lienhypertexte"/>
          </w:rPr>
          <w:t>2.9.5 ASAMPSA_E recommendation on “Finite Change” approach for Linear Regression Method for Sensitivity Measures</w:t>
        </w:r>
        <w:r>
          <w:rPr>
            <w:webHidden/>
          </w:rPr>
          <w:tab/>
        </w:r>
        <w:r>
          <w:rPr>
            <w:webHidden/>
          </w:rPr>
          <w:fldChar w:fldCharType="begin"/>
        </w:r>
        <w:r>
          <w:rPr>
            <w:webHidden/>
          </w:rPr>
          <w:instrText xml:space="preserve"> PAGEREF _Toc474430156 \h </w:instrText>
        </w:r>
        <w:r>
          <w:rPr>
            <w:webHidden/>
          </w:rPr>
        </w:r>
        <w:r>
          <w:rPr>
            <w:webHidden/>
          </w:rPr>
          <w:fldChar w:fldCharType="separate"/>
        </w:r>
        <w:r>
          <w:rPr>
            <w:webHidden/>
          </w:rPr>
          <w:t>53</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57" w:history="1">
        <w:r w:rsidRPr="00D60732">
          <w:rPr>
            <w:rStyle w:val="Lienhypertexte"/>
            <w:rFonts w:eastAsia="Batang"/>
            <w:noProof/>
            <w:lang w:val="en-US"/>
          </w:rPr>
          <w:t>2.10 Variance Based approach for Sensitivity Measures</w:t>
        </w:r>
        <w:r>
          <w:rPr>
            <w:noProof/>
            <w:webHidden/>
          </w:rPr>
          <w:tab/>
        </w:r>
        <w:r>
          <w:rPr>
            <w:noProof/>
            <w:webHidden/>
          </w:rPr>
          <w:fldChar w:fldCharType="begin"/>
        </w:r>
        <w:r>
          <w:rPr>
            <w:noProof/>
            <w:webHidden/>
          </w:rPr>
          <w:instrText xml:space="preserve"> PAGEREF _Toc474430157 \h </w:instrText>
        </w:r>
        <w:r>
          <w:rPr>
            <w:noProof/>
            <w:webHidden/>
          </w:rPr>
        </w:r>
        <w:r>
          <w:rPr>
            <w:noProof/>
            <w:webHidden/>
          </w:rPr>
          <w:fldChar w:fldCharType="separate"/>
        </w:r>
        <w:r>
          <w:rPr>
            <w:noProof/>
            <w:webHidden/>
          </w:rPr>
          <w:t>53</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58" w:history="1">
        <w:r w:rsidRPr="00D60732">
          <w:rPr>
            <w:rStyle w:val="Lienhypertexte"/>
          </w:rPr>
          <w:t>2.10.1 Definition of Risk Measure</w:t>
        </w:r>
        <w:r>
          <w:rPr>
            <w:webHidden/>
          </w:rPr>
          <w:tab/>
        </w:r>
        <w:r>
          <w:rPr>
            <w:webHidden/>
          </w:rPr>
          <w:fldChar w:fldCharType="begin"/>
        </w:r>
        <w:r>
          <w:rPr>
            <w:webHidden/>
          </w:rPr>
          <w:instrText xml:space="preserve"> PAGEREF _Toc474430158 \h </w:instrText>
        </w:r>
        <w:r>
          <w:rPr>
            <w:webHidden/>
          </w:rPr>
        </w:r>
        <w:r>
          <w:rPr>
            <w:webHidden/>
          </w:rPr>
          <w:fldChar w:fldCharType="separate"/>
        </w:r>
        <w:r>
          <w:rPr>
            <w:webHidden/>
          </w:rPr>
          <w:t>53</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59" w:history="1">
        <w:r w:rsidRPr="00D60732">
          <w:rPr>
            <w:rStyle w:val="Lienhypertexte"/>
          </w:rPr>
          <w:t>2.10.2 Areas of application</w:t>
        </w:r>
        <w:r>
          <w:rPr>
            <w:webHidden/>
          </w:rPr>
          <w:tab/>
        </w:r>
        <w:r>
          <w:rPr>
            <w:webHidden/>
          </w:rPr>
          <w:fldChar w:fldCharType="begin"/>
        </w:r>
        <w:r>
          <w:rPr>
            <w:webHidden/>
          </w:rPr>
          <w:instrText xml:space="preserve"> PAGEREF _Toc474430159 \h </w:instrText>
        </w:r>
        <w:r>
          <w:rPr>
            <w:webHidden/>
          </w:rPr>
        </w:r>
        <w:r>
          <w:rPr>
            <w:webHidden/>
          </w:rPr>
          <w:fldChar w:fldCharType="separate"/>
        </w:r>
        <w:r>
          <w:rPr>
            <w:webHidden/>
          </w:rPr>
          <w:t>54</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60" w:history="1">
        <w:r w:rsidRPr="00D60732">
          <w:rPr>
            <w:rStyle w:val="Lienhypertexte"/>
          </w:rPr>
          <w:t>2.10.3 Definition of Risk Measure</w:t>
        </w:r>
        <w:r>
          <w:rPr>
            <w:webHidden/>
          </w:rPr>
          <w:tab/>
        </w:r>
        <w:r>
          <w:rPr>
            <w:webHidden/>
          </w:rPr>
          <w:fldChar w:fldCharType="begin"/>
        </w:r>
        <w:r>
          <w:rPr>
            <w:webHidden/>
          </w:rPr>
          <w:instrText xml:space="preserve"> PAGEREF _Toc474430160 \h </w:instrText>
        </w:r>
        <w:r>
          <w:rPr>
            <w:webHidden/>
          </w:rPr>
        </w:r>
        <w:r>
          <w:rPr>
            <w:webHidden/>
          </w:rPr>
          <w:fldChar w:fldCharType="separate"/>
        </w:r>
        <w:r>
          <w:rPr>
            <w:webHidden/>
          </w:rPr>
          <w:t>54</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61" w:history="1">
        <w:r w:rsidRPr="00D60732">
          <w:rPr>
            <w:rStyle w:val="Lienhypertexte"/>
          </w:rPr>
          <w:t>2.10.4 Limitation</w:t>
        </w:r>
        <w:r>
          <w:rPr>
            <w:webHidden/>
          </w:rPr>
          <w:tab/>
        </w:r>
        <w:r>
          <w:rPr>
            <w:webHidden/>
          </w:rPr>
          <w:fldChar w:fldCharType="begin"/>
        </w:r>
        <w:r>
          <w:rPr>
            <w:webHidden/>
          </w:rPr>
          <w:instrText xml:space="preserve"> PAGEREF _Toc474430161 \h </w:instrText>
        </w:r>
        <w:r>
          <w:rPr>
            <w:webHidden/>
          </w:rPr>
        </w:r>
        <w:r>
          <w:rPr>
            <w:webHidden/>
          </w:rPr>
          <w:fldChar w:fldCharType="separate"/>
        </w:r>
        <w:r>
          <w:rPr>
            <w:webHidden/>
          </w:rPr>
          <w:t>56</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62" w:history="1">
        <w:r w:rsidRPr="00D60732">
          <w:rPr>
            <w:rStyle w:val="Lienhypertexte"/>
          </w:rPr>
          <w:t>2.10.5 ASAMPSA_E recommendation on Variance Based approach for Sensitivity Measures</w:t>
        </w:r>
        <w:r>
          <w:rPr>
            <w:webHidden/>
          </w:rPr>
          <w:tab/>
        </w:r>
        <w:r>
          <w:rPr>
            <w:webHidden/>
          </w:rPr>
          <w:fldChar w:fldCharType="begin"/>
        </w:r>
        <w:r>
          <w:rPr>
            <w:webHidden/>
          </w:rPr>
          <w:instrText xml:space="preserve"> PAGEREF _Toc474430162 \h </w:instrText>
        </w:r>
        <w:r>
          <w:rPr>
            <w:webHidden/>
          </w:rPr>
        </w:r>
        <w:r>
          <w:rPr>
            <w:webHidden/>
          </w:rPr>
          <w:fldChar w:fldCharType="separate"/>
        </w:r>
        <w:r>
          <w:rPr>
            <w:webHidden/>
          </w:rPr>
          <w:t>56</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63" w:history="1">
        <w:r w:rsidRPr="00D60732">
          <w:rPr>
            <w:rStyle w:val="Lienhypertexte"/>
            <w:rFonts w:eastAsia="Batang"/>
            <w:noProof/>
            <w:lang w:val="en-US"/>
          </w:rPr>
          <w:t>2.11 Qualitative Risk Measures</w:t>
        </w:r>
        <w:r>
          <w:rPr>
            <w:noProof/>
            <w:webHidden/>
          </w:rPr>
          <w:tab/>
        </w:r>
        <w:r>
          <w:rPr>
            <w:noProof/>
            <w:webHidden/>
          </w:rPr>
          <w:fldChar w:fldCharType="begin"/>
        </w:r>
        <w:r>
          <w:rPr>
            <w:noProof/>
            <w:webHidden/>
          </w:rPr>
          <w:instrText xml:space="preserve"> PAGEREF _Toc474430163 \h </w:instrText>
        </w:r>
        <w:r>
          <w:rPr>
            <w:noProof/>
            <w:webHidden/>
          </w:rPr>
        </w:r>
        <w:r>
          <w:rPr>
            <w:noProof/>
            <w:webHidden/>
          </w:rPr>
          <w:fldChar w:fldCharType="separate"/>
        </w:r>
        <w:r>
          <w:rPr>
            <w:noProof/>
            <w:webHidden/>
          </w:rPr>
          <w:t>56</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64" w:history="1">
        <w:r w:rsidRPr="00D60732">
          <w:rPr>
            <w:rStyle w:val="Lienhypertexte"/>
            <w:rFonts w:eastAsia="Batang"/>
            <w:noProof/>
            <w:lang w:val="en-US"/>
          </w:rPr>
          <w:t>2.12 Fuel Damage Frequency (FDF)</w:t>
        </w:r>
        <w:r>
          <w:rPr>
            <w:noProof/>
            <w:webHidden/>
          </w:rPr>
          <w:tab/>
        </w:r>
        <w:r>
          <w:rPr>
            <w:noProof/>
            <w:webHidden/>
          </w:rPr>
          <w:fldChar w:fldCharType="begin"/>
        </w:r>
        <w:r>
          <w:rPr>
            <w:noProof/>
            <w:webHidden/>
          </w:rPr>
          <w:instrText xml:space="preserve"> PAGEREF _Toc474430164 \h </w:instrText>
        </w:r>
        <w:r>
          <w:rPr>
            <w:noProof/>
            <w:webHidden/>
          </w:rPr>
        </w:r>
        <w:r>
          <w:rPr>
            <w:noProof/>
            <w:webHidden/>
          </w:rPr>
          <w:fldChar w:fldCharType="separate"/>
        </w:r>
        <w:r>
          <w:rPr>
            <w:noProof/>
            <w:webHidden/>
          </w:rPr>
          <w:t>58</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65" w:history="1">
        <w:r w:rsidRPr="00D60732">
          <w:rPr>
            <w:rStyle w:val="Lienhypertexte"/>
          </w:rPr>
          <w:t>2.12.1 Definition of Risk Measure</w:t>
        </w:r>
        <w:r>
          <w:rPr>
            <w:webHidden/>
          </w:rPr>
          <w:tab/>
        </w:r>
        <w:r>
          <w:rPr>
            <w:webHidden/>
          </w:rPr>
          <w:fldChar w:fldCharType="begin"/>
        </w:r>
        <w:r>
          <w:rPr>
            <w:webHidden/>
          </w:rPr>
          <w:instrText xml:space="preserve"> PAGEREF _Toc474430165 \h </w:instrText>
        </w:r>
        <w:r>
          <w:rPr>
            <w:webHidden/>
          </w:rPr>
        </w:r>
        <w:r>
          <w:rPr>
            <w:webHidden/>
          </w:rPr>
          <w:fldChar w:fldCharType="separate"/>
        </w:r>
        <w:r>
          <w:rPr>
            <w:webHidden/>
          </w:rPr>
          <w:t>58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66" w:history="1">
        <w:r w:rsidRPr="00D60732">
          <w:rPr>
            <w:rStyle w:val="Lienhypertexte"/>
          </w:rPr>
          <w:t>2.12.2 Areas of application:</w:t>
        </w:r>
        <w:r>
          <w:rPr>
            <w:webHidden/>
          </w:rPr>
          <w:tab/>
        </w:r>
        <w:r>
          <w:rPr>
            <w:webHidden/>
          </w:rPr>
          <w:fldChar w:fldCharType="begin"/>
        </w:r>
        <w:r>
          <w:rPr>
            <w:webHidden/>
          </w:rPr>
          <w:instrText xml:space="preserve"> PAGEREF _Toc474430166 \h </w:instrText>
        </w:r>
        <w:r>
          <w:rPr>
            <w:webHidden/>
          </w:rPr>
        </w:r>
        <w:r>
          <w:rPr>
            <w:webHidden/>
          </w:rPr>
          <w:fldChar w:fldCharType="separate"/>
        </w:r>
        <w:r>
          <w:rPr>
            <w:webHidden/>
          </w:rPr>
          <w:t>59</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67" w:history="1">
        <w:r w:rsidRPr="00D60732">
          <w:rPr>
            <w:rStyle w:val="Lienhypertexte"/>
          </w:rPr>
          <w:t>2.12.3 Discussion</w:t>
        </w:r>
        <w:r>
          <w:rPr>
            <w:webHidden/>
          </w:rPr>
          <w:tab/>
        </w:r>
        <w:r>
          <w:rPr>
            <w:webHidden/>
          </w:rPr>
          <w:fldChar w:fldCharType="begin"/>
        </w:r>
        <w:r>
          <w:rPr>
            <w:webHidden/>
          </w:rPr>
          <w:instrText xml:space="preserve"> PAGEREF _Toc474430167 \h </w:instrText>
        </w:r>
        <w:r>
          <w:rPr>
            <w:webHidden/>
          </w:rPr>
        </w:r>
        <w:r>
          <w:rPr>
            <w:webHidden/>
          </w:rPr>
          <w:fldChar w:fldCharType="separate"/>
        </w:r>
        <w:r>
          <w:rPr>
            <w:webHidden/>
          </w:rPr>
          <w:t>59</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68" w:history="1">
        <w:r w:rsidRPr="00D60732">
          <w:rPr>
            <w:rStyle w:val="Lienhypertexte"/>
          </w:rPr>
          <w:t>2.12.4 Limitation</w:t>
        </w:r>
        <w:r>
          <w:rPr>
            <w:webHidden/>
          </w:rPr>
          <w:tab/>
        </w:r>
        <w:r>
          <w:rPr>
            <w:webHidden/>
          </w:rPr>
          <w:fldChar w:fldCharType="begin"/>
        </w:r>
        <w:r>
          <w:rPr>
            <w:webHidden/>
          </w:rPr>
          <w:instrText xml:space="preserve"> PAGEREF _Toc474430168 \h </w:instrText>
        </w:r>
        <w:r>
          <w:rPr>
            <w:webHidden/>
          </w:rPr>
        </w:r>
        <w:r>
          <w:rPr>
            <w:webHidden/>
          </w:rPr>
          <w:fldChar w:fldCharType="separate"/>
        </w:r>
        <w:r>
          <w:rPr>
            <w:webHidden/>
          </w:rPr>
          <w:t>60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69" w:history="1">
        <w:r w:rsidRPr="00D60732">
          <w:rPr>
            <w:rStyle w:val="Lienhypertexte"/>
          </w:rPr>
          <w:t>2.12.5 ASAMPSA_E recommendation on FDF</w:t>
        </w:r>
        <w:r>
          <w:rPr>
            <w:webHidden/>
          </w:rPr>
          <w:tab/>
        </w:r>
        <w:r>
          <w:rPr>
            <w:webHidden/>
          </w:rPr>
          <w:fldChar w:fldCharType="begin"/>
        </w:r>
        <w:r>
          <w:rPr>
            <w:webHidden/>
          </w:rPr>
          <w:instrText xml:space="preserve"> PAGEREF _Toc474430169 \h </w:instrText>
        </w:r>
        <w:r>
          <w:rPr>
            <w:webHidden/>
          </w:rPr>
        </w:r>
        <w:r>
          <w:rPr>
            <w:webHidden/>
          </w:rPr>
          <w:fldChar w:fldCharType="separate"/>
        </w:r>
        <w:r>
          <w:rPr>
            <w:webHidden/>
          </w:rPr>
          <w:t>60</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70" w:history="1">
        <w:r w:rsidRPr="00D60732">
          <w:rPr>
            <w:rStyle w:val="Lienhypertexte"/>
            <w:rFonts w:eastAsia="Batang"/>
            <w:noProof/>
            <w:lang w:val="en-US"/>
          </w:rPr>
          <w:t>2.13 Plant Damage State Frequency (PDSF)</w:t>
        </w:r>
        <w:r>
          <w:rPr>
            <w:noProof/>
            <w:webHidden/>
          </w:rPr>
          <w:tab/>
        </w:r>
        <w:r>
          <w:rPr>
            <w:noProof/>
            <w:webHidden/>
          </w:rPr>
          <w:fldChar w:fldCharType="begin"/>
        </w:r>
        <w:r>
          <w:rPr>
            <w:noProof/>
            <w:webHidden/>
          </w:rPr>
          <w:instrText xml:space="preserve"> PAGEREF _Toc474430170 \h </w:instrText>
        </w:r>
        <w:r>
          <w:rPr>
            <w:noProof/>
            <w:webHidden/>
          </w:rPr>
        </w:r>
        <w:r>
          <w:rPr>
            <w:noProof/>
            <w:webHidden/>
          </w:rPr>
          <w:fldChar w:fldCharType="separate"/>
        </w:r>
        <w:r>
          <w:rPr>
            <w:noProof/>
            <w:webHidden/>
          </w:rPr>
          <w:t>61</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71" w:history="1">
        <w:r w:rsidRPr="00D60732">
          <w:rPr>
            <w:rStyle w:val="Lienhypertexte"/>
          </w:rPr>
          <w:t>2.13.1 Definition of Risk Measure</w:t>
        </w:r>
        <w:r>
          <w:rPr>
            <w:webHidden/>
          </w:rPr>
          <w:tab/>
        </w:r>
        <w:r>
          <w:rPr>
            <w:webHidden/>
          </w:rPr>
          <w:fldChar w:fldCharType="begin"/>
        </w:r>
        <w:r>
          <w:rPr>
            <w:webHidden/>
          </w:rPr>
          <w:instrText xml:space="preserve"> PAGEREF _Toc474430171 \h </w:instrText>
        </w:r>
        <w:r>
          <w:rPr>
            <w:webHidden/>
          </w:rPr>
        </w:r>
        <w:r>
          <w:rPr>
            <w:webHidden/>
          </w:rPr>
          <w:fldChar w:fldCharType="separate"/>
        </w:r>
        <w:r>
          <w:rPr>
            <w:webHidden/>
          </w:rPr>
          <w:t>61</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72" w:history="1">
        <w:r w:rsidRPr="00D60732">
          <w:rPr>
            <w:rStyle w:val="Lienhypertexte"/>
          </w:rPr>
          <w:t>2.13.2 Areas of application:</w:t>
        </w:r>
        <w:r>
          <w:rPr>
            <w:webHidden/>
          </w:rPr>
          <w:tab/>
        </w:r>
        <w:r>
          <w:rPr>
            <w:webHidden/>
          </w:rPr>
          <w:fldChar w:fldCharType="begin"/>
        </w:r>
        <w:r>
          <w:rPr>
            <w:webHidden/>
          </w:rPr>
          <w:instrText xml:space="preserve"> PAGEREF _Toc474430172 \h </w:instrText>
        </w:r>
        <w:r>
          <w:rPr>
            <w:webHidden/>
          </w:rPr>
        </w:r>
        <w:r>
          <w:rPr>
            <w:webHidden/>
          </w:rPr>
          <w:fldChar w:fldCharType="separate"/>
        </w:r>
        <w:r>
          <w:rPr>
            <w:webHidden/>
          </w:rPr>
          <w:t>64</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73" w:history="1">
        <w:r w:rsidRPr="00D60732">
          <w:rPr>
            <w:rStyle w:val="Lienhypertexte"/>
          </w:rPr>
          <w:t>2.13.3 Discussion</w:t>
        </w:r>
        <w:r>
          <w:rPr>
            <w:webHidden/>
          </w:rPr>
          <w:tab/>
        </w:r>
        <w:r>
          <w:rPr>
            <w:webHidden/>
          </w:rPr>
          <w:fldChar w:fldCharType="begin"/>
        </w:r>
        <w:r>
          <w:rPr>
            <w:webHidden/>
          </w:rPr>
          <w:instrText xml:space="preserve"> PAGEREF _Toc474430173 \h </w:instrText>
        </w:r>
        <w:r>
          <w:rPr>
            <w:webHidden/>
          </w:rPr>
        </w:r>
        <w:r>
          <w:rPr>
            <w:webHidden/>
          </w:rPr>
          <w:fldChar w:fldCharType="separate"/>
        </w:r>
        <w:r>
          <w:rPr>
            <w:webHidden/>
          </w:rPr>
          <w:t>64</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74" w:history="1">
        <w:r w:rsidRPr="00D60732">
          <w:rPr>
            <w:rStyle w:val="Lienhypertexte"/>
          </w:rPr>
          <w:t>2.13.4 Limitations</w:t>
        </w:r>
        <w:r>
          <w:rPr>
            <w:webHidden/>
          </w:rPr>
          <w:tab/>
        </w:r>
        <w:r>
          <w:rPr>
            <w:webHidden/>
          </w:rPr>
          <w:fldChar w:fldCharType="begin"/>
        </w:r>
        <w:r>
          <w:rPr>
            <w:webHidden/>
          </w:rPr>
          <w:instrText xml:space="preserve"> PAGEREF _Toc474430174 \h </w:instrText>
        </w:r>
        <w:r>
          <w:rPr>
            <w:webHidden/>
          </w:rPr>
        </w:r>
        <w:r>
          <w:rPr>
            <w:webHidden/>
          </w:rPr>
          <w:fldChar w:fldCharType="separate"/>
        </w:r>
        <w:r>
          <w:rPr>
            <w:webHidden/>
          </w:rPr>
          <w:t>65</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75" w:history="1">
        <w:r w:rsidRPr="00D60732">
          <w:rPr>
            <w:rStyle w:val="Lienhypertexte"/>
          </w:rPr>
          <w:t>2.13.5 ASAMPSA_E recommendation on PDSF</w:t>
        </w:r>
        <w:r>
          <w:rPr>
            <w:webHidden/>
          </w:rPr>
          <w:tab/>
        </w:r>
        <w:r>
          <w:rPr>
            <w:webHidden/>
          </w:rPr>
          <w:fldChar w:fldCharType="begin"/>
        </w:r>
        <w:r>
          <w:rPr>
            <w:webHidden/>
          </w:rPr>
          <w:instrText xml:space="preserve"> PAGEREF _Toc474430175 \h </w:instrText>
        </w:r>
        <w:r>
          <w:rPr>
            <w:webHidden/>
          </w:rPr>
        </w:r>
        <w:r>
          <w:rPr>
            <w:webHidden/>
          </w:rPr>
          <w:fldChar w:fldCharType="separate"/>
        </w:r>
        <w:r>
          <w:rPr>
            <w:webHidden/>
          </w:rPr>
          <w:t>65</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76" w:history="1">
        <w:r w:rsidRPr="00D60732">
          <w:rPr>
            <w:rStyle w:val="Lienhypertexte"/>
            <w:rFonts w:eastAsia="Batang"/>
            <w:noProof/>
            <w:lang w:val="en-US"/>
          </w:rPr>
          <w:t>2.14 Interface Core Damage Frequency (ICDF)</w:t>
        </w:r>
        <w:r>
          <w:rPr>
            <w:noProof/>
            <w:webHidden/>
          </w:rPr>
          <w:tab/>
        </w:r>
        <w:r>
          <w:rPr>
            <w:noProof/>
            <w:webHidden/>
          </w:rPr>
          <w:fldChar w:fldCharType="begin"/>
        </w:r>
        <w:r>
          <w:rPr>
            <w:noProof/>
            <w:webHidden/>
          </w:rPr>
          <w:instrText xml:space="preserve"> PAGEREF _Toc474430176 \h </w:instrText>
        </w:r>
        <w:r>
          <w:rPr>
            <w:noProof/>
            <w:webHidden/>
          </w:rPr>
        </w:r>
        <w:r>
          <w:rPr>
            <w:noProof/>
            <w:webHidden/>
          </w:rPr>
          <w:fldChar w:fldCharType="separate"/>
        </w:r>
        <w:r>
          <w:rPr>
            <w:noProof/>
            <w:webHidden/>
          </w:rPr>
          <w:t>66</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77" w:history="1">
        <w:r w:rsidRPr="00D60732">
          <w:rPr>
            <w:rStyle w:val="Lienhypertexte"/>
            <w:rFonts w:eastAsia="Batang"/>
            <w:noProof/>
            <w:lang w:val="en-US"/>
          </w:rPr>
          <w:t>2.15 Hazard State Frequency (HSF)</w:t>
        </w:r>
        <w:r>
          <w:rPr>
            <w:noProof/>
            <w:webHidden/>
          </w:rPr>
          <w:tab/>
        </w:r>
        <w:r>
          <w:rPr>
            <w:noProof/>
            <w:webHidden/>
          </w:rPr>
          <w:fldChar w:fldCharType="begin"/>
        </w:r>
        <w:r>
          <w:rPr>
            <w:noProof/>
            <w:webHidden/>
          </w:rPr>
          <w:instrText xml:space="preserve"> PAGEREF _Toc474430177 \h </w:instrText>
        </w:r>
        <w:r>
          <w:rPr>
            <w:noProof/>
            <w:webHidden/>
          </w:rPr>
        </w:r>
        <w:r>
          <w:rPr>
            <w:noProof/>
            <w:webHidden/>
          </w:rPr>
          <w:fldChar w:fldCharType="separate"/>
        </w:r>
        <w:r>
          <w:rPr>
            <w:noProof/>
            <w:webHidden/>
          </w:rPr>
          <w:t>66</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78" w:history="1">
        <w:r w:rsidRPr="00D60732">
          <w:rPr>
            <w:rStyle w:val="Lienhypertexte"/>
          </w:rPr>
          <w:t>2.15.1 Definition of Risk Measure</w:t>
        </w:r>
        <w:r>
          <w:rPr>
            <w:webHidden/>
          </w:rPr>
          <w:tab/>
        </w:r>
        <w:r>
          <w:rPr>
            <w:webHidden/>
          </w:rPr>
          <w:fldChar w:fldCharType="begin"/>
        </w:r>
        <w:r>
          <w:rPr>
            <w:webHidden/>
          </w:rPr>
          <w:instrText xml:space="preserve"> PAGEREF _Toc474430178 \h </w:instrText>
        </w:r>
        <w:r>
          <w:rPr>
            <w:webHidden/>
          </w:rPr>
        </w:r>
        <w:r>
          <w:rPr>
            <w:webHidden/>
          </w:rPr>
          <w:fldChar w:fldCharType="separate"/>
        </w:r>
        <w:r>
          <w:rPr>
            <w:webHidden/>
          </w:rPr>
          <w:t>66</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79" w:history="1">
        <w:r w:rsidRPr="00D60732">
          <w:rPr>
            <w:rStyle w:val="Lienhypertexte"/>
          </w:rPr>
          <w:t>2.15.2 Areas of application</w:t>
        </w:r>
        <w:r>
          <w:rPr>
            <w:webHidden/>
          </w:rPr>
          <w:tab/>
        </w:r>
        <w:r>
          <w:rPr>
            <w:webHidden/>
          </w:rPr>
          <w:fldChar w:fldCharType="begin"/>
        </w:r>
        <w:r>
          <w:rPr>
            <w:webHidden/>
          </w:rPr>
          <w:instrText xml:space="preserve"> PAGEREF _Toc474430179 \h </w:instrText>
        </w:r>
        <w:r>
          <w:rPr>
            <w:webHidden/>
          </w:rPr>
        </w:r>
        <w:r>
          <w:rPr>
            <w:webHidden/>
          </w:rPr>
          <w:fldChar w:fldCharType="separate"/>
        </w:r>
        <w:r>
          <w:rPr>
            <w:webHidden/>
          </w:rPr>
          <w:t>67</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80" w:history="1">
        <w:r w:rsidRPr="00D60732">
          <w:rPr>
            <w:rStyle w:val="Lienhypertexte"/>
          </w:rPr>
          <w:t>2.15.3 Discussion</w:t>
        </w:r>
        <w:r>
          <w:rPr>
            <w:webHidden/>
          </w:rPr>
          <w:tab/>
        </w:r>
        <w:r>
          <w:rPr>
            <w:webHidden/>
          </w:rPr>
          <w:fldChar w:fldCharType="begin"/>
        </w:r>
        <w:r>
          <w:rPr>
            <w:webHidden/>
          </w:rPr>
          <w:instrText xml:space="preserve"> PAGEREF _Toc474430180 \h </w:instrText>
        </w:r>
        <w:r>
          <w:rPr>
            <w:webHidden/>
          </w:rPr>
        </w:r>
        <w:r>
          <w:rPr>
            <w:webHidden/>
          </w:rPr>
          <w:fldChar w:fldCharType="separate"/>
        </w:r>
        <w:r>
          <w:rPr>
            <w:webHidden/>
          </w:rPr>
          <w:t>67</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81" w:history="1">
        <w:r w:rsidRPr="00D60732">
          <w:rPr>
            <w:rStyle w:val="Lienhypertexte"/>
          </w:rPr>
          <w:t>2.15.4 Limitation</w:t>
        </w:r>
        <w:r>
          <w:rPr>
            <w:webHidden/>
          </w:rPr>
          <w:tab/>
        </w:r>
        <w:r>
          <w:rPr>
            <w:webHidden/>
          </w:rPr>
          <w:fldChar w:fldCharType="begin"/>
        </w:r>
        <w:r>
          <w:rPr>
            <w:webHidden/>
          </w:rPr>
          <w:instrText xml:space="preserve"> PAGEREF _Toc474430181 \h </w:instrText>
        </w:r>
        <w:r>
          <w:rPr>
            <w:webHidden/>
          </w:rPr>
        </w:r>
        <w:r>
          <w:rPr>
            <w:webHidden/>
          </w:rPr>
          <w:fldChar w:fldCharType="separate"/>
        </w:r>
        <w:r>
          <w:rPr>
            <w:webHidden/>
          </w:rPr>
          <w:t>68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82" w:history="1">
        <w:r w:rsidRPr="00D60732">
          <w:rPr>
            <w:rStyle w:val="Lienhypertexte"/>
          </w:rPr>
          <w:t>2.15.5 ASAMPSA_E recommendation on HSF</w:t>
        </w:r>
        <w:r>
          <w:rPr>
            <w:webHidden/>
          </w:rPr>
          <w:tab/>
        </w:r>
        <w:r>
          <w:rPr>
            <w:webHidden/>
          </w:rPr>
          <w:fldChar w:fldCharType="begin"/>
        </w:r>
        <w:r>
          <w:rPr>
            <w:webHidden/>
          </w:rPr>
          <w:instrText xml:space="preserve"> PAGEREF _Toc474430182 \h </w:instrText>
        </w:r>
        <w:r>
          <w:rPr>
            <w:webHidden/>
          </w:rPr>
        </w:r>
        <w:r>
          <w:rPr>
            <w:webHidden/>
          </w:rPr>
          <w:fldChar w:fldCharType="separate"/>
        </w:r>
        <w:r>
          <w:rPr>
            <w:webHidden/>
          </w:rPr>
          <w:t>68</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83" w:history="1">
        <w:r w:rsidRPr="00D60732">
          <w:rPr>
            <w:rStyle w:val="Lienhypertexte"/>
            <w:rFonts w:eastAsia="Batang"/>
            <w:noProof/>
            <w:lang w:val="en-US"/>
          </w:rPr>
          <w:t>2.16 Spent Fuel Pool Damage Frequency (SFPDF)</w:t>
        </w:r>
        <w:r>
          <w:rPr>
            <w:noProof/>
            <w:webHidden/>
          </w:rPr>
          <w:tab/>
        </w:r>
        <w:r>
          <w:rPr>
            <w:noProof/>
            <w:webHidden/>
          </w:rPr>
          <w:fldChar w:fldCharType="begin"/>
        </w:r>
        <w:r>
          <w:rPr>
            <w:noProof/>
            <w:webHidden/>
          </w:rPr>
          <w:instrText xml:space="preserve"> PAGEREF _Toc474430183 \h </w:instrText>
        </w:r>
        <w:r>
          <w:rPr>
            <w:noProof/>
            <w:webHidden/>
          </w:rPr>
        </w:r>
        <w:r>
          <w:rPr>
            <w:noProof/>
            <w:webHidden/>
          </w:rPr>
          <w:fldChar w:fldCharType="separate"/>
        </w:r>
        <w:r>
          <w:rPr>
            <w:noProof/>
            <w:webHidden/>
          </w:rPr>
          <w:t>68</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84" w:history="1">
        <w:r w:rsidRPr="00D60732">
          <w:rPr>
            <w:rStyle w:val="Lienhypertexte"/>
          </w:rPr>
          <w:t>2.16.1 Definition of Risk Measure</w:t>
        </w:r>
        <w:r>
          <w:rPr>
            <w:webHidden/>
          </w:rPr>
          <w:tab/>
        </w:r>
        <w:r>
          <w:rPr>
            <w:webHidden/>
          </w:rPr>
          <w:fldChar w:fldCharType="begin"/>
        </w:r>
        <w:r>
          <w:rPr>
            <w:webHidden/>
          </w:rPr>
          <w:instrText xml:space="preserve"> PAGEREF _Toc474430184 \h </w:instrText>
        </w:r>
        <w:r>
          <w:rPr>
            <w:webHidden/>
          </w:rPr>
        </w:r>
        <w:r>
          <w:rPr>
            <w:webHidden/>
          </w:rPr>
          <w:fldChar w:fldCharType="separate"/>
        </w:r>
        <w:r>
          <w:rPr>
            <w:webHidden/>
          </w:rPr>
          <w:t>68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85" w:history="1">
        <w:r w:rsidRPr="00D60732">
          <w:rPr>
            <w:rStyle w:val="Lienhypertexte"/>
          </w:rPr>
          <w:t>2.16.2 Areas of application:</w:t>
        </w:r>
        <w:r>
          <w:rPr>
            <w:webHidden/>
          </w:rPr>
          <w:tab/>
        </w:r>
        <w:r>
          <w:rPr>
            <w:webHidden/>
          </w:rPr>
          <w:fldChar w:fldCharType="begin"/>
        </w:r>
        <w:r>
          <w:rPr>
            <w:webHidden/>
          </w:rPr>
          <w:instrText xml:space="preserve"> PAGEREF _Toc474430185 \h </w:instrText>
        </w:r>
        <w:r>
          <w:rPr>
            <w:webHidden/>
          </w:rPr>
        </w:r>
        <w:r>
          <w:rPr>
            <w:webHidden/>
          </w:rPr>
          <w:fldChar w:fldCharType="separate"/>
        </w:r>
        <w:r>
          <w:rPr>
            <w:webHidden/>
          </w:rPr>
          <w:t>69</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86" w:history="1">
        <w:r w:rsidRPr="00D60732">
          <w:rPr>
            <w:rStyle w:val="Lienhypertexte"/>
          </w:rPr>
          <w:t>2.16.3 Discussion</w:t>
        </w:r>
        <w:r>
          <w:rPr>
            <w:webHidden/>
          </w:rPr>
          <w:tab/>
        </w:r>
        <w:r>
          <w:rPr>
            <w:webHidden/>
          </w:rPr>
          <w:fldChar w:fldCharType="begin"/>
        </w:r>
        <w:r>
          <w:rPr>
            <w:webHidden/>
          </w:rPr>
          <w:instrText xml:space="preserve"> PAGEREF _Toc474430186 \h </w:instrText>
        </w:r>
        <w:r>
          <w:rPr>
            <w:webHidden/>
          </w:rPr>
        </w:r>
        <w:r>
          <w:rPr>
            <w:webHidden/>
          </w:rPr>
          <w:fldChar w:fldCharType="separate"/>
        </w:r>
        <w:r>
          <w:rPr>
            <w:webHidden/>
          </w:rPr>
          <w:t>69</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87" w:history="1">
        <w:r w:rsidRPr="00D60732">
          <w:rPr>
            <w:rStyle w:val="Lienhypertexte"/>
          </w:rPr>
          <w:t>2.16.4 Limitation</w:t>
        </w:r>
        <w:r>
          <w:rPr>
            <w:webHidden/>
          </w:rPr>
          <w:tab/>
        </w:r>
        <w:r>
          <w:rPr>
            <w:webHidden/>
          </w:rPr>
          <w:fldChar w:fldCharType="begin"/>
        </w:r>
        <w:r>
          <w:rPr>
            <w:webHidden/>
          </w:rPr>
          <w:instrText xml:space="preserve"> PAGEREF _Toc474430187 \h </w:instrText>
        </w:r>
        <w:r>
          <w:rPr>
            <w:webHidden/>
          </w:rPr>
        </w:r>
        <w:r>
          <w:rPr>
            <w:webHidden/>
          </w:rPr>
          <w:fldChar w:fldCharType="separate"/>
        </w:r>
        <w:r>
          <w:rPr>
            <w:webHidden/>
          </w:rPr>
          <w:t>70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88" w:history="1">
        <w:r w:rsidRPr="00D60732">
          <w:rPr>
            <w:rStyle w:val="Lienhypertexte"/>
          </w:rPr>
          <w:t>2.16.5 ASAMPSA_E recommendation on SFPDF</w:t>
        </w:r>
        <w:r>
          <w:rPr>
            <w:webHidden/>
          </w:rPr>
          <w:tab/>
        </w:r>
        <w:r>
          <w:rPr>
            <w:webHidden/>
          </w:rPr>
          <w:fldChar w:fldCharType="begin"/>
        </w:r>
        <w:r>
          <w:rPr>
            <w:webHidden/>
          </w:rPr>
          <w:instrText xml:space="preserve"> PAGEREF _Toc474430188 \h </w:instrText>
        </w:r>
        <w:r>
          <w:rPr>
            <w:webHidden/>
          </w:rPr>
        </w:r>
        <w:r>
          <w:rPr>
            <w:webHidden/>
          </w:rPr>
          <w:fldChar w:fldCharType="separate"/>
        </w:r>
        <w:r>
          <w:rPr>
            <w:webHidden/>
          </w:rPr>
          <w:t>70</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89" w:history="1">
        <w:r w:rsidRPr="00D60732">
          <w:rPr>
            <w:rStyle w:val="Lienhypertexte"/>
            <w:rFonts w:eastAsia="Batang"/>
            <w:noProof/>
            <w:lang w:val="en-US"/>
          </w:rPr>
          <w:t>2.17</w:t>
        </w:r>
        <w:r w:rsidRPr="00D60732">
          <w:rPr>
            <w:rStyle w:val="Lienhypertexte"/>
            <w:rFonts w:eastAsia="Batang"/>
            <w:i/>
            <w:iCs/>
            <w:noProof/>
            <w:lang w:val="en-US"/>
          </w:rPr>
          <w:t xml:space="preserve"> Radionuclide Mobilization Frequency (RMF)</w:t>
        </w:r>
        <w:r>
          <w:rPr>
            <w:noProof/>
            <w:webHidden/>
          </w:rPr>
          <w:tab/>
        </w:r>
        <w:r>
          <w:rPr>
            <w:noProof/>
            <w:webHidden/>
          </w:rPr>
          <w:fldChar w:fldCharType="begin"/>
        </w:r>
        <w:r>
          <w:rPr>
            <w:noProof/>
            <w:webHidden/>
          </w:rPr>
          <w:instrText xml:space="preserve"> PAGEREF _Toc474430189 \h </w:instrText>
        </w:r>
        <w:r>
          <w:rPr>
            <w:noProof/>
            <w:webHidden/>
          </w:rPr>
        </w:r>
        <w:r>
          <w:rPr>
            <w:noProof/>
            <w:webHidden/>
          </w:rPr>
          <w:fldChar w:fldCharType="separate"/>
        </w:r>
        <w:r>
          <w:rPr>
            <w:noProof/>
            <w:webHidden/>
          </w:rPr>
          <w:t>70</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90" w:history="1">
        <w:r w:rsidRPr="00D60732">
          <w:rPr>
            <w:rStyle w:val="Lienhypertexte"/>
          </w:rPr>
          <w:t>2.17.1 Definition of Risk Measure</w:t>
        </w:r>
        <w:r>
          <w:rPr>
            <w:webHidden/>
          </w:rPr>
          <w:tab/>
        </w:r>
        <w:r>
          <w:rPr>
            <w:webHidden/>
          </w:rPr>
          <w:fldChar w:fldCharType="begin"/>
        </w:r>
        <w:r>
          <w:rPr>
            <w:webHidden/>
          </w:rPr>
          <w:instrText xml:space="preserve"> PAGEREF _Toc474430190 \h </w:instrText>
        </w:r>
        <w:r>
          <w:rPr>
            <w:webHidden/>
          </w:rPr>
        </w:r>
        <w:r>
          <w:rPr>
            <w:webHidden/>
          </w:rPr>
          <w:fldChar w:fldCharType="separate"/>
        </w:r>
        <w:r>
          <w:rPr>
            <w:webHidden/>
          </w:rPr>
          <w:t>70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91" w:history="1">
        <w:r w:rsidRPr="00D60732">
          <w:rPr>
            <w:rStyle w:val="Lienhypertexte"/>
          </w:rPr>
          <w:t>2.17.2 Areas of application</w:t>
        </w:r>
        <w:r>
          <w:rPr>
            <w:webHidden/>
          </w:rPr>
          <w:tab/>
        </w:r>
        <w:r>
          <w:rPr>
            <w:webHidden/>
          </w:rPr>
          <w:fldChar w:fldCharType="begin"/>
        </w:r>
        <w:r>
          <w:rPr>
            <w:webHidden/>
          </w:rPr>
          <w:instrText xml:space="preserve"> PAGEREF _Toc474430191 \h </w:instrText>
        </w:r>
        <w:r>
          <w:rPr>
            <w:webHidden/>
          </w:rPr>
        </w:r>
        <w:r>
          <w:rPr>
            <w:webHidden/>
          </w:rPr>
          <w:fldChar w:fldCharType="separate"/>
        </w:r>
        <w:r>
          <w:rPr>
            <w:webHidden/>
          </w:rPr>
          <w:t>71</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92" w:history="1">
        <w:r w:rsidRPr="00D60732">
          <w:rPr>
            <w:rStyle w:val="Lienhypertexte"/>
          </w:rPr>
          <w:t>2.17.3 Discussion</w:t>
        </w:r>
        <w:r>
          <w:rPr>
            <w:webHidden/>
          </w:rPr>
          <w:tab/>
        </w:r>
        <w:r>
          <w:rPr>
            <w:webHidden/>
          </w:rPr>
          <w:fldChar w:fldCharType="begin"/>
        </w:r>
        <w:r>
          <w:rPr>
            <w:webHidden/>
          </w:rPr>
          <w:instrText xml:space="preserve"> PAGEREF _Toc474430192 \h </w:instrText>
        </w:r>
        <w:r>
          <w:rPr>
            <w:webHidden/>
          </w:rPr>
        </w:r>
        <w:r>
          <w:rPr>
            <w:webHidden/>
          </w:rPr>
          <w:fldChar w:fldCharType="separate"/>
        </w:r>
        <w:r>
          <w:rPr>
            <w:webHidden/>
          </w:rPr>
          <w:t>71</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93" w:history="1">
        <w:r w:rsidRPr="00D60732">
          <w:rPr>
            <w:rStyle w:val="Lienhypertexte"/>
          </w:rPr>
          <w:t>2.17.4 Limitation</w:t>
        </w:r>
        <w:r>
          <w:rPr>
            <w:webHidden/>
          </w:rPr>
          <w:tab/>
        </w:r>
        <w:r>
          <w:rPr>
            <w:webHidden/>
          </w:rPr>
          <w:fldChar w:fldCharType="begin"/>
        </w:r>
        <w:r>
          <w:rPr>
            <w:webHidden/>
          </w:rPr>
          <w:instrText xml:space="preserve"> PAGEREF _Toc474430193 \h </w:instrText>
        </w:r>
        <w:r>
          <w:rPr>
            <w:webHidden/>
          </w:rPr>
        </w:r>
        <w:r>
          <w:rPr>
            <w:webHidden/>
          </w:rPr>
          <w:fldChar w:fldCharType="separate"/>
        </w:r>
        <w:r>
          <w:rPr>
            <w:webHidden/>
          </w:rPr>
          <w:t>73</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94" w:history="1">
        <w:r w:rsidRPr="00D60732">
          <w:rPr>
            <w:rStyle w:val="Lienhypertexte"/>
          </w:rPr>
          <w:t>2.17.5 ASAMPSA_E recommendation on RMF</w:t>
        </w:r>
        <w:r>
          <w:rPr>
            <w:webHidden/>
          </w:rPr>
          <w:tab/>
        </w:r>
        <w:r>
          <w:rPr>
            <w:webHidden/>
          </w:rPr>
          <w:fldChar w:fldCharType="begin"/>
        </w:r>
        <w:r>
          <w:rPr>
            <w:webHidden/>
          </w:rPr>
          <w:instrText xml:space="preserve"> PAGEREF _Toc474430194 \h </w:instrText>
        </w:r>
        <w:r>
          <w:rPr>
            <w:webHidden/>
          </w:rPr>
        </w:r>
        <w:r>
          <w:rPr>
            <w:webHidden/>
          </w:rPr>
          <w:fldChar w:fldCharType="separate"/>
        </w:r>
        <w:r>
          <w:rPr>
            <w:webHidden/>
          </w:rPr>
          <w:t>73</w:t>
        </w:r>
        <w:r>
          <w:rPr>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195" w:history="1">
        <w:r w:rsidRPr="00D60732">
          <w:rPr>
            <w:rStyle w:val="Lienhypertexte"/>
            <w:rFonts w:eastAsia="Batang"/>
            <w:noProof/>
            <w:lang w:val="en-US"/>
          </w:rPr>
          <w:t>3 Risk Metrics for Level 2 PSA</w:t>
        </w:r>
        <w:r>
          <w:rPr>
            <w:noProof/>
            <w:webHidden/>
          </w:rPr>
          <w:tab/>
        </w:r>
        <w:r>
          <w:rPr>
            <w:noProof/>
            <w:webHidden/>
          </w:rPr>
          <w:fldChar w:fldCharType="begin"/>
        </w:r>
        <w:r>
          <w:rPr>
            <w:noProof/>
            <w:webHidden/>
          </w:rPr>
          <w:instrText xml:space="preserve"> PAGEREF _Toc474430195 \h </w:instrText>
        </w:r>
        <w:r>
          <w:rPr>
            <w:noProof/>
            <w:webHidden/>
          </w:rPr>
        </w:r>
        <w:r>
          <w:rPr>
            <w:noProof/>
            <w:webHidden/>
          </w:rPr>
          <w:fldChar w:fldCharType="separate"/>
        </w:r>
        <w:r>
          <w:rPr>
            <w:noProof/>
            <w:webHidden/>
          </w:rPr>
          <w:t>74</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196" w:history="1">
        <w:r w:rsidRPr="00D60732">
          <w:rPr>
            <w:rStyle w:val="Lienhypertexte"/>
            <w:noProof/>
            <w:lang w:val="en-US"/>
          </w:rPr>
          <w:t>3.1 Large Release Frequency (LRF)</w:t>
        </w:r>
        <w:r>
          <w:rPr>
            <w:noProof/>
            <w:webHidden/>
          </w:rPr>
          <w:tab/>
        </w:r>
        <w:r>
          <w:rPr>
            <w:noProof/>
            <w:webHidden/>
          </w:rPr>
          <w:fldChar w:fldCharType="begin"/>
        </w:r>
        <w:r>
          <w:rPr>
            <w:noProof/>
            <w:webHidden/>
          </w:rPr>
          <w:instrText xml:space="preserve"> PAGEREF _Toc474430196 \h </w:instrText>
        </w:r>
        <w:r>
          <w:rPr>
            <w:noProof/>
            <w:webHidden/>
          </w:rPr>
        </w:r>
        <w:r>
          <w:rPr>
            <w:noProof/>
            <w:webHidden/>
          </w:rPr>
          <w:fldChar w:fldCharType="separate"/>
        </w:r>
        <w:r>
          <w:rPr>
            <w:noProof/>
            <w:webHidden/>
          </w:rPr>
          <w:t>74</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97" w:history="1">
        <w:r w:rsidRPr="00D60732">
          <w:rPr>
            <w:rStyle w:val="Lienhypertexte"/>
          </w:rPr>
          <w:t>3.1.1 Definition of Risk Measure</w:t>
        </w:r>
        <w:r>
          <w:rPr>
            <w:webHidden/>
          </w:rPr>
          <w:tab/>
        </w:r>
        <w:r>
          <w:rPr>
            <w:webHidden/>
          </w:rPr>
          <w:fldChar w:fldCharType="begin"/>
        </w:r>
        <w:r>
          <w:rPr>
            <w:webHidden/>
          </w:rPr>
          <w:instrText xml:space="preserve"> PAGEREF _Toc474430197 \h </w:instrText>
        </w:r>
        <w:r>
          <w:rPr>
            <w:webHidden/>
          </w:rPr>
        </w:r>
        <w:r>
          <w:rPr>
            <w:webHidden/>
          </w:rPr>
          <w:fldChar w:fldCharType="separate"/>
        </w:r>
        <w:r>
          <w:rPr>
            <w:webHidden/>
          </w:rPr>
          <w:t>74</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98" w:history="1">
        <w:r w:rsidRPr="00D60732">
          <w:rPr>
            <w:rStyle w:val="Lienhypertexte"/>
          </w:rPr>
          <w:t>3.1.2 Discussion</w:t>
        </w:r>
        <w:r>
          <w:rPr>
            <w:webHidden/>
          </w:rPr>
          <w:tab/>
        </w:r>
        <w:r>
          <w:rPr>
            <w:webHidden/>
          </w:rPr>
          <w:fldChar w:fldCharType="begin"/>
        </w:r>
        <w:r>
          <w:rPr>
            <w:webHidden/>
          </w:rPr>
          <w:instrText xml:space="preserve"> PAGEREF _Toc474430198 \h </w:instrText>
        </w:r>
        <w:r>
          <w:rPr>
            <w:webHidden/>
          </w:rPr>
        </w:r>
        <w:r>
          <w:rPr>
            <w:webHidden/>
          </w:rPr>
          <w:fldChar w:fldCharType="separate"/>
        </w:r>
        <w:r>
          <w:rPr>
            <w:webHidden/>
          </w:rPr>
          <w:t>76</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199" w:history="1">
        <w:r w:rsidRPr="00D60732">
          <w:rPr>
            <w:rStyle w:val="Lienhypertexte"/>
          </w:rPr>
          <w:t>3.1.3 Limitation</w:t>
        </w:r>
        <w:r>
          <w:rPr>
            <w:webHidden/>
          </w:rPr>
          <w:tab/>
        </w:r>
        <w:r>
          <w:rPr>
            <w:webHidden/>
          </w:rPr>
          <w:fldChar w:fldCharType="begin"/>
        </w:r>
        <w:r>
          <w:rPr>
            <w:webHidden/>
          </w:rPr>
          <w:instrText xml:space="preserve"> PAGEREF _Toc474430199 \h </w:instrText>
        </w:r>
        <w:r>
          <w:rPr>
            <w:webHidden/>
          </w:rPr>
        </w:r>
        <w:r>
          <w:rPr>
            <w:webHidden/>
          </w:rPr>
          <w:fldChar w:fldCharType="separate"/>
        </w:r>
        <w:r>
          <w:rPr>
            <w:webHidden/>
          </w:rPr>
          <w:t>77</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00" w:history="1">
        <w:r w:rsidRPr="00D60732">
          <w:rPr>
            <w:rStyle w:val="Lienhypertexte"/>
          </w:rPr>
          <w:t>3.1.4 ASAMPSA_E recommendation on large release measure</w:t>
        </w:r>
        <w:r>
          <w:rPr>
            <w:webHidden/>
          </w:rPr>
          <w:tab/>
        </w:r>
        <w:r>
          <w:rPr>
            <w:webHidden/>
          </w:rPr>
          <w:fldChar w:fldCharType="begin"/>
        </w:r>
        <w:r>
          <w:rPr>
            <w:webHidden/>
          </w:rPr>
          <w:instrText xml:space="preserve"> PAGEREF _Toc474430200 \h </w:instrText>
        </w:r>
        <w:r>
          <w:rPr>
            <w:webHidden/>
          </w:rPr>
        </w:r>
        <w:r>
          <w:rPr>
            <w:webHidden/>
          </w:rPr>
          <w:fldChar w:fldCharType="separate"/>
        </w:r>
        <w:r>
          <w:rPr>
            <w:webHidden/>
          </w:rPr>
          <w:t>77</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01" w:history="1">
        <w:r w:rsidRPr="00D60732">
          <w:rPr>
            <w:rStyle w:val="Lienhypertexte"/>
            <w:noProof/>
            <w:lang w:val="en-US"/>
          </w:rPr>
          <w:t>3.2 Early Release Frequency (ERF)</w:t>
        </w:r>
        <w:r>
          <w:rPr>
            <w:noProof/>
            <w:webHidden/>
          </w:rPr>
          <w:tab/>
        </w:r>
        <w:r>
          <w:rPr>
            <w:noProof/>
            <w:webHidden/>
          </w:rPr>
          <w:fldChar w:fldCharType="begin"/>
        </w:r>
        <w:r>
          <w:rPr>
            <w:noProof/>
            <w:webHidden/>
          </w:rPr>
          <w:instrText xml:space="preserve"> PAGEREF _Toc474430201 \h </w:instrText>
        </w:r>
        <w:r>
          <w:rPr>
            <w:noProof/>
            <w:webHidden/>
          </w:rPr>
        </w:r>
        <w:r>
          <w:rPr>
            <w:noProof/>
            <w:webHidden/>
          </w:rPr>
          <w:fldChar w:fldCharType="separate"/>
        </w:r>
        <w:r>
          <w:rPr>
            <w:noProof/>
            <w:webHidden/>
          </w:rPr>
          <w:t>78</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02" w:history="1">
        <w:r w:rsidRPr="00D60732">
          <w:rPr>
            <w:rStyle w:val="Lienhypertexte"/>
          </w:rPr>
          <w:t>3.2.1 Definition of Risk Measure</w:t>
        </w:r>
        <w:r>
          <w:rPr>
            <w:webHidden/>
          </w:rPr>
          <w:tab/>
        </w:r>
        <w:r>
          <w:rPr>
            <w:webHidden/>
          </w:rPr>
          <w:fldChar w:fldCharType="begin"/>
        </w:r>
        <w:r>
          <w:rPr>
            <w:webHidden/>
          </w:rPr>
          <w:instrText xml:space="preserve"> PAGEREF _Toc474430202 \h </w:instrText>
        </w:r>
        <w:r>
          <w:rPr>
            <w:webHidden/>
          </w:rPr>
        </w:r>
        <w:r>
          <w:rPr>
            <w:webHidden/>
          </w:rPr>
          <w:fldChar w:fldCharType="separate"/>
        </w:r>
        <w:r>
          <w:rPr>
            <w:webHidden/>
          </w:rPr>
          <w:t>78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03" w:history="1">
        <w:r w:rsidRPr="00D60732">
          <w:rPr>
            <w:rStyle w:val="Lienhypertexte"/>
          </w:rPr>
          <w:t>3.2.2 Discussion</w:t>
        </w:r>
        <w:r>
          <w:rPr>
            <w:webHidden/>
          </w:rPr>
          <w:tab/>
        </w:r>
        <w:r>
          <w:rPr>
            <w:webHidden/>
          </w:rPr>
          <w:fldChar w:fldCharType="begin"/>
        </w:r>
        <w:r>
          <w:rPr>
            <w:webHidden/>
          </w:rPr>
          <w:instrText xml:space="preserve"> PAGEREF _Toc474430203 \h </w:instrText>
        </w:r>
        <w:r>
          <w:rPr>
            <w:webHidden/>
          </w:rPr>
        </w:r>
        <w:r>
          <w:rPr>
            <w:webHidden/>
          </w:rPr>
          <w:fldChar w:fldCharType="separate"/>
        </w:r>
        <w:r>
          <w:rPr>
            <w:webHidden/>
          </w:rPr>
          <w:t>79</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04" w:history="1">
        <w:r w:rsidRPr="00D60732">
          <w:rPr>
            <w:rStyle w:val="Lienhypertexte"/>
          </w:rPr>
          <w:t>3.2.3 Limitation</w:t>
        </w:r>
        <w:r>
          <w:rPr>
            <w:webHidden/>
          </w:rPr>
          <w:tab/>
        </w:r>
        <w:r>
          <w:rPr>
            <w:webHidden/>
          </w:rPr>
          <w:fldChar w:fldCharType="begin"/>
        </w:r>
        <w:r>
          <w:rPr>
            <w:webHidden/>
          </w:rPr>
          <w:instrText xml:space="preserve"> PAGEREF _Toc474430204 \h </w:instrText>
        </w:r>
        <w:r>
          <w:rPr>
            <w:webHidden/>
          </w:rPr>
        </w:r>
        <w:r>
          <w:rPr>
            <w:webHidden/>
          </w:rPr>
          <w:fldChar w:fldCharType="separate"/>
        </w:r>
        <w:r>
          <w:rPr>
            <w:webHidden/>
          </w:rPr>
          <w:t>80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05" w:history="1">
        <w:r w:rsidRPr="00D60732">
          <w:rPr>
            <w:rStyle w:val="Lienhypertexte"/>
          </w:rPr>
          <w:t>3.2.4 ASAMPSA_E recommendation on early release measure definition</w:t>
        </w:r>
        <w:r>
          <w:rPr>
            <w:webHidden/>
          </w:rPr>
          <w:tab/>
        </w:r>
        <w:r>
          <w:rPr>
            <w:webHidden/>
          </w:rPr>
          <w:fldChar w:fldCharType="begin"/>
        </w:r>
        <w:r>
          <w:rPr>
            <w:webHidden/>
          </w:rPr>
          <w:instrText xml:space="preserve"> PAGEREF _Toc474430205 \h </w:instrText>
        </w:r>
        <w:r>
          <w:rPr>
            <w:webHidden/>
          </w:rPr>
        </w:r>
        <w:r>
          <w:rPr>
            <w:webHidden/>
          </w:rPr>
          <w:fldChar w:fldCharType="separate"/>
        </w:r>
        <w:r>
          <w:rPr>
            <w:webHidden/>
          </w:rPr>
          <w:t>80</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06" w:history="1">
        <w:r w:rsidRPr="00D60732">
          <w:rPr>
            <w:rStyle w:val="Lienhypertexte"/>
            <w:noProof/>
            <w:lang w:val="en-US"/>
          </w:rPr>
          <w:t>3.3 Large Early Release Frequency (LERF)</w:t>
        </w:r>
        <w:r>
          <w:rPr>
            <w:noProof/>
            <w:webHidden/>
          </w:rPr>
          <w:tab/>
        </w:r>
        <w:r>
          <w:rPr>
            <w:noProof/>
            <w:webHidden/>
          </w:rPr>
          <w:fldChar w:fldCharType="begin"/>
        </w:r>
        <w:r>
          <w:rPr>
            <w:noProof/>
            <w:webHidden/>
          </w:rPr>
          <w:instrText xml:space="preserve"> PAGEREF _Toc474430206 \h </w:instrText>
        </w:r>
        <w:r>
          <w:rPr>
            <w:noProof/>
            <w:webHidden/>
          </w:rPr>
        </w:r>
        <w:r>
          <w:rPr>
            <w:noProof/>
            <w:webHidden/>
          </w:rPr>
          <w:fldChar w:fldCharType="separate"/>
        </w:r>
        <w:r>
          <w:rPr>
            <w:noProof/>
            <w:webHidden/>
          </w:rPr>
          <w:t>80</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07" w:history="1">
        <w:r w:rsidRPr="00D60732">
          <w:rPr>
            <w:rStyle w:val="Lienhypertexte"/>
          </w:rPr>
          <w:t>3.3.1 Definition of Risk Measure</w:t>
        </w:r>
        <w:r>
          <w:rPr>
            <w:webHidden/>
          </w:rPr>
          <w:tab/>
        </w:r>
        <w:r>
          <w:rPr>
            <w:webHidden/>
          </w:rPr>
          <w:fldChar w:fldCharType="begin"/>
        </w:r>
        <w:r>
          <w:rPr>
            <w:webHidden/>
          </w:rPr>
          <w:instrText xml:space="preserve"> PAGEREF _Toc474430207 \h </w:instrText>
        </w:r>
        <w:r>
          <w:rPr>
            <w:webHidden/>
          </w:rPr>
        </w:r>
        <w:r>
          <w:rPr>
            <w:webHidden/>
          </w:rPr>
          <w:fldChar w:fldCharType="separate"/>
        </w:r>
        <w:r>
          <w:rPr>
            <w:webHidden/>
          </w:rPr>
          <w:t>80</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08" w:history="1">
        <w:r w:rsidRPr="00D60732">
          <w:rPr>
            <w:rStyle w:val="Lienhypertexte"/>
          </w:rPr>
          <w:t>3.3.2 Discussion</w:t>
        </w:r>
        <w:r>
          <w:rPr>
            <w:webHidden/>
          </w:rPr>
          <w:tab/>
        </w:r>
        <w:r>
          <w:rPr>
            <w:webHidden/>
          </w:rPr>
          <w:fldChar w:fldCharType="begin"/>
        </w:r>
        <w:r>
          <w:rPr>
            <w:webHidden/>
          </w:rPr>
          <w:instrText xml:space="preserve"> PAGEREF _Toc474430208 \h </w:instrText>
        </w:r>
        <w:r>
          <w:rPr>
            <w:webHidden/>
          </w:rPr>
        </w:r>
        <w:r>
          <w:rPr>
            <w:webHidden/>
          </w:rPr>
          <w:fldChar w:fldCharType="separate"/>
        </w:r>
        <w:r>
          <w:rPr>
            <w:webHidden/>
          </w:rPr>
          <w:t>81</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09" w:history="1">
        <w:r w:rsidRPr="00D60732">
          <w:rPr>
            <w:rStyle w:val="Lienhypertexte"/>
          </w:rPr>
          <w:t>3.3.3 Limitation</w:t>
        </w:r>
        <w:r>
          <w:rPr>
            <w:webHidden/>
          </w:rPr>
          <w:tab/>
        </w:r>
        <w:r>
          <w:rPr>
            <w:webHidden/>
          </w:rPr>
          <w:fldChar w:fldCharType="begin"/>
        </w:r>
        <w:r>
          <w:rPr>
            <w:webHidden/>
          </w:rPr>
          <w:instrText xml:space="preserve"> PAGEREF _Toc474430209 \h </w:instrText>
        </w:r>
        <w:r>
          <w:rPr>
            <w:webHidden/>
          </w:rPr>
        </w:r>
        <w:r>
          <w:rPr>
            <w:webHidden/>
          </w:rPr>
          <w:fldChar w:fldCharType="separate"/>
        </w:r>
        <w:r>
          <w:rPr>
            <w:webHidden/>
          </w:rPr>
          <w:t>82</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10" w:history="1">
        <w:r w:rsidRPr="00D60732">
          <w:rPr>
            <w:rStyle w:val="Lienhypertexte"/>
          </w:rPr>
          <w:t>3.3.4 ASAMPSA_E recommendation on LERF</w:t>
        </w:r>
        <w:r>
          <w:rPr>
            <w:webHidden/>
          </w:rPr>
          <w:tab/>
        </w:r>
        <w:r>
          <w:rPr>
            <w:webHidden/>
          </w:rPr>
          <w:fldChar w:fldCharType="begin"/>
        </w:r>
        <w:r>
          <w:rPr>
            <w:webHidden/>
          </w:rPr>
          <w:instrText xml:space="preserve"> PAGEREF _Toc474430210 \h </w:instrText>
        </w:r>
        <w:r>
          <w:rPr>
            <w:webHidden/>
          </w:rPr>
        </w:r>
        <w:r>
          <w:rPr>
            <w:webHidden/>
          </w:rPr>
          <w:fldChar w:fldCharType="separate"/>
        </w:r>
        <w:r>
          <w:rPr>
            <w:webHidden/>
          </w:rPr>
          <w:t>82</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11" w:history="1">
        <w:r w:rsidRPr="00D60732">
          <w:rPr>
            <w:rStyle w:val="Lienhypertexte"/>
            <w:noProof/>
            <w:lang w:val="en-US"/>
          </w:rPr>
          <w:t>3.4 Release Categories Frequency (RCF)</w:t>
        </w:r>
        <w:r>
          <w:rPr>
            <w:noProof/>
            <w:webHidden/>
          </w:rPr>
          <w:tab/>
        </w:r>
        <w:r>
          <w:rPr>
            <w:noProof/>
            <w:webHidden/>
          </w:rPr>
          <w:fldChar w:fldCharType="begin"/>
        </w:r>
        <w:r>
          <w:rPr>
            <w:noProof/>
            <w:webHidden/>
          </w:rPr>
          <w:instrText xml:space="preserve"> PAGEREF _Toc474430211 \h </w:instrText>
        </w:r>
        <w:r>
          <w:rPr>
            <w:noProof/>
            <w:webHidden/>
          </w:rPr>
        </w:r>
        <w:r>
          <w:rPr>
            <w:noProof/>
            <w:webHidden/>
          </w:rPr>
          <w:fldChar w:fldCharType="separate"/>
        </w:r>
        <w:r>
          <w:rPr>
            <w:noProof/>
            <w:webHidden/>
          </w:rPr>
          <w:t>83</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12" w:history="1">
        <w:r w:rsidRPr="00D60732">
          <w:rPr>
            <w:rStyle w:val="Lienhypertexte"/>
          </w:rPr>
          <w:t>3.4.1 Definition of Risk Measure</w:t>
        </w:r>
        <w:r>
          <w:rPr>
            <w:webHidden/>
          </w:rPr>
          <w:tab/>
        </w:r>
        <w:r>
          <w:rPr>
            <w:webHidden/>
          </w:rPr>
          <w:fldChar w:fldCharType="begin"/>
        </w:r>
        <w:r>
          <w:rPr>
            <w:webHidden/>
          </w:rPr>
          <w:instrText xml:space="preserve"> PAGEREF _Toc474430212 \h </w:instrText>
        </w:r>
        <w:r>
          <w:rPr>
            <w:webHidden/>
          </w:rPr>
        </w:r>
        <w:r>
          <w:rPr>
            <w:webHidden/>
          </w:rPr>
          <w:fldChar w:fldCharType="separate"/>
        </w:r>
        <w:r>
          <w:rPr>
            <w:webHidden/>
          </w:rPr>
          <w:t>83</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13" w:history="1">
        <w:r w:rsidRPr="00D60732">
          <w:rPr>
            <w:rStyle w:val="Lienhypertexte"/>
          </w:rPr>
          <w:t>3.4.2 Discussion</w:t>
        </w:r>
        <w:r>
          <w:rPr>
            <w:webHidden/>
          </w:rPr>
          <w:tab/>
        </w:r>
        <w:r>
          <w:rPr>
            <w:webHidden/>
          </w:rPr>
          <w:fldChar w:fldCharType="begin"/>
        </w:r>
        <w:r>
          <w:rPr>
            <w:webHidden/>
          </w:rPr>
          <w:instrText xml:space="preserve"> PAGEREF _Toc474430213 \h </w:instrText>
        </w:r>
        <w:r>
          <w:rPr>
            <w:webHidden/>
          </w:rPr>
        </w:r>
        <w:r>
          <w:rPr>
            <w:webHidden/>
          </w:rPr>
          <w:fldChar w:fldCharType="separate"/>
        </w:r>
        <w:r>
          <w:rPr>
            <w:webHidden/>
          </w:rPr>
          <w:t>83</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14" w:history="1">
        <w:r w:rsidRPr="00D60732">
          <w:rPr>
            <w:rStyle w:val="Lienhypertexte"/>
          </w:rPr>
          <w:t>3.4.3 ASAMPSA_E recommendation on RCF</w:t>
        </w:r>
        <w:r>
          <w:rPr>
            <w:webHidden/>
          </w:rPr>
          <w:tab/>
        </w:r>
        <w:r>
          <w:rPr>
            <w:webHidden/>
          </w:rPr>
          <w:fldChar w:fldCharType="begin"/>
        </w:r>
        <w:r>
          <w:rPr>
            <w:webHidden/>
          </w:rPr>
          <w:instrText xml:space="preserve"> PAGEREF _Toc474430214 \h </w:instrText>
        </w:r>
        <w:r>
          <w:rPr>
            <w:webHidden/>
          </w:rPr>
        </w:r>
        <w:r>
          <w:rPr>
            <w:webHidden/>
          </w:rPr>
          <w:fldChar w:fldCharType="separate"/>
        </w:r>
        <w:r>
          <w:rPr>
            <w:webHidden/>
          </w:rPr>
          <w:t>84</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15" w:history="1">
        <w:r w:rsidRPr="00D60732">
          <w:rPr>
            <w:rStyle w:val="Lienhypertexte"/>
            <w:noProof/>
            <w:lang w:val="en-US"/>
          </w:rPr>
          <w:t>3.5 Frequency of Loss of containment functions</w:t>
        </w:r>
        <w:r>
          <w:rPr>
            <w:noProof/>
            <w:webHidden/>
          </w:rPr>
          <w:tab/>
        </w:r>
        <w:r>
          <w:rPr>
            <w:noProof/>
            <w:webHidden/>
          </w:rPr>
          <w:fldChar w:fldCharType="begin"/>
        </w:r>
        <w:r>
          <w:rPr>
            <w:noProof/>
            <w:webHidden/>
          </w:rPr>
          <w:instrText xml:space="preserve"> PAGEREF _Toc474430215 \h </w:instrText>
        </w:r>
        <w:r>
          <w:rPr>
            <w:noProof/>
            <w:webHidden/>
          </w:rPr>
        </w:r>
        <w:r>
          <w:rPr>
            <w:noProof/>
            <w:webHidden/>
          </w:rPr>
          <w:fldChar w:fldCharType="separate"/>
        </w:r>
        <w:r>
          <w:rPr>
            <w:noProof/>
            <w:webHidden/>
          </w:rPr>
          <w:t>84</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16" w:history="1">
        <w:r w:rsidRPr="00D60732">
          <w:rPr>
            <w:rStyle w:val="Lienhypertexte"/>
          </w:rPr>
          <w:t>3.5.1 Definition of Risk Measure</w:t>
        </w:r>
        <w:r>
          <w:rPr>
            <w:webHidden/>
          </w:rPr>
          <w:tab/>
        </w:r>
        <w:r>
          <w:rPr>
            <w:webHidden/>
          </w:rPr>
          <w:fldChar w:fldCharType="begin"/>
        </w:r>
        <w:r>
          <w:rPr>
            <w:webHidden/>
          </w:rPr>
          <w:instrText xml:space="preserve"> PAGEREF _Toc474430216 \h </w:instrText>
        </w:r>
        <w:r>
          <w:rPr>
            <w:webHidden/>
          </w:rPr>
        </w:r>
        <w:r>
          <w:rPr>
            <w:webHidden/>
          </w:rPr>
          <w:fldChar w:fldCharType="separate"/>
        </w:r>
        <w:r>
          <w:rPr>
            <w:webHidden/>
          </w:rPr>
          <w:t>84</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17" w:history="1">
        <w:r w:rsidRPr="00D60732">
          <w:rPr>
            <w:rStyle w:val="Lienhypertexte"/>
          </w:rPr>
          <w:t>3.5.2 Limitations</w:t>
        </w:r>
        <w:r>
          <w:rPr>
            <w:webHidden/>
          </w:rPr>
          <w:tab/>
        </w:r>
        <w:r>
          <w:rPr>
            <w:webHidden/>
          </w:rPr>
          <w:fldChar w:fldCharType="begin"/>
        </w:r>
        <w:r>
          <w:rPr>
            <w:webHidden/>
          </w:rPr>
          <w:instrText xml:space="preserve"> PAGEREF _Toc474430217 \h </w:instrText>
        </w:r>
        <w:r>
          <w:rPr>
            <w:webHidden/>
          </w:rPr>
        </w:r>
        <w:r>
          <w:rPr>
            <w:webHidden/>
          </w:rPr>
          <w:fldChar w:fldCharType="separate"/>
        </w:r>
        <w:r>
          <w:rPr>
            <w:webHidden/>
          </w:rPr>
          <w:t>85</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18" w:history="1">
        <w:r w:rsidRPr="00D60732">
          <w:rPr>
            <w:rStyle w:val="Lienhypertexte"/>
          </w:rPr>
          <w:t>3.5.3 ASAMPSA_E recommendation on measure for loss of containment function</w:t>
        </w:r>
        <w:r>
          <w:rPr>
            <w:webHidden/>
          </w:rPr>
          <w:tab/>
        </w:r>
        <w:r>
          <w:rPr>
            <w:webHidden/>
          </w:rPr>
          <w:fldChar w:fldCharType="begin"/>
        </w:r>
        <w:r>
          <w:rPr>
            <w:webHidden/>
          </w:rPr>
          <w:instrText xml:space="preserve"> PAGEREF _Toc474430218 \h </w:instrText>
        </w:r>
        <w:r>
          <w:rPr>
            <w:webHidden/>
          </w:rPr>
        </w:r>
        <w:r>
          <w:rPr>
            <w:webHidden/>
          </w:rPr>
          <w:fldChar w:fldCharType="separate"/>
        </w:r>
        <w:r>
          <w:rPr>
            <w:webHidden/>
          </w:rPr>
          <w:t>85</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19" w:history="1">
        <w:r w:rsidRPr="00D60732">
          <w:rPr>
            <w:rStyle w:val="Lienhypertexte"/>
            <w:noProof/>
            <w:lang w:val="en-US"/>
          </w:rPr>
          <w:t>3.6 Frequency of “Kinetics Based” Release Categories</w:t>
        </w:r>
        <w:r>
          <w:rPr>
            <w:noProof/>
            <w:webHidden/>
          </w:rPr>
          <w:tab/>
        </w:r>
        <w:r>
          <w:rPr>
            <w:noProof/>
            <w:webHidden/>
          </w:rPr>
          <w:fldChar w:fldCharType="begin"/>
        </w:r>
        <w:r>
          <w:rPr>
            <w:noProof/>
            <w:webHidden/>
          </w:rPr>
          <w:instrText xml:space="preserve"> PAGEREF _Toc474430219 \h </w:instrText>
        </w:r>
        <w:r>
          <w:rPr>
            <w:noProof/>
            <w:webHidden/>
          </w:rPr>
        </w:r>
        <w:r>
          <w:rPr>
            <w:noProof/>
            <w:webHidden/>
          </w:rPr>
          <w:fldChar w:fldCharType="separate"/>
        </w:r>
        <w:r>
          <w:rPr>
            <w:noProof/>
            <w:webHidden/>
          </w:rPr>
          <w:t>86</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20" w:history="1">
        <w:r w:rsidRPr="00D60732">
          <w:rPr>
            <w:rStyle w:val="Lienhypertexte"/>
            <w:noProof/>
            <w:lang w:val="en-US"/>
          </w:rPr>
          <w:t>3.7</w:t>
        </w:r>
        <w:r w:rsidRPr="00D60732">
          <w:rPr>
            <w:rStyle w:val="Lienhypertexte"/>
            <w:rFonts w:eastAsia="Batang"/>
            <w:noProof/>
            <w:lang w:val="en-US"/>
          </w:rPr>
          <w:t xml:space="preserve"> Functional and </w:t>
        </w:r>
        <w:r w:rsidRPr="00D60732">
          <w:rPr>
            <w:rStyle w:val="Lienhypertexte"/>
            <w:noProof/>
            <w:lang w:val="en-US"/>
          </w:rPr>
          <w:t>Phenomena Based Risk Metric</w:t>
        </w:r>
        <w:r>
          <w:rPr>
            <w:noProof/>
            <w:webHidden/>
          </w:rPr>
          <w:tab/>
        </w:r>
        <w:r>
          <w:rPr>
            <w:noProof/>
            <w:webHidden/>
          </w:rPr>
          <w:fldChar w:fldCharType="begin"/>
        </w:r>
        <w:r>
          <w:rPr>
            <w:noProof/>
            <w:webHidden/>
          </w:rPr>
          <w:instrText xml:space="preserve"> PAGEREF _Toc474430220 \h </w:instrText>
        </w:r>
        <w:r>
          <w:rPr>
            <w:noProof/>
            <w:webHidden/>
          </w:rPr>
        </w:r>
        <w:r>
          <w:rPr>
            <w:noProof/>
            <w:webHidden/>
          </w:rPr>
          <w:fldChar w:fldCharType="separate"/>
        </w:r>
        <w:r>
          <w:rPr>
            <w:noProof/>
            <w:webHidden/>
          </w:rPr>
          <w:t>86</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21" w:history="1">
        <w:r w:rsidRPr="00D60732">
          <w:rPr>
            <w:rStyle w:val="Lienhypertexte"/>
          </w:rPr>
          <w:t>3.7.1 Definition of Risk Metric</w:t>
        </w:r>
        <w:r>
          <w:rPr>
            <w:webHidden/>
          </w:rPr>
          <w:tab/>
        </w:r>
        <w:r>
          <w:rPr>
            <w:webHidden/>
          </w:rPr>
          <w:fldChar w:fldCharType="begin"/>
        </w:r>
        <w:r>
          <w:rPr>
            <w:webHidden/>
          </w:rPr>
          <w:instrText xml:space="preserve"> PAGEREF _Toc474430221 \h </w:instrText>
        </w:r>
        <w:r>
          <w:rPr>
            <w:webHidden/>
          </w:rPr>
        </w:r>
        <w:r>
          <w:rPr>
            <w:webHidden/>
          </w:rPr>
          <w:fldChar w:fldCharType="separate"/>
        </w:r>
        <w:r>
          <w:rPr>
            <w:webHidden/>
          </w:rPr>
          <w:t>86</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22" w:history="1">
        <w:r w:rsidRPr="00D60732">
          <w:rPr>
            <w:rStyle w:val="Lienhypertexte"/>
          </w:rPr>
          <w:t>3.7.2 Limitation</w:t>
        </w:r>
        <w:r>
          <w:rPr>
            <w:webHidden/>
          </w:rPr>
          <w:tab/>
        </w:r>
        <w:r>
          <w:rPr>
            <w:webHidden/>
          </w:rPr>
          <w:fldChar w:fldCharType="begin"/>
        </w:r>
        <w:r>
          <w:rPr>
            <w:webHidden/>
          </w:rPr>
          <w:instrText xml:space="preserve"> PAGEREF _Toc474430222 \h </w:instrText>
        </w:r>
        <w:r>
          <w:rPr>
            <w:webHidden/>
          </w:rPr>
        </w:r>
        <w:r>
          <w:rPr>
            <w:webHidden/>
          </w:rPr>
          <w:fldChar w:fldCharType="separate"/>
        </w:r>
        <w:r>
          <w:rPr>
            <w:webHidden/>
          </w:rPr>
          <w:t>88</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23" w:history="1">
        <w:r w:rsidRPr="00D60732">
          <w:rPr>
            <w:rStyle w:val="Lienhypertexte"/>
          </w:rPr>
          <w:t>3.7.3 ASAMPSA_E recommendation on phenomena-based measure</w:t>
        </w:r>
        <w:r>
          <w:rPr>
            <w:webHidden/>
          </w:rPr>
          <w:tab/>
        </w:r>
        <w:r>
          <w:rPr>
            <w:webHidden/>
          </w:rPr>
          <w:fldChar w:fldCharType="begin"/>
        </w:r>
        <w:r>
          <w:rPr>
            <w:webHidden/>
          </w:rPr>
          <w:instrText xml:space="preserve"> PAGEREF _Toc474430223 \h </w:instrText>
        </w:r>
        <w:r>
          <w:rPr>
            <w:webHidden/>
          </w:rPr>
        </w:r>
        <w:r>
          <w:rPr>
            <w:webHidden/>
          </w:rPr>
          <w:fldChar w:fldCharType="separate"/>
        </w:r>
        <w:r>
          <w:rPr>
            <w:webHidden/>
          </w:rPr>
          <w:t>88</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24" w:history="1">
        <w:r w:rsidRPr="00D60732">
          <w:rPr>
            <w:rStyle w:val="Lienhypertexte"/>
            <w:noProof/>
            <w:lang w:val="en-US"/>
          </w:rPr>
          <w:t>3.8 Frequency of Release Based Categories</w:t>
        </w:r>
        <w:r>
          <w:rPr>
            <w:noProof/>
            <w:webHidden/>
          </w:rPr>
          <w:tab/>
        </w:r>
        <w:r>
          <w:rPr>
            <w:noProof/>
            <w:webHidden/>
          </w:rPr>
          <w:fldChar w:fldCharType="begin"/>
        </w:r>
        <w:r>
          <w:rPr>
            <w:noProof/>
            <w:webHidden/>
          </w:rPr>
          <w:instrText xml:space="preserve"> PAGEREF _Toc474430224 \h </w:instrText>
        </w:r>
        <w:r>
          <w:rPr>
            <w:noProof/>
            <w:webHidden/>
          </w:rPr>
        </w:r>
        <w:r>
          <w:rPr>
            <w:noProof/>
            <w:webHidden/>
          </w:rPr>
          <w:fldChar w:fldCharType="separate"/>
        </w:r>
        <w:r>
          <w:rPr>
            <w:noProof/>
            <w:webHidden/>
          </w:rPr>
          <w:t>88</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25" w:history="1">
        <w:r w:rsidRPr="00D60732">
          <w:rPr>
            <w:rStyle w:val="Lienhypertexte"/>
            <w:noProof/>
            <w:lang w:val="en-US"/>
          </w:rPr>
          <w:t>3.9 Absolute Severity Metric</w:t>
        </w:r>
        <w:r>
          <w:rPr>
            <w:noProof/>
            <w:webHidden/>
          </w:rPr>
          <w:tab/>
        </w:r>
        <w:r>
          <w:rPr>
            <w:noProof/>
            <w:webHidden/>
          </w:rPr>
          <w:fldChar w:fldCharType="begin"/>
        </w:r>
        <w:r>
          <w:rPr>
            <w:noProof/>
            <w:webHidden/>
          </w:rPr>
          <w:instrText xml:space="preserve"> PAGEREF _Toc474430225 \h </w:instrText>
        </w:r>
        <w:r>
          <w:rPr>
            <w:noProof/>
            <w:webHidden/>
          </w:rPr>
        </w:r>
        <w:r>
          <w:rPr>
            <w:noProof/>
            <w:webHidden/>
          </w:rPr>
          <w:fldChar w:fldCharType="separate"/>
        </w:r>
        <w:r>
          <w:rPr>
            <w:noProof/>
            <w:webHidden/>
          </w:rPr>
          <w:t>89</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26" w:history="1">
        <w:r w:rsidRPr="00D60732">
          <w:rPr>
            <w:rStyle w:val="Lienhypertexte"/>
          </w:rPr>
          <w:t>3.9.1 Definition of Risk Measures</w:t>
        </w:r>
        <w:r>
          <w:rPr>
            <w:webHidden/>
          </w:rPr>
          <w:tab/>
        </w:r>
        <w:r>
          <w:rPr>
            <w:webHidden/>
          </w:rPr>
          <w:fldChar w:fldCharType="begin"/>
        </w:r>
        <w:r>
          <w:rPr>
            <w:webHidden/>
          </w:rPr>
          <w:instrText xml:space="preserve"> PAGEREF _Toc474430226 \h </w:instrText>
        </w:r>
        <w:r>
          <w:rPr>
            <w:webHidden/>
          </w:rPr>
        </w:r>
        <w:r>
          <w:rPr>
            <w:webHidden/>
          </w:rPr>
          <w:fldChar w:fldCharType="separate"/>
        </w:r>
        <w:r>
          <w:rPr>
            <w:webHidden/>
          </w:rPr>
          <w:t>89</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27" w:history="1">
        <w:r w:rsidRPr="00D60732">
          <w:rPr>
            <w:rStyle w:val="Lienhypertexte"/>
          </w:rPr>
          <w:t>3.9.2 Discussion</w:t>
        </w:r>
        <w:r>
          <w:rPr>
            <w:webHidden/>
          </w:rPr>
          <w:tab/>
        </w:r>
        <w:r>
          <w:rPr>
            <w:webHidden/>
          </w:rPr>
          <w:fldChar w:fldCharType="begin"/>
        </w:r>
        <w:r>
          <w:rPr>
            <w:webHidden/>
          </w:rPr>
          <w:instrText xml:space="preserve"> PAGEREF _Toc474430227 \h </w:instrText>
        </w:r>
        <w:r>
          <w:rPr>
            <w:webHidden/>
          </w:rPr>
        </w:r>
        <w:r>
          <w:rPr>
            <w:webHidden/>
          </w:rPr>
          <w:fldChar w:fldCharType="separate"/>
        </w:r>
        <w:r>
          <w:rPr>
            <w:webHidden/>
          </w:rPr>
          <w:t>91</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28" w:history="1">
        <w:r w:rsidRPr="00D60732">
          <w:rPr>
            <w:rStyle w:val="Lienhypertexte"/>
          </w:rPr>
          <w:t>3.9.3 ASAMPSA_E recommendation on Level 2+ PSA</w:t>
        </w:r>
        <w:r>
          <w:rPr>
            <w:webHidden/>
          </w:rPr>
          <w:tab/>
        </w:r>
        <w:r>
          <w:rPr>
            <w:webHidden/>
          </w:rPr>
          <w:fldChar w:fldCharType="begin"/>
        </w:r>
        <w:r>
          <w:rPr>
            <w:webHidden/>
          </w:rPr>
          <w:instrText xml:space="preserve"> PAGEREF _Toc474430228 \h </w:instrText>
        </w:r>
        <w:r>
          <w:rPr>
            <w:webHidden/>
          </w:rPr>
        </w:r>
        <w:r>
          <w:rPr>
            <w:webHidden/>
          </w:rPr>
          <w:fldChar w:fldCharType="separate"/>
        </w:r>
        <w:r>
          <w:rPr>
            <w:webHidden/>
          </w:rPr>
          <w:t>92</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29" w:history="1">
        <w:r w:rsidRPr="00D60732">
          <w:rPr>
            <w:rStyle w:val="Lienhypertexte"/>
            <w:noProof/>
            <w:lang w:val="en-US"/>
          </w:rPr>
          <w:t>3.10 Integral Risk or Total Risk Measures</w:t>
        </w:r>
        <w:r>
          <w:rPr>
            <w:noProof/>
            <w:webHidden/>
          </w:rPr>
          <w:tab/>
        </w:r>
        <w:r>
          <w:rPr>
            <w:noProof/>
            <w:webHidden/>
          </w:rPr>
          <w:fldChar w:fldCharType="begin"/>
        </w:r>
        <w:r>
          <w:rPr>
            <w:noProof/>
            <w:webHidden/>
          </w:rPr>
          <w:instrText xml:space="preserve"> PAGEREF _Toc474430229 \h </w:instrText>
        </w:r>
        <w:r>
          <w:rPr>
            <w:noProof/>
            <w:webHidden/>
          </w:rPr>
        </w:r>
        <w:r>
          <w:rPr>
            <w:noProof/>
            <w:webHidden/>
          </w:rPr>
          <w:fldChar w:fldCharType="separate"/>
        </w:r>
        <w:r>
          <w:rPr>
            <w:noProof/>
            <w:webHidden/>
          </w:rPr>
          <w:t>92</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30" w:history="1">
        <w:r w:rsidRPr="00D60732">
          <w:rPr>
            <w:rStyle w:val="Lienhypertexte"/>
          </w:rPr>
          <w:t>3.10.1 Definition of Risk Measure</w:t>
        </w:r>
        <w:r>
          <w:rPr>
            <w:webHidden/>
          </w:rPr>
          <w:tab/>
        </w:r>
        <w:r>
          <w:rPr>
            <w:webHidden/>
          </w:rPr>
          <w:fldChar w:fldCharType="begin"/>
        </w:r>
        <w:r>
          <w:rPr>
            <w:webHidden/>
          </w:rPr>
          <w:instrText xml:space="preserve"> PAGEREF _Toc474430230 \h </w:instrText>
        </w:r>
        <w:r>
          <w:rPr>
            <w:webHidden/>
          </w:rPr>
        </w:r>
        <w:r>
          <w:rPr>
            <w:webHidden/>
          </w:rPr>
          <w:fldChar w:fldCharType="separate"/>
        </w:r>
        <w:r>
          <w:rPr>
            <w:webHidden/>
          </w:rPr>
          <w:t>92</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31" w:history="1">
        <w:r w:rsidRPr="00D60732">
          <w:rPr>
            <w:rStyle w:val="Lienhypertexte"/>
          </w:rPr>
          <w:t>3.10.2 Common Risk Target methodology, CRT (Proposal by CCA)</w:t>
        </w:r>
        <w:r>
          <w:rPr>
            <w:webHidden/>
          </w:rPr>
          <w:tab/>
        </w:r>
        <w:r>
          <w:rPr>
            <w:webHidden/>
          </w:rPr>
          <w:fldChar w:fldCharType="begin"/>
        </w:r>
        <w:r>
          <w:rPr>
            <w:webHidden/>
          </w:rPr>
          <w:instrText xml:space="preserve"> PAGEREF _Toc474430231 \h </w:instrText>
        </w:r>
        <w:r>
          <w:rPr>
            <w:webHidden/>
          </w:rPr>
        </w:r>
        <w:r>
          <w:rPr>
            <w:webHidden/>
          </w:rPr>
          <w:fldChar w:fldCharType="separate"/>
        </w:r>
        <w:r>
          <w:rPr>
            <w:webHidden/>
          </w:rPr>
          <w:t>93</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32" w:history="1">
        <w:r w:rsidRPr="00D60732">
          <w:rPr>
            <w:rStyle w:val="Lienhypertexte"/>
          </w:rPr>
          <w:t>3.10.3 Discussion</w:t>
        </w:r>
        <w:r>
          <w:rPr>
            <w:webHidden/>
          </w:rPr>
          <w:tab/>
        </w:r>
        <w:r>
          <w:rPr>
            <w:webHidden/>
          </w:rPr>
          <w:fldChar w:fldCharType="begin"/>
        </w:r>
        <w:r>
          <w:rPr>
            <w:webHidden/>
          </w:rPr>
          <w:instrText xml:space="preserve"> PAGEREF _Toc474430232 \h </w:instrText>
        </w:r>
        <w:r>
          <w:rPr>
            <w:webHidden/>
          </w:rPr>
        </w:r>
        <w:r>
          <w:rPr>
            <w:webHidden/>
          </w:rPr>
          <w:fldChar w:fldCharType="separate"/>
        </w:r>
        <w:r>
          <w:rPr>
            <w:webHidden/>
          </w:rPr>
          <w:t>105</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33" w:history="1">
        <w:r w:rsidRPr="00D60732">
          <w:rPr>
            <w:rStyle w:val="Lienhypertexte"/>
          </w:rPr>
          <w:t>3.10.4 ASAMPSA_E recommendation on total risk measure</w:t>
        </w:r>
        <w:r>
          <w:rPr>
            <w:webHidden/>
          </w:rPr>
          <w:tab/>
        </w:r>
        <w:r>
          <w:rPr>
            <w:webHidden/>
          </w:rPr>
          <w:fldChar w:fldCharType="begin"/>
        </w:r>
        <w:r>
          <w:rPr>
            <w:webHidden/>
          </w:rPr>
          <w:instrText xml:space="preserve"> PAGEREF _Toc474430233 \h </w:instrText>
        </w:r>
        <w:r>
          <w:rPr>
            <w:webHidden/>
          </w:rPr>
        </w:r>
        <w:r>
          <w:rPr>
            <w:webHidden/>
          </w:rPr>
          <w:fldChar w:fldCharType="separate"/>
        </w:r>
        <w:r>
          <w:rPr>
            <w:webHidden/>
          </w:rPr>
          <w:t>105</w:t>
        </w:r>
        <w:r>
          <w:rPr>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234" w:history="1">
        <w:r w:rsidRPr="00D60732">
          <w:rPr>
            <w:rStyle w:val="Lienhypertexte"/>
            <w:noProof/>
            <w:lang w:val="en-US"/>
          </w:rPr>
          <w:t>4 Multi-Source PSA and Site Level Risk Metrics</w:t>
        </w:r>
        <w:r>
          <w:rPr>
            <w:noProof/>
            <w:webHidden/>
          </w:rPr>
          <w:tab/>
        </w:r>
        <w:r>
          <w:rPr>
            <w:noProof/>
            <w:webHidden/>
          </w:rPr>
          <w:fldChar w:fldCharType="begin"/>
        </w:r>
        <w:r>
          <w:rPr>
            <w:noProof/>
            <w:webHidden/>
          </w:rPr>
          <w:instrText xml:space="preserve"> PAGEREF _Toc474430234 \h </w:instrText>
        </w:r>
        <w:r>
          <w:rPr>
            <w:noProof/>
            <w:webHidden/>
          </w:rPr>
        </w:r>
        <w:r>
          <w:rPr>
            <w:noProof/>
            <w:webHidden/>
          </w:rPr>
          <w:fldChar w:fldCharType="separate"/>
        </w:r>
        <w:r>
          <w:rPr>
            <w:noProof/>
            <w:webHidden/>
          </w:rPr>
          <w:t>106</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235" w:history="1">
        <w:r w:rsidRPr="00D60732">
          <w:rPr>
            <w:rStyle w:val="Lienhypertexte"/>
            <w:noProof/>
            <w:lang w:val="en-US"/>
          </w:rPr>
          <w:t>5 Recommendations on Risk Metrics for an extended PSA</w:t>
        </w:r>
        <w:r>
          <w:rPr>
            <w:noProof/>
            <w:webHidden/>
          </w:rPr>
          <w:tab/>
        </w:r>
        <w:r>
          <w:rPr>
            <w:noProof/>
            <w:webHidden/>
          </w:rPr>
          <w:fldChar w:fldCharType="begin"/>
        </w:r>
        <w:r>
          <w:rPr>
            <w:noProof/>
            <w:webHidden/>
          </w:rPr>
          <w:instrText xml:space="preserve"> PAGEREF _Toc474430235 \h </w:instrText>
        </w:r>
        <w:r>
          <w:rPr>
            <w:noProof/>
            <w:webHidden/>
          </w:rPr>
        </w:r>
        <w:r>
          <w:rPr>
            <w:noProof/>
            <w:webHidden/>
          </w:rPr>
          <w:fldChar w:fldCharType="separate"/>
        </w:r>
        <w:r>
          <w:rPr>
            <w:noProof/>
            <w:webHidden/>
          </w:rPr>
          <w:t>114</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36" w:history="1">
        <w:r w:rsidRPr="00D60732">
          <w:rPr>
            <w:rStyle w:val="Lienhypertexte"/>
            <w:noProof/>
            <w:lang w:val="en-US"/>
          </w:rPr>
          <w:t>5.1 Risk Metrics for an extended Level 1 PSA</w:t>
        </w:r>
        <w:r>
          <w:rPr>
            <w:noProof/>
            <w:webHidden/>
          </w:rPr>
          <w:tab/>
        </w:r>
        <w:r>
          <w:rPr>
            <w:noProof/>
            <w:webHidden/>
          </w:rPr>
          <w:fldChar w:fldCharType="begin"/>
        </w:r>
        <w:r>
          <w:rPr>
            <w:noProof/>
            <w:webHidden/>
          </w:rPr>
          <w:instrText xml:space="preserve"> PAGEREF _Toc474430236 \h </w:instrText>
        </w:r>
        <w:r>
          <w:rPr>
            <w:noProof/>
            <w:webHidden/>
          </w:rPr>
        </w:r>
        <w:r>
          <w:rPr>
            <w:noProof/>
            <w:webHidden/>
          </w:rPr>
          <w:fldChar w:fldCharType="separate"/>
        </w:r>
        <w:r>
          <w:rPr>
            <w:noProof/>
            <w:webHidden/>
          </w:rPr>
          <w:t>114</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37" w:history="1">
        <w:r w:rsidRPr="00D60732">
          <w:rPr>
            <w:rStyle w:val="Lienhypertexte"/>
            <w:noProof/>
            <w:lang w:val="en-US"/>
          </w:rPr>
          <w:t>5.2 Risk Metrics for an extended Level 2 PSA</w:t>
        </w:r>
        <w:r>
          <w:rPr>
            <w:noProof/>
            <w:webHidden/>
          </w:rPr>
          <w:tab/>
        </w:r>
        <w:r>
          <w:rPr>
            <w:noProof/>
            <w:webHidden/>
          </w:rPr>
          <w:fldChar w:fldCharType="begin"/>
        </w:r>
        <w:r>
          <w:rPr>
            <w:noProof/>
            <w:webHidden/>
          </w:rPr>
          <w:instrText xml:space="preserve"> PAGEREF _Toc474430237 \h </w:instrText>
        </w:r>
        <w:r>
          <w:rPr>
            <w:noProof/>
            <w:webHidden/>
          </w:rPr>
        </w:r>
        <w:r>
          <w:rPr>
            <w:noProof/>
            <w:webHidden/>
          </w:rPr>
          <w:fldChar w:fldCharType="separate"/>
        </w:r>
        <w:r>
          <w:rPr>
            <w:noProof/>
            <w:webHidden/>
          </w:rPr>
          <w:t>115</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38" w:history="1">
        <w:r w:rsidRPr="00D60732">
          <w:rPr>
            <w:rStyle w:val="Lienhypertexte"/>
          </w:rPr>
          <w:t>5.2.1 Measure for loss of containment function</w:t>
        </w:r>
        <w:r>
          <w:rPr>
            <w:webHidden/>
          </w:rPr>
          <w:tab/>
        </w:r>
        <w:r>
          <w:rPr>
            <w:webHidden/>
          </w:rPr>
          <w:fldChar w:fldCharType="begin"/>
        </w:r>
        <w:r>
          <w:rPr>
            <w:webHidden/>
          </w:rPr>
          <w:instrText xml:space="preserve"> PAGEREF _Toc474430238 \h </w:instrText>
        </w:r>
        <w:r>
          <w:rPr>
            <w:webHidden/>
          </w:rPr>
        </w:r>
        <w:r>
          <w:rPr>
            <w:webHidden/>
          </w:rPr>
          <w:fldChar w:fldCharType="separate"/>
        </w:r>
        <w:r>
          <w:rPr>
            <w:webHidden/>
          </w:rPr>
          <w:t>116</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39" w:history="1">
        <w:r w:rsidRPr="00D60732">
          <w:rPr>
            <w:rStyle w:val="Lienhypertexte"/>
          </w:rPr>
          <w:t>5.2.2 PSA Level 2 total risk measure</w:t>
        </w:r>
        <w:r>
          <w:rPr>
            <w:webHidden/>
          </w:rPr>
          <w:tab/>
        </w:r>
        <w:r>
          <w:rPr>
            <w:webHidden/>
          </w:rPr>
          <w:fldChar w:fldCharType="begin"/>
        </w:r>
        <w:r>
          <w:rPr>
            <w:webHidden/>
          </w:rPr>
          <w:instrText xml:space="preserve"> PAGEREF _Toc474430239 \h </w:instrText>
        </w:r>
        <w:r>
          <w:rPr>
            <w:webHidden/>
          </w:rPr>
        </w:r>
        <w:r>
          <w:rPr>
            <w:webHidden/>
          </w:rPr>
          <w:fldChar w:fldCharType="separate"/>
        </w:r>
        <w:r>
          <w:rPr>
            <w:webHidden/>
          </w:rPr>
          <w:t>116</w:t>
        </w:r>
        <w:r>
          <w:rPr>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240" w:history="1">
        <w:r w:rsidRPr="00D60732">
          <w:rPr>
            <w:rStyle w:val="Lienhypertexte"/>
            <w:noProof/>
            <w:lang w:val="en-US"/>
          </w:rPr>
          <w:t>6 Conclusions</w:t>
        </w:r>
        <w:r>
          <w:rPr>
            <w:noProof/>
            <w:webHidden/>
          </w:rPr>
          <w:tab/>
        </w:r>
        <w:r>
          <w:rPr>
            <w:noProof/>
            <w:webHidden/>
          </w:rPr>
          <w:fldChar w:fldCharType="begin"/>
        </w:r>
        <w:r>
          <w:rPr>
            <w:noProof/>
            <w:webHidden/>
          </w:rPr>
          <w:instrText xml:space="preserve"> PAGEREF _Toc474430240 \h </w:instrText>
        </w:r>
        <w:r>
          <w:rPr>
            <w:noProof/>
            <w:webHidden/>
          </w:rPr>
        </w:r>
        <w:r>
          <w:rPr>
            <w:noProof/>
            <w:webHidden/>
          </w:rPr>
          <w:fldChar w:fldCharType="separate"/>
        </w:r>
        <w:r>
          <w:rPr>
            <w:noProof/>
            <w:webHidden/>
          </w:rPr>
          <w:t>117</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241" w:history="1">
        <w:r w:rsidRPr="00D60732">
          <w:rPr>
            <w:rStyle w:val="Lienhypertexte"/>
            <w:noProof/>
            <w:lang w:val="en-US"/>
          </w:rPr>
          <w:t>7 References</w:t>
        </w:r>
        <w:r>
          <w:rPr>
            <w:noProof/>
            <w:webHidden/>
          </w:rPr>
          <w:tab/>
        </w:r>
        <w:r>
          <w:rPr>
            <w:noProof/>
            <w:webHidden/>
          </w:rPr>
          <w:fldChar w:fldCharType="begin"/>
        </w:r>
        <w:r>
          <w:rPr>
            <w:noProof/>
            <w:webHidden/>
          </w:rPr>
          <w:instrText xml:space="preserve"> PAGEREF _Toc474430241 \h </w:instrText>
        </w:r>
        <w:r>
          <w:rPr>
            <w:noProof/>
            <w:webHidden/>
          </w:rPr>
        </w:r>
        <w:r>
          <w:rPr>
            <w:noProof/>
            <w:webHidden/>
          </w:rPr>
          <w:fldChar w:fldCharType="separate"/>
        </w:r>
        <w:r>
          <w:rPr>
            <w:noProof/>
            <w:webHidden/>
          </w:rPr>
          <w:t>119</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242" w:history="1">
        <w:r w:rsidRPr="00D60732">
          <w:rPr>
            <w:rStyle w:val="Lienhypertexte"/>
            <w:noProof/>
            <w:lang w:val="en-US"/>
          </w:rPr>
          <w:t>8 Appendix A: Risk Definition</w:t>
        </w:r>
        <w:r>
          <w:rPr>
            <w:noProof/>
            <w:webHidden/>
          </w:rPr>
          <w:tab/>
        </w:r>
        <w:r>
          <w:rPr>
            <w:noProof/>
            <w:webHidden/>
          </w:rPr>
          <w:fldChar w:fldCharType="begin"/>
        </w:r>
        <w:r>
          <w:rPr>
            <w:noProof/>
            <w:webHidden/>
          </w:rPr>
          <w:instrText xml:space="preserve"> PAGEREF _Toc474430242 \h </w:instrText>
        </w:r>
        <w:r>
          <w:rPr>
            <w:noProof/>
            <w:webHidden/>
          </w:rPr>
        </w:r>
        <w:r>
          <w:rPr>
            <w:noProof/>
            <w:webHidden/>
          </w:rPr>
          <w:fldChar w:fldCharType="separate"/>
        </w:r>
        <w:r>
          <w:rPr>
            <w:noProof/>
            <w:webHidden/>
          </w:rPr>
          <w:t>126</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43" w:history="1">
        <w:r w:rsidRPr="00D60732">
          <w:rPr>
            <w:rStyle w:val="Lienhypertexte"/>
            <w:noProof/>
            <w:lang w:val="en-US"/>
          </w:rPr>
          <w:t>8.1 Glossary</w:t>
        </w:r>
        <w:r>
          <w:rPr>
            <w:noProof/>
            <w:webHidden/>
          </w:rPr>
          <w:tab/>
        </w:r>
        <w:r>
          <w:rPr>
            <w:noProof/>
            <w:webHidden/>
          </w:rPr>
          <w:fldChar w:fldCharType="begin"/>
        </w:r>
        <w:r>
          <w:rPr>
            <w:noProof/>
            <w:webHidden/>
          </w:rPr>
          <w:instrText xml:space="preserve"> PAGEREF _Toc474430243 \h </w:instrText>
        </w:r>
        <w:r>
          <w:rPr>
            <w:noProof/>
            <w:webHidden/>
          </w:rPr>
        </w:r>
        <w:r>
          <w:rPr>
            <w:noProof/>
            <w:webHidden/>
          </w:rPr>
          <w:fldChar w:fldCharType="separate"/>
        </w:r>
        <w:r>
          <w:rPr>
            <w:noProof/>
            <w:webHidden/>
          </w:rPr>
          <w:t>126</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44" w:history="1">
        <w:r w:rsidRPr="00D60732">
          <w:rPr>
            <w:rStyle w:val="Lienhypertexte"/>
            <w:noProof/>
            <w:lang w:val="en-US"/>
          </w:rPr>
          <w:t>8.2 Introduction</w:t>
        </w:r>
        <w:r>
          <w:rPr>
            <w:noProof/>
            <w:webHidden/>
          </w:rPr>
          <w:tab/>
        </w:r>
        <w:r>
          <w:rPr>
            <w:noProof/>
            <w:webHidden/>
          </w:rPr>
          <w:fldChar w:fldCharType="begin"/>
        </w:r>
        <w:r>
          <w:rPr>
            <w:noProof/>
            <w:webHidden/>
          </w:rPr>
          <w:instrText xml:space="preserve"> PAGEREF _Toc474430244 \h </w:instrText>
        </w:r>
        <w:r>
          <w:rPr>
            <w:noProof/>
            <w:webHidden/>
          </w:rPr>
        </w:r>
        <w:r>
          <w:rPr>
            <w:noProof/>
            <w:webHidden/>
          </w:rPr>
          <w:fldChar w:fldCharType="separate"/>
        </w:r>
        <w:r>
          <w:rPr>
            <w:noProof/>
            <w:webHidden/>
          </w:rPr>
          <w:t>126</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45" w:history="1">
        <w:r w:rsidRPr="00D60732">
          <w:rPr>
            <w:rStyle w:val="Lienhypertexte"/>
            <w:noProof/>
            <w:lang w:val="en-US"/>
          </w:rPr>
          <w:t>8.3 Risk Metrics and Risk measures</w:t>
        </w:r>
        <w:r>
          <w:rPr>
            <w:noProof/>
            <w:webHidden/>
          </w:rPr>
          <w:tab/>
        </w:r>
        <w:r>
          <w:rPr>
            <w:noProof/>
            <w:webHidden/>
          </w:rPr>
          <w:fldChar w:fldCharType="begin"/>
        </w:r>
        <w:r>
          <w:rPr>
            <w:noProof/>
            <w:webHidden/>
          </w:rPr>
          <w:instrText xml:space="preserve"> PAGEREF _Toc474430245 \h </w:instrText>
        </w:r>
        <w:r>
          <w:rPr>
            <w:noProof/>
            <w:webHidden/>
          </w:rPr>
        </w:r>
        <w:r>
          <w:rPr>
            <w:noProof/>
            <w:webHidden/>
          </w:rPr>
          <w:fldChar w:fldCharType="separate"/>
        </w:r>
        <w:r>
          <w:rPr>
            <w:noProof/>
            <w:webHidden/>
          </w:rPr>
          <w:t>127</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46" w:history="1">
        <w:r w:rsidRPr="00D60732">
          <w:rPr>
            <w:rStyle w:val="Lienhypertexte"/>
          </w:rPr>
          <w:t>8.3.1 Direct Risk Measures and risk Metrics</w:t>
        </w:r>
        <w:r>
          <w:rPr>
            <w:webHidden/>
          </w:rPr>
          <w:tab/>
        </w:r>
        <w:r>
          <w:rPr>
            <w:webHidden/>
          </w:rPr>
          <w:fldChar w:fldCharType="begin"/>
        </w:r>
        <w:r>
          <w:rPr>
            <w:webHidden/>
          </w:rPr>
          <w:instrText xml:space="preserve"> PAGEREF _Toc474430246 \h </w:instrText>
        </w:r>
        <w:r>
          <w:rPr>
            <w:webHidden/>
          </w:rPr>
        </w:r>
        <w:r>
          <w:rPr>
            <w:webHidden/>
          </w:rPr>
          <w:fldChar w:fldCharType="separate"/>
        </w:r>
        <w:r>
          <w:rPr>
            <w:webHidden/>
          </w:rPr>
          <w:t>127</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47" w:history="1">
        <w:r w:rsidRPr="00D60732">
          <w:rPr>
            <w:rStyle w:val="Lienhypertexte"/>
          </w:rPr>
          <w:t>8.3.2 Secondary Risk Measures and Risk Metrics</w:t>
        </w:r>
        <w:r>
          <w:rPr>
            <w:webHidden/>
          </w:rPr>
          <w:tab/>
        </w:r>
        <w:r>
          <w:rPr>
            <w:webHidden/>
          </w:rPr>
          <w:fldChar w:fldCharType="begin"/>
        </w:r>
        <w:r>
          <w:rPr>
            <w:webHidden/>
          </w:rPr>
          <w:instrText xml:space="preserve"> PAGEREF _Toc474430247 \h </w:instrText>
        </w:r>
        <w:r>
          <w:rPr>
            <w:webHidden/>
          </w:rPr>
        </w:r>
        <w:r>
          <w:rPr>
            <w:webHidden/>
          </w:rPr>
          <w:fldChar w:fldCharType="separate"/>
        </w:r>
        <w:r>
          <w:rPr>
            <w:webHidden/>
          </w:rPr>
          <w:t>130</w:t>
        </w:r>
        <w:r>
          <w:rPr>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48" w:history="1">
        <w:r w:rsidRPr="00D60732">
          <w:rPr>
            <w:rStyle w:val="Lienhypertexte"/>
            <w:noProof/>
            <w:lang w:val="en-US"/>
          </w:rPr>
          <w:t>8.4 Risk Measures and Minimal Cut Sets</w:t>
        </w:r>
        <w:r>
          <w:rPr>
            <w:noProof/>
            <w:webHidden/>
          </w:rPr>
          <w:tab/>
        </w:r>
        <w:r>
          <w:rPr>
            <w:noProof/>
            <w:webHidden/>
          </w:rPr>
          <w:fldChar w:fldCharType="begin"/>
        </w:r>
        <w:r>
          <w:rPr>
            <w:noProof/>
            <w:webHidden/>
          </w:rPr>
          <w:instrText xml:space="preserve"> PAGEREF _Toc474430248 \h </w:instrText>
        </w:r>
        <w:r>
          <w:rPr>
            <w:noProof/>
            <w:webHidden/>
          </w:rPr>
        </w:r>
        <w:r>
          <w:rPr>
            <w:noProof/>
            <w:webHidden/>
          </w:rPr>
          <w:fldChar w:fldCharType="separate"/>
        </w:r>
        <w:r>
          <w:rPr>
            <w:noProof/>
            <w:webHidden/>
          </w:rPr>
          <w:t>133</w:t>
        </w:r>
        <w:r>
          <w:rPr>
            <w:noProof/>
            <w:webHidden/>
          </w:rPr>
          <w:fldChar w:fldCharType="end"/>
        </w:r>
      </w:hyperlink>
    </w:p>
    <w:p w:rsidR="00D640E2" w:rsidRDefault="00D640E2">
      <w:pPr>
        <w:pStyle w:val="TM2"/>
        <w:tabs>
          <w:tab w:val="right" w:leader="dot" w:pos="9345"/>
        </w:tabs>
        <w:rPr>
          <w:rFonts w:asciiTheme="minorHAnsi" w:eastAsiaTheme="minorEastAsia" w:hAnsiTheme="minorHAnsi" w:cstheme="minorBidi"/>
          <w:bCs w:val="0"/>
          <w:noProof/>
          <w:sz w:val="22"/>
        </w:rPr>
      </w:pPr>
      <w:hyperlink w:anchor="_Toc474430249" w:history="1">
        <w:r w:rsidRPr="00D60732">
          <w:rPr>
            <w:rStyle w:val="Lienhypertexte"/>
            <w:noProof/>
            <w:lang w:val="en-US"/>
          </w:rPr>
          <w:t>8.5 Model Representations</w:t>
        </w:r>
        <w:r>
          <w:rPr>
            <w:noProof/>
            <w:webHidden/>
          </w:rPr>
          <w:tab/>
        </w:r>
        <w:r>
          <w:rPr>
            <w:noProof/>
            <w:webHidden/>
          </w:rPr>
          <w:fldChar w:fldCharType="begin"/>
        </w:r>
        <w:r>
          <w:rPr>
            <w:noProof/>
            <w:webHidden/>
          </w:rPr>
          <w:instrText xml:space="preserve"> PAGEREF _Toc474430249 \h </w:instrText>
        </w:r>
        <w:r>
          <w:rPr>
            <w:noProof/>
            <w:webHidden/>
          </w:rPr>
        </w:r>
        <w:r>
          <w:rPr>
            <w:noProof/>
            <w:webHidden/>
          </w:rPr>
          <w:fldChar w:fldCharType="separate"/>
        </w:r>
        <w:r>
          <w:rPr>
            <w:noProof/>
            <w:webHidden/>
          </w:rPr>
          <w:t>133</w:t>
        </w:r>
        <w:r>
          <w:rPr>
            <w:noProof/>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50" w:history="1">
        <w:r w:rsidRPr="00D60732">
          <w:rPr>
            <w:rStyle w:val="Lienhypertexte"/>
          </w:rPr>
          <w:t>8.5.1 Taylor series representation</w:t>
        </w:r>
        <w:r>
          <w:rPr>
            <w:webHidden/>
          </w:rPr>
          <w:tab/>
        </w:r>
        <w:r>
          <w:rPr>
            <w:webHidden/>
          </w:rPr>
          <w:fldChar w:fldCharType="begin"/>
        </w:r>
        <w:r>
          <w:rPr>
            <w:webHidden/>
          </w:rPr>
          <w:instrText xml:space="preserve"> PAGEREF _Toc474430250 \h </w:instrText>
        </w:r>
        <w:r>
          <w:rPr>
            <w:webHidden/>
          </w:rPr>
        </w:r>
        <w:r>
          <w:rPr>
            <w:webHidden/>
          </w:rPr>
          <w:fldChar w:fldCharType="separate"/>
        </w:r>
        <w:r>
          <w:rPr>
            <w:webHidden/>
          </w:rPr>
          <w:t>133</w:t>
        </w:r>
        <w:r>
          <w:rPr>
            <w:webHidden/>
          </w:rPr>
          <w:fldChar w:fldCharType="end"/>
        </w:r>
      </w:hyperlink>
    </w:p>
    <w:p w:rsidR="00D640E2" w:rsidRDefault="00D640E2">
      <w:pPr>
        <w:pStyle w:val="TM3"/>
        <w:rPr>
          <w:rFonts w:asciiTheme="minorHAnsi" w:eastAsiaTheme="minorEastAsia" w:hAnsiTheme="minorHAnsi" w:cstheme="minorBidi"/>
          <w:sz w:val="22"/>
          <w:szCs w:val="22"/>
          <w:lang w:val="fr-FR"/>
        </w:rPr>
      </w:pPr>
      <w:hyperlink w:anchor="_Toc474430251" w:history="1">
        <w:r w:rsidRPr="00D60732">
          <w:rPr>
            <w:rStyle w:val="Lienhypertexte"/>
          </w:rPr>
          <w:t>8.5.2 High Dimensional Model</w:t>
        </w:r>
        <w:r>
          <w:rPr>
            <w:webHidden/>
          </w:rPr>
          <w:tab/>
        </w:r>
        <w:r>
          <w:rPr>
            <w:webHidden/>
          </w:rPr>
          <w:fldChar w:fldCharType="begin"/>
        </w:r>
        <w:r>
          <w:rPr>
            <w:webHidden/>
          </w:rPr>
          <w:instrText xml:space="preserve"> PAGEREF _Toc474430251 \h </w:instrText>
        </w:r>
        <w:r>
          <w:rPr>
            <w:webHidden/>
          </w:rPr>
        </w:r>
        <w:r>
          <w:rPr>
            <w:webHidden/>
          </w:rPr>
          <w:fldChar w:fldCharType="separate"/>
        </w:r>
        <w:r>
          <w:rPr>
            <w:webHidden/>
          </w:rPr>
          <w:t>134</w:t>
        </w:r>
        <w:r>
          <w:rPr>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252" w:history="1">
        <w:r w:rsidRPr="00D60732">
          <w:rPr>
            <w:rStyle w:val="Lienhypertexte"/>
            <w:noProof/>
            <w:lang w:val="en-US"/>
          </w:rPr>
          <w:t>9 Appendix B: Appendix B: Nuclear power plant Risks (from CCA)</w:t>
        </w:r>
        <w:r>
          <w:rPr>
            <w:noProof/>
            <w:webHidden/>
          </w:rPr>
          <w:tab/>
        </w:r>
        <w:r>
          <w:rPr>
            <w:noProof/>
            <w:webHidden/>
          </w:rPr>
          <w:fldChar w:fldCharType="begin"/>
        </w:r>
        <w:r>
          <w:rPr>
            <w:noProof/>
            <w:webHidden/>
          </w:rPr>
          <w:instrText xml:space="preserve"> PAGEREF _Toc474430252 \h </w:instrText>
        </w:r>
        <w:r>
          <w:rPr>
            <w:noProof/>
            <w:webHidden/>
          </w:rPr>
        </w:r>
        <w:r>
          <w:rPr>
            <w:noProof/>
            <w:webHidden/>
          </w:rPr>
          <w:fldChar w:fldCharType="separate"/>
        </w:r>
        <w:r>
          <w:rPr>
            <w:noProof/>
            <w:webHidden/>
          </w:rPr>
          <w:t>135</w:t>
        </w:r>
        <w:r>
          <w:rPr>
            <w:noProof/>
            <w:webHidden/>
          </w:rPr>
          <w:fldChar w:fldCharType="end"/>
        </w:r>
      </w:hyperlink>
    </w:p>
    <w:p w:rsidR="00D640E2" w:rsidRDefault="00D640E2">
      <w:pPr>
        <w:pStyle w:val="TM1"/>
        <w:tabs>
          <w:tab w:val="right" w:leader="dot" w:pos="9345"/>
        </w:tabs>
        <w:rPr>
          <w:rFonts w:asciiTheme="minorHAnsi" w:eastAsiaTheme="minorEastAsia" w:hAnsiTheme="minorHAnsi" w:cstheme="minorBidi"/>
          <w:bCs w:val="0"/>
          <w:iCs w:val="0"/>
          <w:noProof/>
          <w:sz w:val="22"/>
          <w:szCs w:val="22"/>
        </w:rPr>
      </w:pPr>
      <w:hyperlink w:anchor="_Toc474430253" w:history="1">
        <w:r w:rsidRPr="00D60732">
          <w:rPr>
            <w:rStyle w:val="Lienhypertexte"/>
            <w:rFonts w:eastAsia="Batang"/>
            <w:noProof/>
            <w:lang w:val="en-US"/>
          </w:rPr>
          <w:t>10 Appendix C: Pickering NPP Fuel Damage States Frequencies</w:t>
        </w:r>
        <w:r>
          <w:rPr>
            <w:noProof/>
            <w:webHidden/>
          </w:rPr>
          <w:tab/>
        </w:r>
        <w:r>
          <w:rPr>
            <w:noProof/>
            <w:webHidden/>
          </w:rPr>
          <w:fldChar w:fldCharType="begin"/>
        </w:r>
        <w:r>
          <w:rPr>
            <w:noProof/>
            <w:webHidden/>
          </w:rPr>
          <w:instrText xml:space="preserve"> PAGEREF _Toc474430253 \h </w:instrText>
        </w:r>
        <w:r>
          <w:rPr>
            <w:noProof/>
            <w:webHidden/>
          </w:rPr>
        </w:r>
        <w:r>
          <w:rPr>
            <w:noProof/>
            <w:webHidden/>
          </w:rPr>
          <w:fldChar w:fldCharType="separate"/>
        </w:r>
        <w:r>
          <w:rPr>
            <w:noProof/>
            <w:webHidden/>
          </w:rPr>
          <w:t>138</w:t>
        </w:r>
        <w:r>
          <w:rPr>
            <w:noProof/>
            <w:webHidden/>
          </w:rPr>
          <w:fldChar w:fldCharType="end"/>
        </w:r>
      </w:hyperlink>
    </w:p>
    <w:p w:rsidR="002B3B85" w:rsidRPr="00313E82" w:rsidRDefault="009E768B" w:rsidP="002B3B85">
      <w:pPr>
        <w:pStyle w:val="Titre"/>
        <w:rPr>
          <w:rFonts w:ascii="Arial" w:hAnsi="Arial" w:cs="Arial"/>
          <w:i/>
          <w:iCs/>
          <w:caps/>
          <w:sz w:val="24"/>
          <w:lang w:val="en-US"/>
        </w:rPr>
      </w:pPr>
      <w:r>
        <w:rPr>
          <w:rFonts w:ascii="Arial" w:eastAsia="Times New Roman" w:hAnsi="Arial" w:cs="Arial"/>
          <w:i/>
          <w:iCs/>
          <w:caps/>
          <w:color w:val="auto"/>
          <w:spacing w:val="0"/>
          <w:kern w:val="0"/>
          <w:sz w:val="24"/>
          <w:szCs w:val="24"/>
          <w:lang w:val="en-US"/>
        </w:rPr>
        <w:fldChar w:fldCharType="end"/>
      </w:r>
      <w:r w:rsidR="002B3B85" w:rsidRPr="00313E82">
        <w:rPr>
          <w:rFonts w:ascii="Arial" w:hAnsi="Arial" w:cs="Arial"/>
          <w:i/>
          <w:iCs/>
          <w:caps/>
          <w:sz w:val="24"/>
          <w:lang w:val="en-US"/>
        </w:rPr>
        <w:br w:type="page"/>
      </w:r>
    </w:p>
    <w:p w:rsidR="00E53927" w:rsidRPr="00313E82" w:rsidRDefault="009E768B" w:rsidP="00395E63">
      <w:pPr>
        <w:pStyle w:val="Titre1"/>
        <w:numPr>
          <w:ilvl w:val="0"/>
          <w:numId w:val="0"/>
        </w:numPr>
        <w:rPr>
          <w:lang w:val="en-US"/>
        </w:rPr>
      </w:pPr>
      <w:bookmarkStart w:id="12" w:name="_Toc474430092"/>
      <w:r w:rsidRPr="0042104F">
        <w:rPr>
          <w:lang w:val="en-US"/>
        </w:rPr>
        <w:lastRenderedPageBreak/>
        <w:t>List of Tables</w:t>
      </w:r>
      <w:bookmarkEnd w:id="12"/>
    </w:p>
    <w:p w:rsidR="00E53927" w:rsidRPr="00313E82" w:rsidRDefault="00E53927" w:rsidP="00E53927">
      <w:pPr>
        <w:rPr>
          <w:lang w:val="en-US"/>
        </w:rPr>
      </w:pPr>
    </w:p>
    <w:p w:rsidR="00B772CA" w:rsidRDefault="009E768B">
      <w:pPr>
        <w:pStyle w:val="Tabledesillustrations"/>
        <w:tabs>
          <w:tab w:val="right" w:leader="dot" w:pos="9345"/>
        </w:tabs>
        <w:rPr>
          <w:rFonts w:asciiTheme="minorHAnsi" w:eastAsiaTheme="minorEastAsia" w:hAnsiTheme="minorHAnsi" w:cstheme="minorBidi"/>
          <w:noProof/>
          <w:sz w:val="22"/>
          <w:szCs w:val="22"/>
        </w:rPr>
      </w:pPr>
      <w:r w:rsidRPr="007E0C24">
        <w:rPr>
          <w:lang w:val="en-US"/>
        </w:rPr>
        <w:fldChar w:fldCharType="begin"/>
      </w:r>
      <w:r w:rsidR="003854D4" w:rsidRPr="00313E82">
        <w:rPr>
          <w:lang w:val="en-US"/>
        </w:rPr>
        <w:instrText xml:space="preserve"> TOC \c "Table" </w:instrText>
      </w:r>
      <w:r w:rsidRPr="007E0C24">
        <w:rPr>
          <w:lang w:val="en-US"/>
        </w:rPr>
        <w:fldChar w:fldCharType="separate"/>
      </w:r>
      <w:r w:rsidR="00B772CA" w:rsidRPr="007804F4">
        <w:rPr>
          <w:noProof/>
          <w:lang w:val="en-US"/>
        </w:rPr>
        <w:t>Table 1: Key elements of IRIDM approach from INSAG-25 [6] , p. 6</w:t>
      </w:r>
      <w:r w:rsidR="00B772CA">
        <w:rPr>
          <w:noProof/>
        </w:rPr>
        <w:tab/>
      </w:r>
      <w:r w:rsidR="00B772CA">
        <w:rPr>
          <w:noProof/>
        </w:rPr>
        <w:fldChar w:fldCharType="begin"/>
      </w:r>
      <w:r w:rsidR="00B772CA">
        <w:rPr>
          <w:noProof/>
        </w:rPr>
        <w:instrText xml:space="preserve"> PAGEREF _Toc474428897 \h </w:instrText>
      </w:r>
      <w:r w:rsidR="00B772CA">
        <w:rPr>
          <w:noProof/>
        </w:rPr>
      </w:r>
      <w:r w:rsidR="00B772CA">
        <w:rPr>
          <w:noProof/>
        </w:rPr>
        <w:fldChar w:fldCharType="separate"/>
      </w:r>
      <w:r w:rsidR="00B772CA">
        <w:rPr>
          <w:noProof/>
        </w:rPr>
        <w:t>23</w:t>
      </w:r>
      <w:r w:rsidR="00B772CA">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sidRPr="007804F4">
        <w:rPr>
          <w:noProof/>
          <w:lang w:val="en-US"/>
        </w:rPr>
        <w:t>Table 2 : PDS Attributes for a German Type PWR Reactor (following [107])</w:t>
      </w:r>
      <w:r>
        <w:rPr>
          <w:noProof/>
        </w:rPr>
        <w:tab/>
      </w:r>
      <w:r>
        <w:rPr>
          <w:noProof/>
        </w:rPr>
        <w:fldChar w:fldCharType="begin"/>
      </w:r>
      <w:r>
        <w:rPr>
          <w:noProof/>
        </w:rPr>
        <w:instrText xml:space="preserve"> PAGEREF _Toc474428898 \h </w:instrText>
      </w:r>
      <w:r>
        <w:rPr>
          <w:noProof/>
        </w:rPr>
      </w:r>
      <w:r>
        <w:rPr>
          <w:noProof/>
        </w:rPr>
        <w:fldChar w:fldCharType="separate"/>
      </w:r>
      <w:r>
        <w:rPr>
          <w:noProof/>
        </w:rPr>
        <w:t>62</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sidRPr="007804F4">
        <w:rPr>
          <w:noProof/>
          <w:lang w:val="en-GB"/>
        </w:rPr>
        <w:t>Table 3 Exemplary Plant Damage State Definitions (with sequences with limited damages to the reactor fuel)</w:t>
      </w:r>
      <w:r>
        <w:rPr>
          <w:noProof/>
        </w:rPr>
        <w:tab/>
      </w:r>
      <w:r>
        <w:rPr>
          <w:noProof/>
        </w:rPr>
        <w:fldChar w:fldCharType="begin"/>
      </w:r>
      <w:r>
        <w:rPr>
          <w:noProof/>
        </w:rPr>
        <w:instrText xml:space="preserve"> PAGEREF _Toc474428899 \h </w:instrText>
      </w:r>
      <w:r>
        <w:rPr>
          <w:noProof/>
        </w:rPr>
      </w:r>
      <w:r>
        <w:rPr>
          <w:noProof/>
        </w:rPr>
        <w:fldChar w:fldCharType="separate"/>
      </w:r>
      <w:r>
        <w:rPr>
          <w:noProof/>
        </w:rPr>
        <w:t>63</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sidRPr="007804F4">
        <w:rPr>
          <w:noProof/>
          <w:lang w:val="en-GB"/>
        </w:rPr>
        <w:t>Table 4: Example of Plant Damage State Definitions (France)</w:t>
      </w:r>
      <w:r>
        <w:rPr>
          <w:noProof/>
        </w:rPr>
        <w:tab/>
      </w:r>
      <w:r>
        <w:rPr>
          <w:noProof/>
        </w:rPr>
        <w:fldChar w:fldCharType="begin"/>
      </w:r>
      <w:r>
        <w:rPr>
          <w:noProof/>
        </w:rPr>
        <w:instrText xml:space="preserve"> PAGEREF _Toc474428900 \h </w:instrText>
      </w:r>
      <w:r>
        <w:rPr>
          <w:noProof/>
        </w:rPr>
      </w:r>
      <w:r>
        <w:rPr>
          <w:noProof/>
        </w:rPr>
        <w:fldChar w:fldCharType="separate"/>
      </w:r>
      <w:r>
        <w:rPr>
          <w:noProof/>
        </w:rPr>
        <w:t>63</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Pr>
          <w:noProof/>
        </w:rPr>
        <w:t>Table 5: General Criteria for Rating Events in INES</w:t>
      </w:r>
      <w:r>
        <w:rPr>
          <w:noProof/>
        </w:rPr>
        <w:tab/>
      </w:r>
      <w:r>
        <w:rPr>
          <w:noProof/>
        </w:rPr>
        <w:fldChar w:fldCharType="begin"/>
      </w:r>
      <w:r>
        <w:rPr>
          <w:noProof/>
        </w:rPr>
        <w:instrText xml:space="preserve"> PAGEREF _Toc474428901 \h </w:instrText>
      </w:r>
      <w:r>
        <w:rPr>
          <w:noProof/>
        </w:rPr>
      </w:r>
      <w:r>
        <w:rPr>
          <w:noProof/>
        </w:rPr>
        <w:fldChar w:fldCharType="separate"/>
      </w:r>
      <w:r>
        <w:rPr>
          <w:noProof/>
        </w:rPr>
        <w:t>94</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Pr>
          <w:noProof/>
        </w:rPr>
        <w:t xml:space="preserve">Table 6 : </w:t>
      </w:r>
      <w:r w:rsidRPr="007804F4">
        <w:rPr>
          <w:noProof/>
          <w:lang w:val="en-US"/>
        </w:rPr>
        <w:t>Assessment of Absolute Consequences and Risks per Accident</w:t>
      </w:r>
      <w:r>
        <w:rPr>
          <w:noProof/>
        </w:rPr>
        <w:tab/>
      </w:r>
      <w:r>
        <w:rPr>
          <w:noProof/>
        </w:rPr>
        <w:fldChar w:fldCharType="begin"/>
      </w:r>
      <w:r>
        <w:rPr>
          <w:noProof/>
        </w:rPr>
        <w:instrText xml:space="preserve"> PAGEREF _Toc474428902 \h </w:instrText>
      </w:r>
      <w:r>
        <w:rPr>
          <w:noProof/>
        </w:rPr>
      </w:r>
      <w:r>
        <w:rPr>
          <w:noProof/>
        </w:rPr>
        <w:fldChar w:fldCharType="separate"/>
      </w:r>
      <w:r>
        <w:rPr>
          <w:noProof/>
        </w:rPr>
        <w:t>96</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Pr>
          <w:noProof/>
        </w:rPr>
        <w:t>Table 7 : Concept of Risk</w:t>
      </w:r>
      <w:r>
        <w:rPr>
          <w:noProof/>
        </w:rPr>
        <w:tab/>
      </w:r>
      <w:r>
        <w:rPr>
          <w:noProof/>
        </w:rPr>
        <w:fldChar w:fldCharType="begin"/>
      </w:r>
      <w:r>
        <w:rPr>
          <w:noProof/>
        </w:rPr>
        <w:instrText xml:space="preserve"> PAGEREF _Toc474428903 \h </w:instrText>
      </w:r>
      <w:r>
        <w:rPr>
          <w:noProof/>
        </w:rPr>
      </w:r>
      <w:r>
        <w:rPr>
          <w:noProof/>
        </w:rPr>
        <w:fldChar w:fldCharType="separate"/>
      </w:r>
      <w:r>
        <w:rPr>
          <w:noProof/>
        </w:rPr>
        <w:t>97</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Pr>
          <w:noProof/>
        </w:rPr>
        <w:t xml:space="preserve">Table 8 : </w:t>
      </w:r>
      <w:r w:rsidRPr="007804F4">
        <w:rPr>
          <w:noProof/>
          <w:lang w:val="en-US"/>
        </w:rPr>
        <w:t>Example of Containment Matrix</w:t>
      </w:r>
      <w:r>
        <w:rPr>
          <w:noProof/>
        </w:rPr>
        <w:tab/>
      </w:r>
      <w:r>
        <w:rPr>
          <w:noProof/>
        </w:rPr>
        <w:fldChar w:fldCharType="begin"/>
      </w:r>
      <w:r>
        <w:rPr>
          <w:noProof/>
        </w:rPr>
        <w:instrText xml:space="preserve"> PAGEREF _Toc474428904 \h </w:instrText>
      </w:r>
      <w:r>
        <w:rPr>
          <w:noProof/>
        </w:rPr>
      </w:r>
      <w:r>
        <w:rPr>
          <w:noProof/>
        </w:rPr>
        <w:fldChar w:fldCharType="separate"/>
      </w:r>
      <w:r>
        <w:rPr>
          <w:noProof/>
        </w:rPr>
        <w:t>99</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Pr>
          <w:noProof/>
        </w:rPr>
        <w:t xml:space="preserve">Table 9: </w:t>
      </w:r>
      <w:r w:rsidRPr="007804F4">
        <w:rPr>
          <w:noProof/>
          <w:lang w:val="en-US"/>
        </w:rPr>
        <w:t>Example of table of source terms for particular release classes</w:t>
      </w:r>
      <w:r>
        <w:rPr>
          <w:noProof/>
        </w:rPr>
        <w:tab/>
      </w:r>
      <w:r>
        <w:rPr>
          <w:noProof/>
        </w:rPr>
        <w:fldChar w:fldCharType="begin"/>
      </w:r>
      <w:r>
        <w:rPr>
          <w:noProof/>
        </w:rPr>
        <w:instrText xml:space="preserve"> PAGEREF _Toc474428905 \h </w:instrText>
      </w:r>
      <w:r>
        <w:rPr>
          <w:noProof/>
        </w:rPr>
      </w:r>
      <w:r>
        <w:rPr>
          <w:noProof/>
        </w:rPr>
        <w:fldChar w:fldCharType="separate"/>
      </w:r>
      <w:r>
        <w:rPr>
          <w:noProof/>
        </w:rPr>
        <w:t>100</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sidRPr="007804F4">
        <w:rPr>
          <w:noProof/>
          <w:lang w:val="en-US"/>
        </w:rPr>
        <w:t xml:space="preserve">Table 10: </w:t>
      </w:r>
      <w:r w:rsidRPr="007804F4">
        <w:rPr>
          <w:rFonts w:eastAsia="Batang"/>
          <w:noProof/>
          <w:lang w:val="en-GB" w:eastAsia="ja-JP"/>
        </w:rPr>
        <w:t>Comparison of Initiating Event Treatment in Single and Multi-Unit PRAs</w:t>
      </w:r>
      <w:r>
        <w:rPr>
          <w:noProof/>
        </w:rPr>
        <w:tab/>
      </w:r>
      <w:r>
        <w:rPr>
          <w:noProof/>
        </w:rPr>
        <w:fldChar w:fldCharType="begin"/>
      </w:r>
      <w:r>
        <w:rPr>
          <w:noProof/>
        </w:rPr>
        <w:instrText xml:space="preserve"> PAGEREF _Toc474428906 \h </w:instrText>
      </w:r>
      <w:r>
        <w:rPr>
          <w:noProof/>
        </w:rPr>
      </w:r>
      <w:r>
        <w:rPr>
          <w:noProof/>
        </w:rPr>
        <w:fldChar w:fldCharType="separate"/>
      </w:r>
      <w:r>
        <w:rPr>
          <w:noProof/>
        </w:rPr>
        <w:t>109</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sidRPr="007804F4">
        <w:rPr>
          <w:noProof/>
          <w:lang w:val="en-US"/>
        </w:rPr>
        <w:t xml:space="preserve">Table 11: Pickering Fuel damage Categories </w:t>
      </w:r>
      <w:r w:rsidRPr="007804F4">
        <w:rPr>
          <w:rFonts w:eastAsia="Batang"/>
          <w:noProof/>
          <w:lang w:val="en-US"/>
        </w:rPr>
        <w:t>[90]</w:t>
      </w:r>
      <w:r>
        <w:rPr>
          <w:noProof/>
        </w:rPr>
        <w:tab/>
      </w:r>
      <w:r>
        <w:rPr>
          <w:noProof/>
        </w:rPr>
        <w:fldChar w:fldCharType="begin"/>
      </w:r>
      <w:r>
        <w:rPr>
          <w:noProof/>
        </w:rPr>
        <w:instrText xml:space="preserve"> PAGEREF _Toc474428907 \h </w:instrText>
      </w:r>
      <w:r>
        <w:rPr>
          <w:noProof/>
        </w:rPr>
      </w:r>
      <w:r>
        <w:rPr>
          <w:noProof/>
        </w:rPr>
        <w:fldChar w:fldCharType="separate"/>
      </w:r>
      <w:r>
        <w:rPr>
          <w:noProof/>
        </w:rPr>
        <w:t>138</w:t>
      </w:r>
      <w:r>
        <w:rPr>
          <w:noProof/>
        </w:rPr>
        <w:fldChar w:fldCharType="end"/>
      </w:r>
    </w:p>
    <w:p w:rsidR="002B3B85" w:rsidRPr="00313E82" w:rsidRDefault="009E768B" w:rsidP="00E53927">
      <w:pPr>
        <w:rPr>
          <w:lang w:val="en-US"/>
        </w:rPr>
      </w:pPr>
      <w:r w:rsidRPr="007E0C24">
        <w:rPr>
          <w:lang w:val="en-US"/>
        </w:rPr>
        <w:fldChar w:fldCharType="end"/>
      </w:r>
    </w:p>
    <w:p w:rsidR="002B3B85" w:rsidRPr="00313E82" w:rsidRDefault="002B3B85" w:rsidP="00E53927">
      <w:pPr>
        <w:rPr>
          <w:lang w:val="en-US"/>
        </w:rPr>
      </w:pPr>
      <w:r w:rsidRPr="00313E82">
        <w:rPr>
          <w:lang w:val="en-US"/>
        </w:rPr>
        <w:br w:type="page"/>
      </w:r>
    </w:p>
    <w:p w:rsidR="00E53927" w:rsidRPr="00313E82" w:rsidRDefault="00E53927" w:rsidP="00395E63">
      <w:pPr>
        <w:pStyle w:val="Titre1"/>
        <w:numPr>
          <w:ilvl w:val="0"/>
          <w:numId w:val="0"/>
        </w:numPr>
        <w:rPr>
          <w:lang w:val="en-US"/>
        </w:rPr>
      </w:pPr>
      <w:bookmarkStart w:id="13" w:name="_Toc474430093"/>
      <w:r w:rsidRPr="00552F4E">
        <w:rPr>
          <w:lang w:val="en-US"/>
        </w:rPr>
        <w:lastRenderedPageBreak/>
        <w:t>List of Figures</w:t>
      </w:r>
      <w:bookmarkEnd w:id="13"/>
    </w:p>
    <w:p w:rsidR="00E53927" w:rsidRPr="00313E82" w:rsidRDefault="00E53927" w:rsidP="00E53927">
      <w:pPr>
        <w:rPr>
          <w:lang w:val="en-US"/>
        </w:rPr>
      </w:pPr>
    </w:p>
    <w:p w:rsidR="00B772CA" w:rsidRDefault="009E768B">
      <w:pPr>
        <w:pStyle w:val="Tabledesillustrations"/>
        <w:tabs>
          <w:tab w:val="right" w:leader="dot" w:pos="9345"/>
        </w:tabs>
        <w:rPr>
          <w:rFonts w:asciiTheme="minorHAnsi" w:eastAsiaTheme="minorEastAsia" w:hAnsiTheme="minorHAnsi" w:cstheme="minorBidi"/>
          <w:noProof/>
          <w:sz w:val="22"/>
          <w:szCs w:val="22"/>
        </w:rPr>
      </w:pPr>
      <w:r w:rsidRPr="007E0C24">
        <w:rPr>
          <w:lang w:val="en-US"/>
        </w:rPr>
        <w:fldChar w:fldCharType="begin"/>
      </w:r>
      <w:r w:rsidR="003854D4" w:rsidRPr="00313E82">
        <w:rPr>
          <w:lang w:val="en-US"/>
        </w:rPr>
        <w:instrText xml:space="preserve"> TOC \c "Figure" </w:instrText>
      </w:r>
      <w:r w:rsidRPr="007E0C24">
        <w:rPr>
          <w:lang w:val="en-US"/>
        </w:rPr>
        <w:fldChar w:fldCharType="separate"/>
      </w:r>
      <w:r w:rsidR="00B772CA" w:rsidRPr="000E1ED4">
        <w:rPr>
          <w:noProof/>
          <w:lang w:val="en-US"/>
        </w:rPr>
        <w:t>Figure 1 : Connection between PSA Levels [5]</w:t>
      </w:r>
      <w:r w:rsidR="00B772CA">
        <w:rPr>
          <w:noProof/>
        </w:rPr>
        <w:tab/>
      </w:r>
      <w:r w:rsidR="00B772CA">
        <w:rPr>
          <w:noProof/>
        </w:rPr>
        <w:fldChar w:fldCharType="begin"/>
      </w:r>
      <w:r w:rsidR="00B772CA">
        <w:rPr>
          <w:noProof/>
        </w:rPr>
        <w:instrText xml:space="preserve"> PAGEREF _Toc474428908 \h </w:instrText>
      </w:r>
      <w:r w:rsidR="00B772CA">
        <w:rPr>
          <w:noProof/>
        </w:rPr>
      </w:r>
      <w:r w:rsidR="00B772CA">
        <w:rPr>
          <w:noProof/>
        </w:rPr>
        <w:fldChar w:fldCharType="separate"/>
      </w:r>
      <w:r w:rsidR="00B772CA">
        <w:rPr>
          <w:noProof/>
        </w:rPr>
        <w:t>62</w:t>
      </w:r>
      <w:r w:rsidR="00B772CA">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sidRPr="000E1ED4">
        <w:rPr>
          <w:noProof/>
          <w:lang w:val="en-US"/>
        </w:rPr>
        <w:t>Figure 2 : Example of Results Provided by L2 PSA</w:t>
      </w:r>
      <w:r>
        <w:rPr>
          <w:noProof/>
        </w:rPr>
        <w:tab/>
      </w:r>
      <w:r>
        <w:rPr>
          <w:noProof/>
        </w:rPr>
        <w:fldChar w:fldCharType="begin"/>
      </w:r>
      <w:r>
        <w:rPr>
          <w:noProof/>
        </w:rPr>
        <w:instrText xml:space="preserve"> PAGEREF _Toc474428909 \h </w:instrText>
      </w:r>
      <w:r>
        <w:rPr>
          <w:noProof/>
        </w:rPr>
      </w:r>
      <w:r>
        <w:rPr>
          <w:noProof/>
        </w:rPr>
        <w:fldChar w:fldCharType="separate"/>
      </w:r>
      <w:r>
        <w:rPr>
          <w:noProof/>
        </w:rPr>
        <w:t>88</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Pr>
          <w:noProof/>
        </w:rPr>
        <w:t>Figure 3 : INES Scale</w:t>
      </w:r>
      <w:r>
        <w:rPr>
          <w:noProof/>
        </w:rPr>
        <w:tab/>
      </w:r>
      <w:r>
        <w:rPr>
          <w:noProof/>
        </w:rPr>
        <w:fldChar w:fldCharType="begin"/>
      </w:r>
      <w:r>
        <w:rPr>
          <w:noProof/>
        </w:rPr>
        <w:instrText xml:space="preserve"> PAGEREF _Toc474428910 \h </w:instrText>
      </w:r>
      <w:r>
        <w:rPr>
          <w:noProof/>
        </w:rPr>
      </w:r>
      <w:r>
        <w:rPr>
          <w:noProof/>
        </w:rPr>
        <w:fldChar w:fldCharType="separate"/>
      </w:r>
      <w:r>
        <w:rPr>
          <w:noProof/>
        </w:rPr>
        <w:t>94</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sidRPr="000E1ED4">
        <w:rPr>
          <w:noProof/>
          <w:lang w:val="en-US"/>
        </w:rPr>
        <w:t xml:space="preserve">Figure 4 : </w:t>
      </w:r>
      <w:r w:rsidRPr="000E1ED4">
        <w:rPr>
          <w:rFonts w:eastAsia="Batang" w:cs="TimesNewRomanPS-BoldMT"/>
          <w:noProof/>
          <w:lang w:val="en-GB" w:eastAsia="ja-JP"/>
        </w:rPr>
        <w:t xml:space="preserve">Initiating Event Categories for Multi-Unit PRA </w:t>
      </w:r>
      <w:r w:rsidRPr="000E1ED4">
        <w:rPr>
          <w:noProof/>
          <w:lang w:val="en-GB" w:eastAsia="ja-JP"/>
        </w:rPr>
        <w:t>[86]</w:t>
      </w:r>
      <w:r>
        <w:rPr>
          <w:noProof/>
        </w:rPr>
        <w:tab/>
      </w:r>
      <w:r>
        <w:rPr>
          <w:noProof/>
        </w:rPr>
        <w:fldChar w:fldCharType="begin"/>
      </w:r>
      <w:r>
        <w:rPr>
          <w:noProof/>
        </w:rPr>
        <w:instrText xml:space="preserve"> PAGEREF _Toc474428911 \h </w:instrText>
      </w:r>
      <w:r>
        <w:rPr>
          <w:noProof/>
        </w:rPr>
      </w:r>
      <w:r>
        <w:rPr>
          <w:noProof/>
        </w:rPr>
        <w:fldChar w:fldCharType="separate"/>
      </w:r>
      <w:r>
        <w:rPr>
          <w:noProof/>
        </w:rPr>
        <w:t>108</w:t>
      </w:r>
      <w:r>
        <w:rPr>
          <w:noProof/>
        </w:rPr>
        <w:fldChar w:fldCharType="end"/>
      </w:r>
    </w:p>
    <w:p w:rsidR="00B772CA" w:rsidRDefault="00B772CA">
      <w:pPr>
        <w:pStyle w:val="Tabledesillustrations"/>
        <w:tabs>
          <w:tab w:val="right" w:leader="dot" w:pos="9345"/>
        </w:tabs>
        <w:rPr>
          <w:rFonts w:asciiTheme="minorHAnsi" w:eastAsiaTheme="minorEastAsia" w:hAnsiTheme="minorHAnsi" w:cstheme="minorBidi"/>
          <w:noProof/>
          <w:sz w:val="22"/>
          <w:szCs w:val="22"/>
        </w:rPr>
      </w:pPr>
      <w:r w:rsidRPr="000E1ED4">
        <w:rPr>
          <w:noProof/>
          <w:lang w:val="en-US"/>
        </w:rPr>
        <w:t xml:space="preserve">Figure 5 : </w:t>
      </w:r>
      <w:r w:rsidRPr="000E1ED4">
        <w:rPr>
          <w:noProof/>
          <w:lang w:val="en-GB"/>
        </w:rPr>
        <w:t>Diagram Depicting Multi-unit Accidents [87]</w:t>
      </w:r>
      <w:r>
        <w:rPr>
          <w:noProof/>
        </w:rPr>
        <w:tab/>
      </w:r>
      <w:r>
        <w:rPr>
          <w:noProof/>
        </w:rPr>
        <w:fldChar w:fldCharType="begin"/>
      </w:r>
      <w:r>
        <w:rPr>
          <w:noProof/>
        </w:rPr>
        <w:instrText xml:space="preserve"> PAGEREF _Toc474428912 \h </w:instrText>
      </w:r>
      <w:r>
        <w:rPr>
          <w:noProof/>
        </w:rPr>
      </w:r>
      <w:r>
        <w:rPr>
          <w:noProof/>
        </w:rPr>
        <w:fldChar w:fldCharType="separate"/>
      </w:r>
      <w:r>
        <w:rPr>
          <w:noProof/>
        </w:rPr>
        <w:t>110</w:t>
      </w:r>
      <w:r>
        <w:rPr>
          <w:noProof/>
        </w:rPr>
        <w:fldChar w:fldCharType="end"/>
      </w:r>
    </w:p>
    <w:p w:rsidR="00E53927" w:rsidRPr="00313E82" w:rsidRDefault="009E768B" w:rsidP="00E53927">
      <w:pPr>
        <w:rPr>
          <w:lang w:val="en-US"/>
        </w:rPr>
      </w:pPr>
      <w:r w:rsidRPr="007E0C24">
        <w:rPr>
          <w:lang w:val="en-US"/>
        </w:rPr>
        <w:fldChar w:fldCharType="end"/>
      </w:r>
    </w:p>
    <w:p w:rsidR="009A1C44" w:rsidRPr="00313E82" w:rsidRDefault="009A1C44" w:rsidP="009A1C44">
      <w:pPr>
        <w:rPr>
          <w:lang w:val="en-US"/>
        </w:rPr>
      </w:pPr>
    </w:p>
    <w:p w:rsidR="009A1C44" w:rsidRPr="00313E82" w:rsidRDefault="009A1C44" w:rsidP="009A1C44">
      <w:pPr>
        <w:pStyle w:val="Titre1"/>
        <w:numPr>
          <w:ilvl w:val="0"/>
          <w:numId w:val="0"/>
        </w:numPr>
        <w:rPr>
          <w:lang w:val="en-US"/>
        </w:rPr>
      </w:pPr>
      <w:bookmarkStart w:id="14" w:name="_Toc274673961"/>
      <w:r w:rsidRPr="00313E82">
        <w:rPr>
          <w:lang w:val="en-US"/>
        </w:rPr>
        <w:br w:type="page"/>
      </w:r>
      <w:bookmarkStart w:id="15" w:name="_Toc474430094"/>
      <w:r w:rsidRPr="00313E82">
        <w:rPr>
          <w:lang w:val="en-US"/>
        </w:rPr>
        <w:lastRenderedPageBreak/>
        <w:t>GLOSSARY</w:t>
      </w:r>
      <w:bookmarkEnd w:id="14"/>
      <w:bookmarkEnd w:id="15"/>
    </w:p>
    <w:p w:rsidR="009A1C44" w:rsidRPr="00313E82" w:rsidRDefault="009A1C44" w:rsidP="009A1C44">
      <w:pPr>
        <w:rPr>
          <w:lang w:val="en-US"/>
        </w:rPr>
      </w:pPr>
    </w:p>
    <w:p w:rsidR="00E33FCF" w:rsidRPr="00313E82" w:rsidRDefault="00E33FCF" w:rsidP="009A1C44">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416B82" w:rsidRPr="00313E82" w:rsidTr="009A1C44">
        <w:tc>
          <w:tcPr>
            <w:tcW w:w="2160" w:type="dxa"/>
          </w:tcPr>
          <w:p w:rsidR="00416B82" w:rsidRPr="00313E82" w:rsidRDefault="00416B82" w:rsidP="006E3870">
            <w:pPr>
              <w:rPr>
                <w:lang w:val="en-US"/>
              </w:rPr>
            </w:pPr>
            <w:r>
              <w:rPr>
                <w:lang w:val="en-US"/>
              </w:rPr>
              <w:t>APET</w:t>
            </w:r>
          </w:p>
        </w:tc>
        <w:tc>
          <w:tcPr>
            <w:tcW w:w="6254" w:type="dxa"/>
          </w:tcPr>
          <w:p w:rsidR="00416B82" w:rsidRPr="00313E82" w:rsidRDefault="00416B82" w:rsidP="009A1C44">
            <w:pPr>
              <w:rPr>
                <w:lang w:val="en-US"/>
              </w:rPr>
            </w:pPr>
            <w:r>
              <w:rPr>
                <w:rFonts w:eastAsia="Batang"/>
                <w:lang w:val="en-US"/>
              </w:rPr>
              <w:t>Accident Progression Event Tree</w:t>
            </w:r>
          </w:p>
        </w:tc>
      </w:tr>
      <w:tr w:rsidR="00A42373" w:rsidRPr="00313E82" w:rsidTr="009A1C44">
        <w:tc>
          <w:tcPr>
            <w:tcW w:w="2160" w:type="dxa"/>
          </w:tcPr>
          <w:p w:rsidR="00A42373" w:rsidRDefault="00A42373" w:rsidP="006E3870">
            <w:pPr>
              <w:rPr>
                <w:lang w:val="en-US"/>
              </w:rPr>
            </w:pPr>
            <w:r>
              <w:rPr>
                <w:lang w:val="en-US"/>
              </w:rPr>
              <w:t>CCA</w:t>
            </w:r>
          </w:p>
        </w:tc>
        <w:tc>
          <w:tcPr>
            <w:tcW w:w="6254" w:type="dxa"/>
          </w:tcPr>
          <w:p w:rsidR="00A42373" w:rsidRDefault="00E87996" w:rsidP="009A1C44">
            <w:pPr>
              <w:rPr>
                <w:rFonts w:eastAsia="Batang"/>
                <w:lang w:val="en-US"/>
              </w:rPr>
            </w:pPr>
            <w:r w:rsidRPr="00A82177">
              <w:rPr>
                <w:lang w:val="en-CA"/>
              </w:rPr>
              <w:t>ASAMPSA_E partner organisation</w:t>
            </w:r>
          </w:p>
        </w:tc>
      </w:tr>
      <w:tr w:rsidR="002B4DD2" w:rsidRPr="00313E82" w:rsidTr="009A1C44">
        <w:tc>
          <w:tcPr>
            <w:tcW w:w="2160" w:type="dxa"/>
          </w:tcPr>
          <w:p w:rsidR="002B4DD2" w:rsidRPr="00313E82" w:rsidRDefault="002B4DD2" w:rsidP="006E3870">
            <w:pPr>
              <w:rPr>
                <w:lang w:val="en-US"/>
              </w:rPr>
            </w:pPr>
            <w:r w:rsidRPr="00313E82">
              <w:rPr>
                <w:lang w:val="en-US"/>
              </w:rPr>
              <w:t>CCDF</w:t>
            </w:r>
          </w:p>
        </w:tc>
        <w:tc>
          <w:tcPr>
            <w:tcW w:w="6254" w:type="dxa"/>
          </w:tcPr>
          <w:p w:rsidR="002B4DD2" w:rsidRPr="00313E82" w:rsidRDefault="002B4DD2" w:rsidP="009A1C44">
            <w:pPr>
              <w:rPr>
                <w:lang w:val="en-US"/>
              </w:rPr>
            </w:pPr>
            <w:r w:rsidRPr="00313E82">
              <w:rPr>
                <w:lang w:val="en-US"/>
              </w:rPr>
              <w:t>Conditional Core Damage Frequency</w:t>
            </w:r>
          </w:p>
        </w:tc>
      </w:tr>
      <w:tr w:rsidR="002B4DD2" w:rsidRPr="00313E82" w:rsidTr="009A1C44">
        <w:tc>
          <w:tcPr>
            <w:tcW w:w="2160" w:type="dxa"/>
          </w:tcPr>
          <w:p w:rsidR="002B4DD2" w:rsidRPr="00313E82" w:rsidRDefault="002B4DD2" w:rsidP="006E3870">
            <w:pPr>
              <w:rPr>
                <w:lang w:val="en-US"/>
              </w:rPr>
            </w:pPr>
            <w:r w:rsidRPr="00313E82">
              <w:rPr>
                <w:lang w:val="en-US"/>
              </w:rPr>
              <w:t>CCDP</w:t>
            </w:r>
          </w:p>
        </w:tc>
        <w:tc>
          <w:tcPr>
            <w:tcW w:w="6254" w:type="dxa"/>
          </w:tcPr>
          <w:p w:rsidR="002B4DD2" w:rsidRPr="00313E82" w:rsidRDefault="002B4DD2" w:rsidP="002B4DD2">
            <w:pPr>
              <w:rPr>
                <w:lang w:val="en-US"/>
              </w:rPr>
            </w:pPr>
            <w:r w:rsidRPr="00313E82">
              <w:rPr>
                <w:lang w:val="en-US"/>
              </w:rPr>
              <w:t>Conditional Core Damage Probability</w:t>
            </w:r>
          </w:p>
        </w:tc>
      </w:tr>
      <w:tr w:rsidR="002B4DD2" w:rsidRPr="00313E82" w:rsidTr="009A1C44">
        <w:tc>
          <w:tcPr>
            <w:tcW w:w="2160" w:type="dxa"/>
          </w:tcPr>
          <w:p w:rsidR="002B4DD2" w:rsidRPr="00313E82" w:rsidRDefault="002B4DD2" w:rsidP="006E3870">
            <w:pPr>
              <w:rPr>
                <w:lang w:val="en-US"/>
              </w:rPr>
            </w:pPr>
            <w:r w:rsidRPr="00313E82">
              <w:rPr>
                <w:lang w:val="en-US"/>
              </w:rPr>
              <w:t>CDF</w:t>
            </w:r>
          </w:p>
        </w:tc>
        <w:tc>
          <w:tcPr>
            <w:tcW w:w="6254" w:type="dxa"/>
          </w:tcPr>
          <w:p w:rsidR="002B4DD2" w:rsidRPr="00313E82" w:rsidRDefault="002B4DD2" w:rsidP="009A1C44">
            <w:pPr>
              <w:rPr>
                <w:lang w:val="en-US"/>
              </w:rPr>
            </w:pPr>
            <w:r w:rsidRPr="00313E82">
              <w:rPr>
                <w:lang w:val="en-US"/>
              </w:rPr>
              <w:t>Core Damage Frequency</w:t>
            </w:r>
          </w:p>
        </w:tc>
      </w:tr>
      <w:tr w:rsidR="002B4DD2" w:rsidRPr="00313E82" w:rsidTr="009A1C44">
        <w:tc>
          <w:tcPr>
            <w:tcW w:w="2160" w:type="dxa"/>
          </w:tcPr>
          <w:p w:rsidR="002B4DD2" w:rsidRPr="00313E82" w:rsidRDefault="002B4DD2" w:rsidP="006E3870">
            <w:pPr>
              <w:rPr>
                <w:lang w:val="en-US"/>
              </w:rPr>
            </w:pPr>
            <w:r w:rsidRPr="00313E82">
              <w:rPr>
                <w:lang w:val="en-US"/>
              </w:rPr>
              <w:t>CDP</w:t>
            </w:r>
          </w:p>
        </w:tc>
        <w:tc>
          <w:tcPr>
            <w:tcW w:w="6254" w:type="dxa"/>
          </w:tcPr>
          <w:p w:rsidR="002B4DD2" w:rsidRPr="00313E82" w:rsidRDefault="002B4DD2" w:rsidP="002B4DD2">
            <w:pPr>
              <w:rPr>
                <w:lang w:val="en-US"/>
              </w:rPr>
            </w:pPr>
            <w:r w:rsidRPr="00313E82">
              <w:rPr>
                <w:lang w:val="en-US"/>
              </w:rPr>
              <w:t>Core Damage Probability</w:t>
            </w:r>
          </w:p>
        </w:tc>
      </w:tr>
      <w:tr w:rsidR="001F396A" w:rsidRPr="00313E82" w:rsidTr="009A1C44">
        <w:tc>
          <w:tcPr>
            <w:tcW w:w="2160" w:type="dxa"/>
          </w:tcPr>
          <w:p w:rsidR="001F396A" w:rsidRPr="00313E82" w:rsidRDefault="001F396A" w:rsidP="006E3870">
            <w:pPr>
              <w:rPr>
                <w:lang w:val="en-US"/>
              </w:rPr>
            </w:pPr>
            <w:r>
              <w:rPr>
                <w:lang w:val="en-US"/>
              </w:rPr>
              <w:t>CDS</w:t>
            </w:r>
          </w:p>
        </w:tc>
        <w:tc>
          <w:tcPr>
            <w:tcW w:w="6254" w:type="dxa"/>
          </w:tcPr>
          <w:p w:rsidR="001F396A" w:rsidRPr="00313E82" w:rsidRDefault="001F396A" w:rsidP="002B4DD2">
            <w:pPr>
              <w:rPr>
                <w:lang w:val="en-US"/>
              </w:rPr>
            </w:pPr>
            <w:r>
              <w:rPr>
                <w:lang w:val="en-US"/>
              </w:rPr>
              <w:t>Core Damage State</w:t>
            </w:r>
          </w:p>
        </w:tc>
      </w:tr>
      <w:tr w:rsidR="002B4DD2" w:rsidRPr="00313E82" w:rsidTr="009A1C44">
        <w:tc>
          <w:tcPr>
            <w:tcW w:w="2160" w:type="dxa"/>
          </w:tcPr>
          <w:p w:rsidR="002B4DD2" w:rsidRPr="00313E82" w:rsidRDefault="002B4DD2" w:rsidP="002B4DD2">
            <w:pPr>
              <w:rPr>
                <w:lang w:val="en-US"/>
              </w:rPr>
            </w:pPr>
            <w:r w:rsidRPr="00313E82">
              <w:rPr>
                <w:lang w:val="en-US"/>
              </w:rPr>
              <w:t>CFDP</w:t>
            </w:r>
          </w:p>
        </w:tc>
        <w:tc>
          <w:tcPr>
            <w:tcW w:w="6254" w:type="dxa"/>
          </w:tcPr>
          <w:p w:rsidR="002B4DD2" w:rsidRPr="00313E82" w:rsidRDefault="002B4DD2" w:rsidP="002B4DD2">
            <w:pPr>
              <w:rPr>
                <w:lang w:val="en-US"/>
              </w:rPr>
            </w:pPr>
            <w:r w:rsidRPr="00313E82">
              <w:rPr>
                <w:lang w:val="en-US"/>
              </w:rPr>
              <w:t>Conditional Fuel Damage Probability</w:t>
            </w:r>
          </w:p>
        </w:tc>
      </w:tr>
      <w:tr w:rsidR="008849BC" w:rsidRPr="00313E82" w:rsidTr="009A1C44">
        <w:tc>
          <w:tcPr>
            <w:tcW w:w="2160" w:type="dxa"/>
          </w:tcPr>
          <w:p w:rsidR="008849BC" w:rsidRPr="00313E82" w:rsidRDefault="008849BC" w:rsidP="002B4DD2">
            <w:pPr>
              <w:rPr>
                <w:lang w:val="en-US"/>
              </w:rPr>
            </w:pPr>
            <w:r>
              <w:rPr>
                <w:lang w:val="en-US"/>
              </w:rPr>
              <w:t>CFF</w:t>
            </w:r>
          </w:p>
        </w:tc>
        <w:tc>
          <w:tcPr>
            <w:tcW w:w="6254" w:type="dxa"/>
          </w:tcPr>
          <w:p w:rsidR="008849BC" w:rsidRPr="00313E82" w:rsidRDefault="008849BC" w:rsidP="002B4DD2">
            <w:pPr>
              <w:rPr>
                <w:lang w:val="en-US"/>
              </w:rPr>
            </w:pPr>
            <w:r>
              <w:rPr>
                <w:lang w:val="en-US"/>
              </w:rPr>
              <w:t>Containment Failure Frequency</w:t>
            </w:r>
          </w:p>
        </w:tc>
      </w:tr>
      <w:tr w:rsidR="00416B82" w:rsidRPr="00313E82" w:rsidTr="009A1C44">
        <w:tc>
          <w:tcPr>
            <w:tcW w:w="2160" w:type="dxa"/>
          </w:tcPr>
          <w:p w:rsidR="00416B82" w:rsidRDefault="00416B82" w:rsidP="002B4DD2">
            <w:pPr>
              <w:rPr>
                <w:lang w:val="en-US"/>
              </w:rPr>
            </w:pPr>
            <w:r>
              <w:rPr>
                <w:lang w:val="en-US"/>
              </w:rPr>
              <w:t>CHRS</w:t>
            </w:r>
          </w:p>
        </w:tc>
        <w:tc>
          <w:tcPr>
            <w:tcW w:w="6254" w:type="dxa"/>
          </w:tcPr>
          <w:p w:rsidR="00416B82" w:rsidRDefault="00247639" w:rsidP="002B4DD2">
            <w:pPr>
              <w:rPr>
                <w:lang w:val="en-US"/>
              </w:rPr>
            </w:pPr>
            <w:r>
              <w:rPr>
                <w:lang w:val="en-US"/>
              </w:rPr>
              <w:t>Containment Heat Removal System</w:t>
            </w:r>
          </w:p>
        </w:tc>
      </w:tr>
      <w:tr w:rsidR="002B4DD2" w:rsidRPr="00313E82" w:rsidTr="009A1C44">
        <w:tc>
          <w:tcPr>
            <w:tcW w:w="2160" w:type="dxa"/>
          </w:tcPr>
          <w:p w:rsidR="002B4DD2" w:rsidRPr="00313E82" w:rsidRDefault="002B4DD2" w:rsidP="006E3870">
            <w:pPr>
              <w:rPr>
                <w:lang w:val="en-US"/>
              </w:rPr>
            </w:pPr>
            <w:r w:rsidRPr="00313E82">
              <w:rPr>
                <w:lang w:val="en-US"/>
              </w:rPr>
              <w:t>CLRP</w:t>
            </w:r>
          </w:p>
        </w:tc>
        <w:tc>
          <w:tcPr>
            <w:tcW w:w="6254" w:type="dxa"/>
          </w:tcPr>
          <w:p w:rsidR="002B4DD2" w:rsidRPr="00313E82" w:rsidRDefault="002B4DD2" w:rsidP="002B4DD2">
            <w:pPr>
              <w:rPr>
                <w:lang w:val="en-US"/>
              </w:rPr>
            </w:pPr>
            <w:r w:rsidRPr="00313E82">
              <w:rPr>
                <w:lang w:val="en-US"/>
              </w:rPr>
              <w:t>Conditional Large Release Probability</w:t>
            </w:r>
          </w:p>
        </w:tc>
      </w:tr>
      <w:tr w:rsidR="002B4DD2" w:rsidRPr="00313E82" w:rsidTr="009A1C44">
        <w:tc>
          <w:tcPr>
            <w:tcW w:w="2160" w:type="dxa"/>
          </w:tcPr>
          <w:p w:rsidR="002B4DD2" w:rsidRPr="00313E82" w:rsidRDefault="002B4DD2" w:rsidP="006E3870">
            <w:pPr>
              <w:rPr>
                <w:lang w:val="en-US"/>
              </w:rPr>
            </w:pPr>
            <w:r w:rsidRPr="00313E82">
              <w:rPr>
                <w:lang w:val="en-US"/>
              </w:rPr>
              <w:t>DBA</w:t>
            </w:r>
          </w:p>
        </w:tc>
        <w:tc>
          <w:tcPr>
            <w:tcW w:w="6254" w:type="dxa"/>
          </w:tcPr>
          <w:p w:rsidR="002B4DD2" w:rsidRPr="00313E82" w:rsidRDefault="002B4DD2" w:rsidP="009A1C44">
            <w:pPr>
              <w:rPr>
                <w:lang w:val="en-US"/>
              </w:rPr>
            </w:pPr>
            <w:r w:rsidRPr="00313E82">
              <w:rPr>
                <w:lang w:val="en-US"/>
              </w:rPr>
              <w:t>Design Basis Accident</w:t>
            </w:r>
          </w:p>
        </w:tc>
      </w:tr>
      <w:tr w:rsidR="002B4DD2" w:rsidRPr="00313E82" w:rsidTr="009A1C44">
        <w:tc>
          <w:tcPr>
            <w:tcW w:w="2160" w:type="dxa"/>
          </w:tcPr>
          <w:p w:rsidR="002B4DD2" w:rsidRPr="00313E82" w:rsidRDefault="002B4DD2" w:rsidP="005A599B">
            <w:pPr>
              <w:rPr>
                <w:lang w:val="en-US"/>
              </w:rPr>
            </w:pPr>
            <w:r w:rsidRPr="00313E82">
              <w:rPr>
                <w:lang w:val="en-US"/>
              </w:rPr>
              <w:t>DiD</w:t>
            </w:r>
          </w:p>
        </w:tc>
        <w:tc>
          <w:tcPr>
            <w:tcW w:w="6254" w:type="dxa"/>
          </w:tcPr>
          <w:p w:rsidR="002B4DD2" w:rsidRPr="00313E82" w:rsidRDefault="002B4DD2" w:rsidP="005A599B">
            <w:pPr>
              <w:rPr>
                <w:lang w:val="en-US"/>
              </w:rPr>
            </w:pPr>
            <w:r w:rsidRPr="00313E82">
              <w:rPr>
                <w:lang w:val="en-US"/>
              </w:rPr>
              <w:t>Defense in Depth</w:t>
            </w:r>
          </w:p>
        </w:tc>
      </w:tr>
      <w:tr w:rsidR="00BC2F08" w:rsidRPr="00313E82" w:rsidTr="009A1C44">
        <w:tc>
          <w:tcPr>
            <w:tcW w:w="2160" w:type="dxa"/>
          </w:tcPr>
          <w:p w:rsidR="00BC2F08" w:rsidRPr="00313E82" w:rsidRDefault="00BC2F08" w:rsidP="005A599B">
            <w:pPr>
              <w:rPr>
                <w:lang w:val="en-US"/>
              </w:rPr>
            </w:pPr>
            <w:r w:rsidRPr="00313E82">
              <w:rPr>
                <w:rFonts w:eastAsia="Batang"/>
                <w:lang w:val="en-US"/>
              </w:rPr>
              <w:t>DIM</w:t>
            </w:r>
          </w:p>
        </w:tc>
        <w:tc>
          <w:tcPr>
            <w:tcW w:w="6254" w:type="dxa"/>
          </w:tcPr>
          <w:p w:rsidR="00BC2F08" w:rsidRPr="00313E82" w:rsidRDefault="00BC2F08" w:rsidP="00BC2F08">
            <w:pPr>
              <w:rPr>
                <w:lang w:val="en-US"/>
              </w:rPr>
            </w:pPr>
            <w:r>
              <w:rPr>
                <w:rFonts w:eastAsia="Batang"/>
                <w:lang w:val="en-US"/>
              </w:rPr>
              <w:t>D</w:t>
            </w:r>
            <w:r w:rsidRPr="00313E82">
              <w:rPr>
                <w:rFonts w:eastAsia="Batang"/>
                <w:lang w:val="en-US"/>
              </w:rPr>
              <w:t xml:space="preserve">ifferential </w:t>
            </w:r>
            <w:r>
              <w:rPr>
                <w:rFonts w:eastAsia="Batang"/>
                <w:lang w:val="en-US"/>
              </w:rPr>
              <w:t>I</w:t>
            </w:r>
            <w:r w:rsidRPr="00313E82">
              <w:rPr>
                <w:rFonts w:eastAsia="Batang"/>
                <w:lang w:val="en-US"/>
              </w:rPr>
              <w:t xml:space="preserve">mportance </w:t>
            </w:r>
            <w:r>
              <w:rPr>
                <w:rFonts w:eastAsia="Batang"/>
                <w:lang w:val="en-US"/>
              </w:rPr>
              <w:t>Measure</w:t>
            </w:r>
          </w:p>
        </w:tc>
      </w:tr>
      <w:tr w:rsidR="00E200BE" w:rsidRPr="00313E82" w:rsidTr="009A1C44">
        <w:tc>
          <w:tcPr>
            <w:tcW w:w="2160" w:type="dxa"/>
          </w:tcPr>
          <w:p w:rsidR="00E200BE" w:rsidRPr="00313E82" w:rsidRDefault="00E200BE" w:rsidP="005A599B">
            <w:pPr>
              <w:rPr>
                <w:lang w:val="en-US"/>
              </w:rPr>
            </w:pPr>
            <w:r w:rsidRPr="00313E82">
              <w:rPr>
                <w:lang w:val="en-US"/>
              </w:rPr>
              <w:t>ECIS</w:t>
            </w:r>
          </w:p>
        </w:tc>
        <w:tc>
          <w:tcPr>
            <w:tcW w:w="6254" w:type="dxa"/>
          </w:tcPr>
          <w:p w:rsidR="00E200BE" w:rsidRPr="00313E82" w:rsidRDefault="00E200BE" w:rsidP="005A599B">
            <w:pPr>
              <w:rPr>
                <w:lang w:val="en-US"/>
              </w:rPr>
            </w:pPr>
            <w:r w:rsidRPr="00313E82">
              <w:rPr>
                <w:lang w:val="en-US"/>
              </w:rPr>
              <w:t>Emergency Coolant Injection System</w:t>
            </w:r>
          </w:p>
        </w:tc>
      </w:tr>
      <w:tr w:rsidR="00A964BA" w:rsidRPr="00313E82" w:rsidTr="009A1C44">
        <w:tc>
          <w:tcPr>
            <w:tcW w:w="2160" w:type="dxa"/>
          </w:tcPr>
          <w:p w:rsidR="00A964BA" w:rsidRPr="00313E82" w:rsidRDefault="00A964BA" w:rsidP="005A599B">
            <w:pPr>
              <w:rPr>
                <w:lang w:val="en-US"/>
              </w:rPr>
            </w:pPr>
            <w:r>
              <w:rPr>
                <w:lang w:val="en-US"/>
              </w:rPr>
              <w:t>EOP</w:t>
            </w:r>
          </w:p>
        </w:tc>
        <w:tc>
          <w:tcPr>
            <w:tcW w:w="6254" w:type="dxa"/>
          </w:tcPr>
          <w:p w:rsidR="00A964BA" w:rsidRPr="00313E82" w:rsidRDefault="00A964BA" w:rsidP="005A599B">
            <w:pPr>
              <w:rPr>
                <w:lang w:val="en-US"/>
              </w:rPr>
            </w:pPr>
            <w:r>
              <w:rPr>
                <w:lang w:val="en-US"/>
              </w:rPr>
              <w:t>Emergency Operating Procedure</w:t>
            </w:r>
          </w:p>
        </w:tc>
      </w:tr>
      <w:tr w:rsidR="00E200BE" w:rsidRPr="00313E82" w:rsidTr="009A1C44">
        <w:tc>
          <w:tcPr>
            <w:tcW w:w="2160" w:type="dxa"/>
          </w:tcPr>
          <w:p w:rsidR="00E200BE" w:rsidRPr="00313E82" w:rsidRDefault="00E200BE" w:rsidP="005A599B">
            <w:pPr>
              <w:rPr>
                <w:lang w:val="en-US"/>
              </w:rPr>
            </w:pPr>
            <w:r w:rsidRPr="00313E82">
              <w:rPr>
                <w:lang w:val="en-US"/>
              </w:rPr>
              <w:t>ΔCDF</w:t>
            </w:r>
          </w:p>
        </w:tc>
        <w:tc>
          <w:tcPr>
            <w:tcW w:w="6254" w:type="dxa"/>
          </w:tcPr>
          <w:p w:rsidR="00E200BE" w:rsidRPr="00313E82" w:rsidRDefault="00E200BE" w:rsidP="005A599B">
            <w:pPr>
              <w:rPr>
                <w:lang w:val="en-US"/>
              </w:rPr>
            </w:pPr>
            <w:r w:rsidRPr="00313E82">
              <w:rPr>
                <w:lang w:val="en-US"/>
              </w:rPr>
              <w:t>Change in CDF</w:t>
            </w:r>
          </w:p>
        </w:tc>
      </w:tr>
      <w:tr w:rsidR="00E87996" w:rsidRPr="00313E82" w:rsidTr="009A1C44">
        <w:tc>
          <w:tcPr>
            <w:tcW w:w="2160" w:type="dxa"/>
          </w:tcPr>
          <w:p w:rsidR="00E87996" w:rsidRPr="00313E82" w:rsidRDefault="00E87996" w:rsidP="005A599B">
            <w:pPr>
              <w:rPr>
                <w:lang w:val="en-US"/>
              </w:rPr>
            </w:pPr>
            <w:r>
              <w:rPr>
                <w:lang w:val="en-US"/>
              </w:rPr>
              <w:t>EDF</w:t>
            </w:r>
          </w:p>
        </w:tc>
        <w:tc>
          <w:tcPr>
            <w:tcW w:w="6254" w:type="dxa"/>
          </w:tcPr>
          <w:p w:rsidR="00E87996" w:rsidRPr="00313E82" w:rsidRDefault="00E87996" w:rsidP="005A599B">
            <w:pPr>
              <w:rPr>
                <w:lang w:val="en-US"/>
              </w:rPr>
            </w:pPr>
            <w:r w:rsidRPr="00A82177">
              <w:rPr>
                <w:lang w:val="en-CA"/>
              </w:rPr>
              <w:t>ASAMPSA_E partner organisation</w:t>
            </w:r>
          </w:p>
        </w:tc>
      </w:tr>
      <w:tr w:rsidR="00247639" w:rsidRPr="00313E82" w:rsidTr="009A1C44">
        <w:tc>
          <w:tcPr>
            <w:tcW w:w="2160" w:type="dxa"/>
          </w:tcPr>
          <w:p w:rsidR="00247639" w:rsidRPr="00313E82" w:rsidRDefault="00247639" w:rsidP="005A599B">
            <w:pPr>
              <w:rPr>
                <w:lang w:val="en-US"/>
              </w:rPr>
            </w:pPr>
            <w:r>
              <w:rPr>
                <w:lang w:val="en-US"/>
              </w:rPr>
              <w:t>EPR</w:t>
            </w:r>
          </w:p>
        </w:tc>
        <w:tc>
          <w:tcPr>
            <w:tcW w:w="6254" w:type="dxa"/>
          </w:tcPr>
          <w:p w:rsidR="00247639" w:rsidRPr="00247639" w:rsidRDefault="00247639" w:rsidP="005A599B">
            <w:pPr>
              <w:rPr>
                <w:lang w:val="en-US"/>
              </w:rPr>
            </w:pPr>
            <w:r w:rsidRPr="00247639">
              <w:rPr>
                <w:bCs/>
                <w:lang w:val="en-US"/>
              </w:rPr>
              <w:t>Evolutionary Power Reactor</w:t>
            </w:r>
          </w:p>
        </w:tc>
      </w:tr>
      <w:tr w:rsidR="00247639" w:rsidRPr="00313E82" w:rsidTr="009A1C44">
        <w:tc>
          <w:tcPr>
            <w:tcW w:w="2160" w:type="dxa"/>
          </w:tcPr>
          <w:p w:rsidR="00247639" w:rsidRDefault="00247639" w:rsidP="005A599B">
            <w:pPr>
              <w:rPr>
                <w:lang w:val="en-US"/>
              </w:rPr>
            </w:pPr>
            <w:r>
              <w:rPr>
                <w:lang w:val="en-US"/>
              </w:rPr>
              <w:t>EPR FA3</w:t>
            </w:r>
          </w:p>
        </w:tc>
        <w:tc>
          <w:tcPr>
            <w:tcW w:w="6254" w:type="dxa"/>
          </w:tcPr>
          <w:p w:rsidR="00247639" w:rsidRPr="00247639" w:rsidRDefault="00247639" w:rsidP="005A599B">
            <w:pPr>
              <w:rPr>
                <w:bCs/>
                <w:lang w:val="en-US"/>
              </w:rPr>
            </w:pPr>
            <w:r w:rsidRPr="00247639">
              <w:rPr>
                <w:bCs/>
                <w:lang w:val="en-US"/>
              </w:rPr>
              <w:t>Evolutionary Power Reactor</w:t>
            </w:r>
            <w:r>
              <w:rPr>
                <w:bCs/>
                <w:lang w:val="en-US"/>
              </w:rPr>
              <w:t xml:space="preserve"> Flamanville 3</w:t>
            </w:r>
          </w:p>
        </w:tc>
      </w:tr>
      <w:tr w:rsidR="00DD7E8A" w:rsidRPr="00557A1D" w:rsidTr="009A1C44">
        <w:tc>
          <w:tcPr>
            <w:tcW w:w="2160" w:type="dxa"/>
          </w:tcPr>
          <w:p w:rsidR="00DD7E8A" w:rsidRPr="00313E82" w:rsidRDefault="00DD7E8A" w:rsidP="005A599B">
            <w:pPr>
              <w:rPr>
                <w:lang w:val="en-US"/>
              </w:rPr>
            </w:pPr>
            <w:r>
              <w:rPr>
                <w:lang w:val="en-US"/>
              </w:rPr>
              <w:t>FD</w:t>
            </w:r>
          </w:p>
        </w:tc>
        <w:tc>
          <w:tcPr>
            <w:tcW w:w="6254" w:type="dxa"/>
          </w:tcPr>
          <w:p w:rsidR="00DD7E8A" w:rsidRPr="00313E82" w:rsidRDefault="00DD7E8A" w:rsidP="00C94556">
            <w:pPr>
              <w:rPr>
                <w:lang w:val="en-US"/>
              </w:rPr>
            </w:pPr>
            <w:r>
              <w:rPr>
                <w:lang w:val="en-US"/>
              </w:rPr>
              <w:t xml:space="preserve">Fuel damage </w:t>
            </w:r>
            <w:r w:rsidRPr="00313E82">
              <w:rPr>
                <w:rFonts w:eastAsia="Batang"/>
                <w:lang w:val="en-US"/>
              </w:rPr>
              <w:t xml:space="preserve">at </w:t>
            </w:r>
            <w:r>
              <w:rPr>
                <w:rFonts w:eastAsia="Batang"/>
                <w:lang w:val="en-US"/>
              </w:rPr>
              <w:t>any location</w:t>
            </w:r>
            <w:r w:rsidRPr="00313E82">
              <w:rPr>
                <w:rFonts w:eastAsia="Batang"/>
                <w:lang w:val="en-US"/>
              </w:rPr>
              <w:t xml:space="preserve"> </w:t>
            </w:r>
            <w:r>
              <w:rPr>
                <w:rFonts w:eastAsia="Batang"/>
                <w:lang w:val="en-US"/>
              </w:rPr>
              <w:t>and at any operating condition of the plant</w:t>
            </w:r>
          </w:p>
        </w:tc>
      </w:tr>
      <w:tr w:rsidR="00E200BE" w:rsidRPr="00313E82" w:rsidTr="009A1C44">
        <w:tc>
          <w:tcPr>
            <w:tcW w:w="2160" w:type="dxa"/>
          </w:tcPr>
          <w:p w:rsidR="00E200BE" w:rsidRPr="00313E82" w:rsidRDefault="00E200BE" w:rsidP="005A599B">
            <w:pPr>
              <w:rPr>
                <w:lang w:val="en-US"/>
              </w:rPr>
            </w:pPr>
            <w:r w:rsidRPr="00313E82">
              <w:rPr>
                <w:lang w:val="en-US"/>
              </w:rPr>
              <w:t>FDF</w:t>
            </w:r>
          </w:p>
        </w:tc>
        <w:tc>
          <w:tcPr>
            <w:tcW w:w="6254" w:type="dxa"/>
          </w:tcPr>
          <w:p w:rsidR="00E200BE" w:rsidRPr="00313E82" w:rsidRDefault="00E200BE" w:rsidP="005A599B">
            <w:pPr>
              <w:rPr>
                <w:lang w:val="en-US"/>
              </w:rPr>
            </w:pPr>
            <w:r w:rsidRPr="00313E82">
              <w:rPr>
                <w:lang w:val="en-US"/>
              </w:rPr>
              <w:t>Fuel Damage Frequency</w:t>
            </w:r>
          </w:p>
        </w:tc>
      </w:tr>
      <w:tr w:rsidR="00E200BE" w:rsidRPr="00313E82" w:rsidTr="009A1C44">
        <w:tc>
          <w:tcPr>
            <w:tcW w:w="2160" w:type="dxa"/>
          </w:tcPr>
          <w:p w:rsidR="00E200BE" w:rsidRPr="00313E82" w:rsidRDefault="00E200BE" w:rsidP="005A599B">
            <w:pPr>
              <w:rPr>
                <w:lang w:val="en-US"/>
              </w:rPr>
            </w:pPr>
            <w:r w:rsidRPr="00313E82">
              <w:rPr>
                <w:lang w:val="en-US"/>
              </w:rPr>
              <w:t>FDP</w:t>
            </w:r>
          </w:p>
        </w:tc>
        <w:tc>
          <w:tcPr>
            <w:tcW w:w="6254" w:type="dxa"/>
          </w:tcPr>
          <w:p w:rsidR="00E200BE" w:rsidRPr="00313E82" w:rsidRDefault="00E200BE" w:rsidP="005A599B">
            <w:pPr>
              <w:rPr>
                <w:lang w:val="en-US"/>
              </w:rPr>
            </w:pPr>
            <w:r w:rsidRPr="00313E82">
              <w:rPr>
                <w:lang w:val="en-US"/>
              </w:rPr>
              <w:t>Fuel Damage Probability</w:t>
            </w:r>
          </w:p>
        </w:tc>
      </w:tr>
      <w:tr w:rsidR="00E200BE" w:rsidRPr="00313E82" w:rsidTr="009A1C44">
        <w:tc>
          <w:tcPr>
            <w:tcW w:w="2160" w:type="dxa"/>
          </w:tcPr>
          <w:p w:rsidR="00E200BE" w:rsidRPr="00313E82" w:rsidRDefault="00E200BE" w:rsidP="005A599B">
            <w:pPr>
              <w:rPr>
                <w:lang w:val="en-US"/>
              </w:rPr>
            </w:pPr>
            <w:r w:rsidRPr="00313E82">
              <w:rPr>
                <w:lang w:val="en-US"/>
              </w:rPr>
              <w:t>FV</w:t>
            </w:r>
          </w:p>
        </w:tc>
        <w:tc>
          <w:tcPr>
            <w:tcW w:w="6254" w:type="dxa"/>
          </w:tcPr>
          <w:p w:rsidR="00E200BE" w:rsidRPr="00313E82" w:rsidRDefault="00E200BE" w:rsidP="005A599B">
            <w:pPr>
              <w:rPr>
                <w:lang w:val="en-US"/>
              </w:rPr>
            </w:pPr>
            <w:r w:rsidRPr="00313E82">
              <w:rPr>
                <w:lang w:val="en-US"/>
              </w:rPr>
              <w:t>Fussell-Vesely Importance</w:t>
            </w:r>
          </w:p>
        </w:tc>
      </w:tr>
      <w:tr w:rsidR="00B56188" w:rsidRPr="00313E82" w:rsidTr="009A1C44">
        <w:tc>
          <w:tcPr>
            <w:tcW w:w="2160" w:type="dxa"/>
          </w:tcPr>
          <w:p w:rsidR="00B56188" w:rsidRDefault="00B56188" w:rsidP="005A599B">
            <w:pPr>
              <w:rPr>
                <w:lang w:val="en-US"/>
              </w:rPr>
            </w:pPr>
            <w:r w:rsidRPr="00B56188">
              <w:rPr>
                <w:rFonts w:eastAsia="Batang"/>
                <w:lang w:val="en-US"/>
              </w:rPr>
              <w:t>HSF</w:t>
            </w:r>
          </w:p>
        </w:tc>
        <w:tc>
          <w:tcPr>
            <w:tcW w:w="6254" w:type="dxa"/>
          </w:tcPr>
          <w:p w:rsidR="00B56188" w:rsidRDefault="00B56188" w:rsidP="00B56188">
            <w:pPr>
              <w:rPr>
                <w:rFonts w:eastAsia="Batang"/>
                <w:lang w:val="en-US"/>
              </w:rPr>
            </w:pPr>
            <w:r>
              <w:rPr>
                <w:rFonts w:eastAsia="Batang"/>
                <w:lang w:val="en-US"/>
              </w:rPr>
              <w:t>Hazard State Frequency</w:t>
            </w:r>
          </w:p>
        </w:tc>
      </w:tr>
      <w:tr w:rsidR="0039109C" w:rsidRPr="00313E82" w:rsidTr="009A1C44">
        <w:tc>
          <w:tcPr>
            <w:tcW w:w="2160" w:type="dxa"/>
          </w:tcPr>
          <w:p w:rsidR="0039109C" w:rsidRPr="00313E82" w:rsidRDefault="0039109C" w:rsidP="005A599B">
            <w:pPr>
              <w:rPr>
                <w:lang w:val="en-US"/>
              </w:rPr>
            </w:pPr>
            <w:r>
              <w:rPr>
                <w:lang w:val="en-US"/>
              </w:rPr>
              <w:t>HDMR</w:t>
            </w:r>
          </w:p>
        </w:tc>
        <w:tc>
          <w:tcPr>
            <w:tcW w:w="6254" w:type="dxa"/>
          </w:tcPr>
          <w:p w:rsidR="0039109C" w:rsidRPr="00313E82" w:rsidRDefault="0039109C" w:rsidP="005A599B">
            <w:pPr>
              <w:rPr>
                <w:lang w:val="en-US"/>
              </w:rPr>
            </w:pPr>
            <w:r>
              <w:rPr>
                <w:rFonts w:eastAsia="Batang"/>
                <w:lang w:val="en-US"/>
              </w:rPr>
              <w:t>High Dimensional Model Representation</w:t>
            </w:r>
          </w:p>
        </w:tc>
      </w:tr>
      <w:tr w:rsidR="004C00E3" w:rsidRPr="00313E82" w:rsidTr="009A1C44">
        <w:tc>
          <w:tcPr>
            <w:tcW w:w="2160" w:type="dxa"/>
          </w:tcPr>
          <w:p w:rsidR="004C00E3" w:rsidRPr="00313E82" w:rsidRDefault="004C00E3" w:rsidP="005A599B">
            <w:pPr>
              <w:rPr>
                <w:lang w:val="en-US"/>
              </w:rPr>
            </w:pPr>
            <w:r>
              <w:rPr>
                <w:lang w:val="en-US"/>
              </w:rPr>
              <w:t>HP</w:t>
            </w:r>
          </w:p>
        </w:tc>
        <w:tc>
          <w:tcPr>
            <w:tcW w:w="6254" w:type="dxa"/>
          </w:tcPr>
          <w:p w:rsidR="004C00E3" w:rsidRPr="00313E82" w:rsidRDefault="004C00E3" w:rsidP="005A599B">
            <w:pPr>
              <w:rPr>
                <w:lang w:val="en-US"/>
              </w:rPr>
            </w:pPr>
            <w:r>
              <w:rPr>
                <w:lang w:val="en-US"/>
              </w:rPr>
              <w:t>High Pressure</w:t>
            </w:r>
          </w:p>
        </w:tc>
      </w:tr>
      <w:tr w:rsidR="00E200BE" w:rsidRPr="00313E82" w:rsidTr="009A1C44">
        <w:tc>
          <w:tcPr>
            <w:tcW w:w="2160" w:type="dxa"/>
          </w:tcPr>
          <w:p w:rsidR="00E200BE" w:rsidRPr="00313E82" w:rsidRDefault="00E200BE" w:rsidP="005A599B">
            <w:pPr>
              <w:rPr>
                <w:lang w:val="en-US"/>
              </w:rPr>
            </w:pPr>
            <w:r w:rsidRPr="00313E82">
              <w:rPr>
                <w:lang w:val="en-US"/>
              </w:rPr>
              <w:t>HT</w:t>
            </w:r>
          </w:p>
        </w:tc>
        <w:tc>
          <w:tcPr>
            <w:tcW w:w="6254" w:type="dxa"/>
          </w:tcPr>
          <w:p w:rsidR="00E200BE" w:rsidRPr="00313E82" w:rsidRDefault="00E200BE" w:rsidP="005A599B">
            <w:pPr>
              <w:rPr>
                <w:lang w:val="en-US"/>
              </w:rPr>
            </w:pPr>
            <w:r w:rsidRPr="00313E82">
              <w:rPr>
                <w:lang w:val="en-US"/>
              </w:rPr>
              <w:t>Heat Transport</w:t>
            </w:r>
          </w:p>
        </w:tc>
      </w:tr>
      <w:tr w:rsidR="00E200BE" w:rsidRPr="00313E82" w:rsidTr="009A1C44">
        <w:tc>
          <w:tcPr>
            <w:tcW w:w="2160" w:type="dxa"/>
          </w:tcPr>
          <w:p w:rsidR="00E200BE" w:rsidRPr="00313E82" w:rsidRDefault="00E200BE" w:rsidP="005A599B">
            <w:pPr>
              <w:rPr>
                <w:lang w:val="en-US"/>
              </w:rPr>
            </w:pPr>
            <w:r w:rsidRPr="00313E82">
              <w:rPr>
                <w:lang w:val="en-US"/>
              </w:rPr>
              <w:t>HTS</w:t>
            </w:r>
          </w:p>
        </w:tc>
        <w:tc>
          <w:tcPr>
            <w:tcW w:w="6254" w:type="dxa"/>
          </w:tcPr>
          <w:p w:rsidR="00E200BE" w:rsidRPr="00313E82" w:rsidRDefault="00E200BE" w:rsidP="005A599B">
            <w:pPr>
              <w:rPr>
                <w:lang w:val="en-US"/>
              </w:rPr>
            </w:pPr>
            <w:r w:rsidRPr="00313E82">
              <w:rPr>
                <w:lang w:val="en-US"/>
              </w:rPr>
              <w:t>Heat Transport System</w:t>
            </w:r>
          </w:p>
        </w:tc>
      </w:tr>
      <w:tr w:rsidR="00E200BE" w:rsidRPr="00313E82" w:rsidTr="009A1C44">
        <w:tc>
          <w:tcPr>
            <w:tcW w:w="2160" w:type="dxa"/>
          </w:tcPr>
          <w:p w:rsidR="00E200BE" w:rsidRPr="00313E82" w:rsidRDefault="00E200BE" w:rsidP="005A599B">
            <w:pPr>
              <w:rPr>
                <w:lang w:val="en-US"/>
              </w:rPr>
            </w:pPr>
            <w:r w:rsidRPr="00313E82">
              <w:rPr>
                <w:lang w:val="en-US"/>
              </w:rPr>
              <w:t>I&amp;C</w:t>
            </w:r>
          </w:p>
        </w:tc>
        <w:tc>
          <w:tcPr>
            <w:tcW w:w="6254" w:type="dxa"/>
          </w:tcPr>
          <w:p w:rsidR="00E200BE" w:rsidRPr="00313E82" w:rsidRDefault="00993B7F" w:rsidP="005A599B">
            <w:pPr>
              <w:rPr>
                <w:lang w:val="en-US"/>
              </w:rPr>
            </w:pPr>
            <w:r w:rsidRPr="00313E82">
              <w:rPr>
                <w:lang w:val="en-US"/>
              </w:rPr>
              <w:t>Instrumentation &amp; Control</w:t>
            </w:r>
          </w:p>
        </w:tc>
      </w:tr>
      <w:tr w:rsidR="00806825" w:rsidRPr="00313E82" w:rsidTr="009A1C44">
        <w:tc>
          <w:tcPr>
            <w:tcW w:w="2160" w:type="dxa"/>
          </w:tcPr>
          <w:p w:rsidR="00806825" w:rsidRDefault="00806825" w:rsidP="005A599B">
            <w:pPr>
              <w:rPr>
                <w:lang w:val="en-US"/>
              </w:rPr>
            </w:pPr>
            <w:r w:rsidRPr="00806825">
              <w:rPr>
                <w:lang w:val="en-US"/>
              </w:rPr>
              <w:t>ICCDP</w:t>
            </w:r>
          </w:p>
        </w:tc>
        <w:tc>
          <w:tcPr>
            <w:tcW w:w="6254" w:type="dxa"/>
          </w:tcPr>
          <w:p w:rsidR="00806825" w:rsidRPr="002359E8" w:rsidRDefault="00806825" w:rsidP="00806825">
            <w:pPr>
              <w:rPr>
                <w:lang w:val="en-US"/>
              </w:rPr>
            </w:pPr>
            <w:r w:rsidRPr="00806825">
              <w:rPr>
                <w:lang w:val="en-US"/>
              </w:rPr>
              <w:t>Incremental Condi</w:t>
            </w:r>
            <w:r>
              <w:rPr>
                <w:lang w:val="en-US"/>
              </w:rPr>
              <w:t>tional Core Damage Probability</w:t>
            </w:r>
          </w:p>
        </w:tc>
      </w:tr>
      <w:tr w:rsidR="00B56188" w:rsidRPr="00313E82" w:rsidTr="009A1C44">
        <w:tc>
          <w:tcPr>
            <w:tcW w:w="2160" w:type="dxa"/>
          </w:tcPr>
          <w:p w:rsidR="00B56188" w:rsidRDefault="00B56188" w:rsidP="005A599B">
            <w:pPr>
              <w:rPr>
                <w:lang w:val="en-US"/>
              </w:rPr>
            </w:pPr>
            <w:r w:rsidRPr="00B56188">
              <w:rPr>
                <w:lang w:val="en-US"/>
              </w:rPr>
              <w:t>ICDF</w:t>
            </w:r>
          </w:p>
        </w:tc>
        <w:tc>
          <w:tcPr>
            <w:tcW w:w="6254" w:type="dxa"/>
          </w:tcPr>
          <w:p w:rsidR="00B56188" w:rsidRPr="002359E8" w:rsidRDefault="00B56188" w:rsidP="00B56188">
            <w:pPr>
              <w:rPr>
                <w:lang w:val="en-US"/>
              </w:rPr>
            </w:pPr>
            <w:r w:rsidRPr="00B56188">
              <w:rPr>
                <w:lang w:val="en-US"/>
              </w:rPr>
              <w:t>Interface Core Damage Frequenc</w:t>
            </w:r>
            <w:r>
              <w:rPr>
                <w:lang w:val="en-US"/>
              </w:rPr>
              <w:t>y</w:t>
            </w:r>
          </w:p>
        </w:tc>
      </w:tr>
      <w:tr w:rsidR="007A3BC4" w:rsidRPr="00313E82" w:rsidTr="009A1C44">
        <w:tc>
          <w:tcPr>
            <w:tcW w:w="2160" w:type="dxa"/>
          </w:tcPr>
          <w:p w:rsidR="007A3BC4" w:rsidRDefault="007A3BC4" w:rsidP="005A599B">
            <w:pPr>
              <w:rPr>
                <w:lang w:val="en-US"/>
              </w:rPr>
            </w:pPr>
            <w:r w:rsidRPr="007A3BC4">
              <w:rPr>
                <w:lang w:val="en-US"/>
              </w:rPr>
              <w:t>ICRP</w:t>
            </w:r>
          </w:p>
        </w:tc>
        <w:tc>
          <w:tcPr>
            <w:tcW w:w="6254" w:type="dxa"/>
          </w:tcPr>
          <w:p w:rsidR="007A3BC4" w:rsidRPr="00CD1DEC" w:rsidRDefault="007A3BC4" w:rsidP="007A3BC4">
            <w:pPr>
              <w:rPr>
                <w:lang w:val="en-US"/>
              </w:rPr>
            </w:pPr>
            <w:r w:rsidRPr="007A3BC4">
              <w:rPr>
                <w:lang w:val="en-US"/>
              </w:rPr>
              <w:t>International Commiss</w:t>
            </w:r>
            <w:r>
              <w:rPr>
                <w:lang w:val="en-US"/>
              </w:rPr>
              <w:t>ion on Radiological Protection</w:t>
            </w:r>
          </w:p>
        </w:tc>
      </w:tr>
      <w:tr w:rsidR="00CD1DEC" w:rsidRPr="00313E82" w:rsidTr="009A1C44">
        <w:tc>
          <w:tcPr>
            <w:tcW w:w="2160" w:type="dxa"/>
          </w:tcPr>
          <w:p w:rsidR="00CD1DEC" w:rsidRDefault="00CD1DEC" w:rsidP="005A599B">
            <w:pPr>
              <w:rPr>
                <w:lang w:val="en-US"/>
              </w:rPr>
            </w:pPr>
            <w:r>
              <w:rPr>
                <w:lang w:val="en-US"/>
              </w:rPr>
              <w:lastRenderedPageBreak/>
              <w:t>INES</w:t>
            </w:r>
          </w:p>
        </w:tc>
        <w:tc>
          <w:tcPr>
            <w:tcW w:w="6254" w:type="dxa"/>
          </w:tcPr>
          <w:p w:rsidR="00CD1DEC" w:rsidRPr="002359E8" w:rsidRDefault="00CD1DEC" w:rsidP="002359E8">
            <w:pPr>
              <w:rPr>
                <w:lang w:val="en-US"/>
              </w:rPr>
            </w:pPr>
            <w:r w:rsidRPr="00CD1DEC">
              <w:rPr>
                <w:lang w:val="en-US"/>
              </w:rPr>
              <w:t>The International Nuclear and Radiological Event Scale</w:t>
            </w:r>
          </w:p>
        </w:tc>
      </w:tr>
      <w:tr w:rsidR="002359E8" w:rsidRPr="00313E82" w:rsidTr="009A1C44">
        <w:tc>
          <w:tcPr>
            <w:tcW w:w="2160" w:type="dxa"/>
          </w:tcPr>
          <w:p w:rsidR="002359E8" w:rsidRPr="00313E82" w:rsidRDefault="002359E8" w:rsidP="005A599B">
            <w:pPr>
              <w:rPr>
                <w:lang w:val="en-US"/>
              </w:rPr>
            </w:pPr>
            <w:r>
              <w:rPr>
                <w:lang w:val="en-US"/>
              </w:rPr>
              <w:t>IRIDM</w:t>
            </w:r>
          </w:p>
        </w:tc>
        <w:tc>
          <w:tcPr>
            <w:tcW w:w="6254" w:type="dxa"/>
          </w:tcPr>
          <w:p w:rsidR="002359E8" w:rsidRPr="00313E82" w:rsidRDefault="002359E8" w:rsidP="002359E8">
            <w:pPr>
              <w:rPr>
                <w:lang w:val="en-US"/>
              </w:rPr>
            </w:pPr>
            <w:r w:rsidRPr="002359E8">
              <w:rPr>
                <w:lang w:val="en-US"/>
              </w:rPr>
              <w:t>(</w:t>
            </w:r>
            <w:r>
              <w:rPr>
                <w:lang w:val="en-US"/>
              </w:rPr>
              <w:t>I</w:t>
            </w:r>
            <w:r w:rsidRPr="002359E8">
              <w:rPr>
                <w:lang w:val="en-US"/>
              </w:rPr>
              <w:t xml:space="preserve">ntegrated) </w:t>
            </w:r>
            <w:r>
              <w:rPr>
                <w:lang w:val="en-US"/>
              </w:rPr>
              <w:t>R</w:t>
            </w:r>
            <w:r w:rsidRPr="002359E8">
              <w:rPr>
                <w:lang w:val="en-US"/>
              </w:rPr>
              <w:t>isk-</w:t>
            </w:r>
            <w:r>
              <w:rPr>
                <w:lang w:val="en-US"/>
              </w:rPr>
              <w:t>I</w:t>
            </w:r>
            <w:r w:rsidRPr="002359E8">
              <w:rPr>
                <w:lang w:val="en-US"/>
              </w:rPr>
              <w:t xml:space="preserve">nformed </w:t>
            </w:r>
            <w:r>
              <w:rPr>
                <w:lang w:val="en-US"/>
              </w:rPr>
              <w:t>D</w:t>
            </w:r>
            <w:r w:rsidRPr="002359E8">
              <w:rPr>
                <w:lang w:val="en-US"/>
              </w:rPr>
              <w:t xml:space="preserve">ecision </w:t>
            </w:r>
            <w:r>
              <w:rPr>
                <w:lang w:val="en-US"/>
              </w:rPr>
              <w:t>Making</w:t>
            </w:r>
          </w:p>
        </w:tc>
      </w:tr>
      <w:tr w:rsidR="00993B7F" w:rsidRPr="00313E82" w:rsidTr="009A1C44">
        <w:tc>
          <w:tcPr>
            <w:tcW w:w="2160" w:type="dxa"/>
          </w:tcPr>
          <w:p w:rsidR="00993B7F" w:rsidRPr="00313E82" w:rsidRDefault="00993B7F" w:rsidP="005A599B">
            <w:pPr>
              <w:rPr>
                <w:lang w:val="en-US"/>
              </w:rPr>
            </w:pPr>
            <w:r w:rsidRPr="00313E82">
              <w:rPr>
                <w:lang w:val="en-US"/>
              </w:rPr>
              <w:t>IVR</w:t>
            </w:r>
          </w:p>
        </w:tc>
        <w:tc>
          <w:tcPr>
            <w:tcW w:w="6254" w:type="dxa"/>
          </w:tcPr>
          <w:p w:rsidR="00993B7F" w:rsidRPr="00313E82" w:rsidRDefault="00993B7F" w:rsidP="005A599B">
            <w:pPr>
              <w:rPr>
                <w:lang w:val="en-US"/>
              </w:rPr>
            </w:pPr>
            <w:r w:rsidRPr="00313E82">
              <w:rPr>
                <w:lang w:val="en-US"/>
              </w:rPr>
              <w:t>In-Vessel Retention</w:t>
            </w:r>
          </w:p>
        </w:tc>
      </w:tr>
      <w:tr w:rsidR="004C00E3" w:rsidRPr="00313E82" w:rsidTr="009A1C44">
        <w:tc>
          <w:tcPr>
            <w:tcW w:w="2160" w:type="dxa"/>
          </w:tcPr>
          <w:p w:rsidR="004C00E3" w:rsidRPr="00313E82" w:rsidRDefault="004C00E3" w:rsidP="009A1C44">
            <w:pPr>
              <w:rPr>
                <w:lang w:val="en-US"/>
              </w:rPr>
            </w:pPr>
            <w:r>
              <w:rPr>
                <w:lang w:val="en-US"/>
              </w:rPr>
              <w:t>LP</w:t>
            </w:r>
          </w:p>
        </w:tc>
        <w:tc>
          <w:tcPr>
            <w:tcW w:w="6254" w:type="dxa"/>
          </w:tcPr>
          <w:p w:rsidR="004C00E3" w:rsidRPr="00313E82" w:rsidRDefault="004C00E3" w:rsidP="009A1C44">
            <w:pPr>
              <w:rPr>
                <w:lang w:val="en-US"/>
              </w:rPr>
            </w:pPr>
            <w:r>
              <w:rPr>
                <w:lang w:val="en-US"/>
              </w:rPr>
              <w:t>Low Pressure</w:t>
            </w:r>
          </w:p>
        </w:tc>
      </w:tr>
      <w:tr w:rsidR="00E200BE" w:rsidRPr="00313E82" w:rsidTr="009A1C44">
        <w:tc>
          <w:tcPr>
            <w:tcW w:w="2160" w:type="dxa"/>
          </w:tcPr>
          <w:p w:rsidR="00E200BE" w:rsidRPr="00313E82" w:rsidRDefault="00E200BE" w:rsidP="009A1C44">
            <w:pPr>
              <w:rPr>
                <w:lang w:val="en-US"/>
              </w:rPr>
            </w:pPr>
            <w:r w:rsidRPr="00313E82">
              <w:rPr>
                <w:lang w:val="en-US"/>
              </w:rPr>
              <w:t>LRF</w:t>
            </w:r>
          </w:p>
        </w:tc>
        <w:tc>
          <w:tcPr>
            <w:tcW w:w="6254" w:type="dxa"/>
          </w:tcPr>
          <w:p w:rsidR="00E200BE" w:rsidRPr="00313E82" w:rsidRDefault="00E200BE" w:rsidP="009A1C44">
            <w:pPr>
              <w:rPr>
                <w:lang w:val="en-US"/>
              </w:rPr>
            </w:pPr>
            <w:r w:rsidRPr="00313E82">
              <w:rPr>
                <w:lang w:val="en-US"/>
              </w:rPr>
              <w:t>Large Release Frequency</w:t>
            </w:r>
          </w:p>
        </w:tc>
      </w:tr>
      <w:tr w:rsidR="00E200BE" w:rsidRPr="00313E82" w:rsidTr="009A1C44">
        <w:tc>
          <w:tcPr>
            <w:tcW w:w="2160" w:type="dxa"/>
          </w:tcPr>
          <w:p w:rsidR="00E200BE" w:rsidRPr="00313E82" w:rsidRDefault="00E200BE" w:rsidP="009A1C44">
            <w:pPr>
              <w:rPr>
                <w:lang w:val="en-US"/>
              </w:rPr>
            </w:pPr>
            <w:r w:rsidRPr="00313E82">
              <w:rPr>
                <w:lang w:val="en-US"/>
              </w:rPr>
              <w:t>LERF</w:t>
            </w:r>
          </w:p>
        </w:tc>
        <w:tc>
          <w:tcPr>
            <w:tcW w:w="6254" w:type="dxa"/>
          </w:tcPr>
          <w:p w:rsidR="00E200BE" w:rsidRPr="00313E82" w:rsidRDefault="00E200BE" w:rsidP="009A1C44">
            <w:pPr>
              <w:rPr>
                <w:lang w:val="en-US"/>
              </w:rPr>
            </w:pPr>
            <w:r w:rsidRPr="00313E82">
              <w:rPr>
                <w:lang w:val="en-US"/>
              </w:rPr>
              <w:t>Large Early Release Frequency</w:t>
            </w:r>
          </w:p>
        </w:tc>
      </w:tr>
      <w:tr w:rsidR="00032739" w:rsidRPr="00313E82" w:rsidTr="009A1C44">
        <w:tc>
          <w:tcPr>
            <w:tcW w:w="2160" w:type="dxa"/>
          </w:tcPr>
          <w:p w:rsidR="00032739" w:rsidRPr="00313E82" w:rsidRDefault="00032739" w:rsidP="009A1C44">
            <w:pPr>
              <w:rPr>
                <w:lang w:val="en-US"/>
              </w:rPr>
            </w:pPr>
            <w:r>
              <w:rPr>
                <w:lang w:val="en-US"/>
              </w:rPr>
              <w:t>LOCA</w:t>
            </w:r>
          </w:p>
        </w:tc>
        <w:tc>
          <w:tcPr>
            <w:tcW w:w="6254" w:type="dxa"/>
          </w:tcPr>
          <w:p w:rsidR="00032739" w:rsidRPr="00313E82" w:rsidRDefault="00032739" w:rsidP="009A1C44">
            <w:pPr>
              <w:rPr>
                <w:lang w:val="en-US"/>
              </w:rPr>
            </w:pPr>
            <w:r>
              <w:rPr>
                <w:lang w:val="en-US"/>
              </w:rPr>
              <w:t>Loos of Coolant Accident</w:t>
            </w:r>
          </w:p>
        </w:tc>
      </w:tr>
      <w:tr w:rsidR="00461347" w:rsidRPr="00313E82" w:rsidTr="009A1C44">
        <w:tc>
          <w:tcPr>
            <w:tcW w:w="2160" w:type="dxa"/>
          </w:tcPr>
          <w:p w:rsidR="00461347" w:rsidRDefault="00461347" w:rsidP="009A1C44">
            <w:pPr>
              <w:rPr>
                <w:lang w:val="en-US"/>
              </w:rPr>
            </w:pPr>
            <w:r>
              <w:rPr>
                <w:lang w:val="en-US"/>
              </w:rPr>
              <w:t>LOOP</w:t>
            </w:r>
          </w:p>
        </w:tc>
        <w:tc>
          <w:tcPr>
            <w:tcW w:w="6254" w:type="dxa"/>
          </w:tcPr>
          <w:p w:rsidR="00461347" w:rsidRDefault="00461347" w:rsidP="00461347">
            <w:pPr>
              <w:rPr>
                <w:lang w:val="en-US"/>
              </w:rPr>
            </w:pPr>
            <w:r>
              <w:rPr>
                <w:lang w:val="en-US"/>
              </w:rPr>
              <w:t>Loss Of Offsite Power</w:t>
            </w:r>
          </w:p>
        </w:tc>
      </w:tr>
      <w:tr w:rsidR="000F5A79" w:rsidRPr="00313E82" w:rsidTr="009A1C44">
        <w:tc>
          <w:tcPr>
            <w:tcW w:w="2160" w:type="dxa"/>
          </w:tcPr>
          <w:p w:rsidR="000F5A79" w:rsidRPr="00313E82" w:rsidRDefault="000F5A79" w:rsidP="009A1C44">
            <w:pPr>
              <w:rPr>
                <w:lang w:val="en-US"/>
              </w:rPr>
            </w:pPr>
            <w:r>
              <w:rPr>
                <w:lang w:val="en-US"/>
              </w:rPr>
              <w:t>LTO</w:t>
            </w:r>
          </w:p>
        </w:tc>
        <w:tc>
          <w:tcPr>
            <w:tcW w:w="6254" w:type="dxa"/>
          </w:tcPr>
          <w:p w:rsidR="000F5A79" w:rsidRPr="00BF36DA" w:rsidRDefault="002B7C55" w:rsidP="00BF36DA">
            <w:pPr>
              <w:rPr>
                <w:lang w:val="en-US"/>
              </w:rPr>
            </w:pPr>
            <w:r>
              <w:rPr>
                <w:lang w:val="en-US"/>
              </w:rPr>
              <w:t>Long Term Operation</w:t>
            </w:r>
          </w:p>
        </w:tc>
      </w:tr>
      <w:tr w:rsidR="00E200BE" w:rsidRPr="00313E82" w:rsidTr="009A1C44">
        <w:tc>
          <w:tcPr>
            <w:tcW w:w="2160" w:type="dxa"/>
          </w:tcPr>
          <w:p w:rsidR="00E200BE" w:rsidRPr="00313E82" w:rsidRDefault="00E200BE" w:rsidP="009A1C44">
            <w:pPr>
              <w:rPr>
                <w:lang w:val="en-US"/>
              </w:rPr>
            </w:pPr>
            <w:r w:rsidRPr="00313E82">
              <w:rPr>
                <w:lang w:val="en-US"/>
              </w:rPr>
              <w:t>NPP</w:t>
            </w:r>
          </w:p>
        </w:tc>
        <w:tc>
          <w:tcPr>
            <w:tcW w:w="6254" w:type="dxa"/>
          </w:tcPr>
          <w:p w:rsidR="00E200BE" w:rsidRPr="00313E82" w:rsidRDefault="00E200BE" w:rsidP="009A1C44">
            <w:pPr>
              <w:rPr>
                <w:lang w:val="en-US"/>
              </w:rPr>
            </w:pPr>
            <w:r w:rsidRPr="00313E82">
              <w:rPr>
                <w:lang w:val="en-US"/>
              </w:rPr>
              <w:t>Nuclear Power Plant</w:t>
            </w:r>
          </w:p>
        </w:tc>
      </w:tr>
      <w:tr w:rsidR="00E200BE" w:rsidRPr="00557A1D" w:rsidTr="009A1C44">
        <w:tc>
          <w:tcPr>
            <w:tcW w:w="2160" w:type="dxa"/>
          </w:tcPr>
          <w:p w:rsidR="00E200BE" w:rsidRPr="00313E82" w:rsidRDefault="00E200BE" w:rsidP="009A1C44">
            <w:pPr>
              <w:rPr>
                <w:lang w:val="en-US"/>
              </w:rPr>
            </w:pPr>
            <w:r w:rsidRPr="00313E82">
              <w:rPr>
                <w:lang w:val="en-US"/>
              </w:rPr>
              <w:t>PDCA</w:t>
            </w:r>
          </w:p>
        </w:tc>
        <w:tc>
          <w:tcPr>
            <w:tcW w:w="6254" w:type="dxa"/>
          </w:tcPr>
          <w:p w:rsidR="00E200BE" w:rsidRPr="00313E82" w:rsidRDefault="00E200BE" w:rsidP="009A1C44">
            <w:pPr>
              <w:rPr>
                <w:lang w:val="en-US"/>
              </w:rPr>
            </w:pPr>
            <w:r w:rsidRPr="00313E82">
              <w:rPr>
                <w:lang w:val="en-US"/>
              </w:rPr>
              <w:t>Process Approach for Management Systems</w:t>
            </w:r>
          </w:p>
        </w:tc>
      </w:tr>
      <w:tr w:rsidR="00E200BE" w:rsidRPr="00313E82" w:rsidTr="009A1C44">
        <w:tc>
          <w:tcPr>
            <w:tcW w:w="2160" w:type="dxa"/>
          </w:tcPr>
          <w:p w:rsidR="00E200BE" w:rsidRPr="00313E82" w:rsidRDefault="00E200BE" w:rsidP="009A1C44">
            <w:pPr>
              <w:rPr>
                <w:lang w:val="en-US"/>
              </w:rPr>
            </w:pPr>
            <w:r w:rsidRPr="00313E82">
              <w:rPr>
                <w:lang w:val="en-US"/>
              </w:rPr>
              <w:t>PDS</w:t>
            </w:r>
          </w:p>
        </w:tc>
        <w:tc>
          <w:tcPr>
            <w:tcW w:w="6254" w:type="dxa"/>
          </w:tcPr>
          <w:p w:rsidR="00E200BE" w:rsidRPr="00313E82" w:rsidRDefault="00E200BE" w:rsidP="009A1C44">
            <w:pPr>
              <w:rPr>
                <w:lang w:val="en-US"/>
              </w:rPr>
            </w:pPr>
            <w:r w:rsidRPr="00313E82">
              <w:rPr>
                <w:lang w:val="en-US"/>
              </w:rPr>
              <w:t>Plant Damage State</w:t>
            </w:r>
          </w:p>
        </w:tc>
      </w:tr>
      <w:tr w:rsidR="00E200BE" w:rsidRPr="00313E82" w:rsidTr="009A1C44">
        <w:tc>
          <w:tcPr>
            <w:tcW w:w="2160" w:type="dxa"/>
          </w:tcPr>
          <w:p w:rsidR="00E200BE" w:rsidRPr="00313E82" w:rsidRDefault="00E200BE" w:rsidP="009A1C44">
            <w:pPr>
              <w:rPr>
                <w:lang w:val="en-US"/>
              </w:rPr>
            </w:pPr>
            <w:r w:rsidRPr="00313E82">
              <w:rPr>
                <w:lang w:val="en-US"/>
              </w:rPr>
              <w:t>PDSF</w:t>
            </w:r>
          </w:p>
        </w:tc>
        <w:tc>
          <w:tcPr>
            <w:tcW w:w="6254" w:type="dxa"/>
          </w:tcPr>
          <w:p w:rsidR="00E200BE" w:rsidRPr="00313E82" w:rsidRDefault="00E200BE" w:rsidP="009A1C44">
            <w:pPr>
              <w:rPr>
                <w:lang w:val="en-US"/>
              </w:rPr>
            </w:pPr>
            <w:r w:rsidRPr="00313E82">
              <w:rPr>
                <w:lang w:val="en-US"/>
              </w:rPr>
              <w:t>Plant Damage State Frequency</w:t>
            </w:r>
          </w:p>
        </w:tc>
      </w:tr>
      <w:tr w:rsidR="00740D81" w:rsidRPr="00313E82" w:rsidTr="009A1C44">
        <w:tc>
          <w:tcPr>
            <w:tcW w:w="2160" w:type="dxa"/>
          </w:tcPr>
          <w:p w:rsidR="00740D81" w:rsidRDefault="00740D81" w:rsidP="009A1C44">
            <w:pPr>
              <w:rPr>
                <w:lang w:val="en-US"/>
              </w:rPr>
            </w:pPr>
            <w:r>
              <w:rPr>
                <w:lang w:val="en-US"/>
              </w:rPr>
              <w:t>PRA</w:t>
            </w:r>
          </w:p>
        </w:tc>
        <w:tc>
          <w:tcPr>
            <w:tcW w:w="6254" w:type="dxa"/>
          </w:tcPr>
          <w:p w:rsidR="00740D81" w:rsidRDefault="00740D81" w:rsidP="009A1C44">
            <w:pPr>
              <w:rPr>
                <w:lang w:val="en-US"/>
              </w:rPr>
            </w:pPr>
            <w:r>
              <w:rPr>
                <w:lang w:val="en-US"/>
              </w:rPr>
              <w:t>Probabilistic Risk Assessment</w:t>
            </w:r>
          </w:p>
        </w:tc>
      </w:tr>
      <w:tr w:rsidR="00740D81" w:rsidRPr="00313E82" w:rsidTr="009A1C44">
        <w:tc>
          <w:tcPr>
            <w:tcW w:w="2160" w:type="dxa"/>
          </w:tcPr>
          <w:p w:rsidR="00740D81" w:rsidRDefault="00740D81" w:rsidP="009A1C44">
            <w:pPr>
              <w:rPr>
                <w:lang w:val="en-US"/>
              </w:rPr>
            </w:pPr>
            <w:r>
              <w:rPr>
                <w:lang w:val="en-US"/>
              </w:rPr>
              <w:t>PSA</w:t>
            </w:r>
          </w:p>
        </w:tc>
        <w:tc>
          <w:tcPr>
            <w:tcW w:w="6254" w:type="dxa"/>
          </w:tcPr>
          <w:p w:rsidR="00740D81" w:rsidRDefault="00740D81" w:rsidP="00740D81">
            <w:pPr>
              <w:rPr>
                <w:lang w:val="en-US"/>
              </w:rPr>
            </w:pPr>
            <w:r>
              <w:rPr>
                <w:lang w:val="en-US"/>
              </w:rPr>
              <w:t>Probabilistic Safety Assessment</w:t>
            </w:r>
          </w:p>
        </w:tc>
      </w:tr>
      <w:tr w:rsidR="009F7FF4" w:rsidRPr="00313E82" w:rsidTr="009A1C44">
        <w:tc>
          <w:tcPr>
            <w:tcW w:w="2160" w:type="dxa"/>
          </w:tcPr>
          <w:p w:rsidR="009F7FF4" w:rsidRPr="00313E82" w:rsidRDefault="009F7FF4" w:rsidP="009A1C44">
            <w:pPr>
              <w:rPr>
                <w:lang w:val="en-US"/>
              </w:rPr>
            </w:pPr>
            <w:r>
              <w:rPr>
                <w:lang w:val="en-US"/>
              </w:rPr>
              <w:t>PSR</w:t>
            </w:r>
          </w:p>
        </w:tc>
        <w:tc>
          <w:tcPr>
            <w:tcW w:w="6254" w:type="dxa"/>
          </w:tcPr>
          <w:p w:rsidR="009F7FF4" w:rsidRPr="00313E82" w:rsidRDefault="009F7FF4" w:rsidP="009A1C44">
            <w:pPr>
              <w:rPr>
                <w:lang w:val="en-US"/>
              </w:rPr>
            </w:pPr>
            <w:r>
              <w:rPr>
                <w:lang w:val="en-US"/>
              </w:rPr>
              <w:t>Plant Safety Review</w:t>
            </w:r>
          </w:p>
        </w:tc>
      </w:tr>
      <w:tr w:rsidR="00845269" w:rsidRPr="00313E82" w:rsidTr="007A0B77">
        <w:tc>
          <w:tcPr>
            <w:tcW w:w="2160" w:type="dxa"/>
          </w:tcPr>
          <w:p w:rsidR="00845269" w:rsidRPr="00313E82" w:rsidRDefault="00845269" w:rsidP="007A0B77">
            <w:pPr>
              <w:rPr>
                <w:lang w:val="en-US"/>
              </w:rPr>
            </w:pPr>
            <w:r w:rsidRPr="00313E82">
              <w:rPr>
                <w:lang w:val="en-US"/>
              </w:rPr>
              <w:t>RC</w:t>
            </w:r>
          </w:p>
        </w:tc>
        <w:tc>
          <w:tcPr>
            <w:tcW w:w="6254" w:type="dxa"/>
          </w:tcPr>
          <w:p w:rsidR="00845269" w:rsidRPr="00313E82" w:rsidRDefault="00845269" w:rsidP="007A0B77">
            <w:pPr>
              <w:rPr>
                <w:lang w:val="en-US"/>
              </w:rPr>
            </w:pPr>
            <w:r w:rsidRPr="00313E82">
              <w:rPr>
                <w:lang w:val="en-US"/>
              </w:rPr>
              <w:t>Release Category</w:t>
            </w:r>
            <w:r w:rsidR="0076078B">
              <w:rPr>
                <w:lang w:val="en-US"/>
              </w:rPr>
              <w:t>, Release Class</w:t>
            </w:r>
          </w:p>
        </w:tc>
      </w:tr>
      <w:tr w:rsidR="00421867" w:rsidRPr="00313E82" w:rsidTr="007A0B77">
        <w:tc>
          <w:tcPr>
            <w:tcW w:w="2160" w:type="dxa"/>
          </w:tcPr>
          <w:p w:rsidR="00421867" w:rsidRPr="00313E82" w:rsidRDefault="00421867" w:rsidP="007A0B77">
            <w:pPr>
              <w:rPr>
                <w:lang w:val="en-US"/>
              </w:rPr>
            </w:pPr>
            <w:r>
              <w:rPr>
                <w:lang w:val="en-US"/>
              </w:rPr>
              <w:t>RCF</w:t>
            </w:r>
          </w:p>
        </w:tc>
        <w:tc>
          <w:tcPr>
            <w:tcW w:w="6254" w:type="dxa"/>
          </w:tcPr>
          <w:p w:rsidR="00421867" w:rsidRPr="00313E82" w:rsidRDefault="00032739" w:rsidP="007A0B77">
            <w:pPr>
              <w:rPr>
                <w:lang w:val="en-US"/>
              </w:rPr>
            </w:pPr>
            <w:r w:rsidRPr="00313E82">
              <w:rPr>
                <w:lang w:val="en-US"/>
              </w:rPr>
              <w:t>Release Category</w:t>
            </w:r>
            <w:r>
              <w:rPr>
                <w:lang w:val="en-US"/>
              </w:rPr>
              <w:t xml:space="preserve"> Frequency</w:t>
            </w:r>
          </w:p>
        </w:tc>
      </w:tr>
      <w:tr w:rsidR="00845269" w:rsidRPr="00557A1D" w:rsidTr="007A0B77">
        <w:tc>
          <w:tcPr>
            <w:tcW w:w="2160" w:type="dxa"/>
          </w:tcPr>
          <w:p w:rsidR="00845269" w:rsidRPr="00313E82" w:rsidRDefault="00845269" w:rsidP="007A0B77">
            <w:pPr>
              <w:rPr>
                <w:lang w:val="en-US"/>
              </w:rPr>
            </w:pPr>
            <w:r w:rsidRPr="00313E82">
              <w:rPr>
                <w:lang w:val="en-US"/>
              </w:rPr>
              <w:t>(I)RIDM</w:t>
            </w:r>
          </w:p>
        </w:tc>
        <w:tc>
          <w:tcPr>
            <w:tcW w:w="6254" w:type="dxa"/>
          </w:tcPr>
          <w:p w:rsidR="00845269" w:rsidRPr="00313E82" w:rsidRDefault="00845269" w:rsidP="007A0B77">
            <w:pPr>
              <w:rPr>
                <w:lang w:val="en-US"/>
              </w:rPr>
            </w:pPr>
            <w:r w:rsidRPr="00313E82">
              <w:rPr>
                <w:lang w:val="en-US"/>
              </w:rPr>
              <w:t>(Integrated) Risk-informed decision making</w:t>
            </w:r>
          </w:p>
        </w:tc>
      </w:tr>
      <w:tr w:rsidR="004C00E3" w:rsidRPr="0039109C" w:rsidTr="007A0B77">
        <w:tc>
          <w:tcPr>
            <w:tcW w:w="2160" w:type="dxa"/>
          </w:tcPr>
          <w:p w:rsidR="004C00E3" w:rsidRPr="0039109C" w:rsidRDefault="004C00E3" w:rsidP="007A0B77">
            <w:pPr>
              <w:rPr>
                <w:lang w:val="en-CA"/>
              </w:rPr>
            </w:pPr>
            <w:r>
              <w:rPr>
                <w:lang w:val="en-CA"/>
              </w:rPr>
              <w:t>RCS</w:t>
            </w:r>
          </w:p>
        </w:tc>
        <w:tc>
          <w:tcPr>
            <w:tcW w:w="6254" w:type="dxa"/>
          </w:tcPr>
          <w:p w:rsidR="004C00E3" w:rsidRPr="0039109C" w:rsidRDefault="004C00E3" w:rsidP="007A0B77">
            <w:pPr>
              <w:rPr>
                <w:rFonts w:eastAsia="Batang"/>
                <w:lang w:val="en-CA"/>
              </w:rPr>
            </w:pPr>
            <w:r>
              <w:rPr>
                <w:rFonts w:eastAsia="Batang"/>
                <w:lang w:val="en-CA"/>
              </w:rPr>
              <w:t>Reactor Coolant System</w:t>
            </w:r>
          </w:p>
        </w:tc>
      </w:tr>
      <w:tr w:rsidR="006F4243" w:rsidRPr="0039109C" w:rsidTr="007A0B77">
        <w:tc>
          <w:tcPr>
            <w:tcW w:w="2160" w:type="dxa"/>
          </w:tcPr>
          <w:p w:rsidR="006F4243" w:rsidRPr="0039109C" w:rsidRDefault="006F4243" w:rsidP="007A0B77">
            <w:pPr>
              <w:rPr>
                <w:lang w:val="en-CA"/>
              </w:rPr>
            </w:pPr>
            <w:r>
              <w:rPr>
                <w:lang w:val="en-CA"/>
              </w:rPr>
              <w:t>RHR</w:t>
            </w:r>
          </w:p>
        </w:tc>
        <w:tc>
          <w:tcPr>
            <w:tcW w:w="6254" w:type="dxa"/>
          </w:tcPr>
          <w:p w:rsidR="006F4243" w:rsidRPr="0039109C" w:rsidRDefault="006F4243" w:rsidP="007A0B77">
            <w:pPr>
              <w:rPr>
                <w:rFonts w:eastAsia="Batang"/>
                <w:lang w:val="en-CA"/>
              </w:rPr>
            </w:pPr>
            <w:r>
              <w:rPr>
                <w:rFonts w:eastAsia="Batang"/>
                <w:lang w:val="en-CA"/>
              </w:rPr>
              <w:t>Residual Heat Removal</w:t>
            </w:r>
          </w:p>
        </w:tc>
      </w:tr>
      <w:tr w:rsidR="008849BC" w:rsidRPr="0039109C" w:rsidTr="007A0B77">
        <w:tc>
          <w:tcPr>
            <w:tcW w:w="2160" w:type="dxa"/>
          </w:tcPr>
          <w:p w:rsidR="008849BC" w:rsidRPr="0039109C" w:rsidRDefault="008849BC" w:rsidP="007A0B77">
            <w:pPr>
              <w:rPr>
                <w:lang w:val="en-CA"/>
              </w:rPr>
            </w:pPr>
            <w:r w:rsidRPr="0039109C">
              <w:rPr>
                <w:lang w:val="en-CA"/>
              </w:rPr>
              <w:t>RMF</w:t>
            </w:r>
          </w:p>
        </w:tc>
        <w:tc>
          <w:tcPr>
            <w:tcW w:w="6254" w:type="dxa"/>
          </w:tcPr>
          <w:p w:rsidR="008849BC" w:rsidRPr="0039109C" w:rsidRDefault="008849BC" w:rsidP="007A0B77">
            <w:pPr>
              <w:rPr>
                <w:lang w:val="en-CA"/>
              </w:rPr>
            </w:pPr>
            <w:r w:rsidRPr="0039109C">
              <w:rPr>
                <w:rFonts w:eastAsia="Batang"/>
                <w:lang w:val="en-CA"/>
              </w:rPr>
              <w:t>Radionuclide Mobilization Frequency</w:t>
            </w:r>
          </w:p>
        </w:tc>
      </w:tr>
      <w:tr w:rsidR="004C00E3" w:rsidRPr="00313E82" w:rsidTr="007A0B77">
        <w:tc>
          <w:tcPr>
            <w:tcW w:w="2160" w:type="dxa"/>
          </w:tcPr>
          <w:p w:rsidR="004C00E3" w:rsidRPr="00313E82" w:rsidRDefault="004C00E3" w:rsidP="007A0B77">
            <w:pPr>
              <w:rPr>
                <w:lang w:val="en-US"/>
              </w:rPr>
            </w:pPr>
            <w:r>
              <w:rPr>
                <w:lang w:val="en-US"/>
              </w:rPr>
              <w:t>RPV</w:t>
            </w:r>
          </w:p>
        </w:tc>
        <w:tc>
          <w:tcPr>
            <w:tcW w:w="6254" w:type="dxa"/>
          </w:tcPr>
          <w:p w:rsidR="004C00E3" w:rsidRPr="00313E82" w:rsidRDefault="004C00E3" w:rsidP="007A0B77">
            <w:pPr>
              <w:rPr>
                <w:lang w:val="en-US"/>
              </w:rPr>
            </w:pPr>
            <w:r>
              <w:rPr>
                <w:lang w:val="en-US"/>
              </w:rPr>
              <w:t>Reactor Pressure Vessel</w:t>
            </w:r>
          </w:p>
        </w:tc>
      </w:tr>
      <w:tr w:rsidR="00845269" w:rsidRPr="00313E82" w:rsidTr="007A0B77">
        <w:tc>
          <w:tcPr>
            <w:tcW w:w="2160" w:type="dxa"/>
          </w:tcPr>
          <w:p w:rsidR="00845269" w:rsidRPr="00313E82" w:rsidRDefault="00845269" w:rsidP="007A0B77">
            <w:pPr>
              <w:rPr>
                <w:lang w:val="en-US"/>
              </w:rPr>
            </w:pPr>
            <w:r w:rsidRPr="00313E82">
              <w:rPr>
                <w:lang w:val="en-US"/>
              </w:rPr>
              <w:t>RR</w:t>
            </w:r>
          </w:p>
        </w:tc>
        <w:tc>
          <w:tcPr>
            <w:tcW w:w="6254" w:type="dxa"/>
          </w:tcPr>
          <w:p w:rsidR="00845269" w:rsidRPr="00313E82" w:rsidRDefault="00845269" w:rsidP="007A0B77">
            <w:pPr>
              <w:rPr>
                <w:lang w:val="en-US"/>
              </w:rPr>
            </w:pPr>
            <w:r w:rsidRPr="00313E82">
              <w:rPr>
                <w:lang w:val="en-US"/>
              </w:rPr>
              <w:t>Research Reactor</w:t>
            </w:r>
          </w:p>
        </w:tc>
      </w:tr>
      <w:tr w:rsidR="00E200BE" w:rsidRPr="00313E82" w:rsidTr="009A1C44">
        <w:tc>
          <w:tcPr>
            <w:tcW w:w="2160" w:type="dxa"/>
          </w:tcPr>
          <w:p w:rsidR="00E200BE" w:rsidRPr="00313E82" w:rsidRDefault="00E200BE" w:rsidP="009A1C44">
            <w:pPr>
              <w:rPr>
                <w:lang w:val="en-US"/>
              </w:rPr>
            </w:pPr>
            <w:r w:rsidRPr="00313E82">
              <w:rPr>
                <w:lang w:val="en-US"/>
              </w:rPr>
              <w:t>RPS</w:t>
            </w:r>
          </w:p>
        </w:tc>
        <w:tc>
          <w:tcPr>
            <w:tcW w:w="6254" w:type="dxa"/>
          </w:tcPr>
          <w:p w:rsidR="00E200BE" w:rsidRPr="00313E82" w:rsidRDefault="00E200BE" w:rsidP="009A1C44">
            <w:pPr>
              <w:rPr>
                <w:lang w:val="en-US"/>
              </w:rPr>
            </w:pPr>
            <w:r w:rsidRPr="00313E82">
              <w:rPr>
                <w:lang w:val="en-US"/>
              </w:rPr>
              <w:t>Reactor Protection System</w:t>
            </w:r>
          </w:p>
        </w:tc>
      </w:tr>
      <w:tr w:rsidR="00032739" w:rsidRPr="00313E82" w:rsidTr="009A1C44">
        <w:tc>
          <w:tcPr>
            <w:tcW w:w="2160" w:type="dxa"/>
          </w:tcPr>
          <w:p w:rsidR="00032739" w:rsidRPr="00313E82" w:rsidRDefault="00032739" w:rsidP="009A1C44">
            <w:pPr>
              <w:rPr>
                <w:lang w:val="en-US"/>
              </w:rPr>
            </w:pPr>
            <w:r>
              <w:rPr>
                <w:lang w:val="en-US"/>
              </w:rPr>
              <w:t>S….</w:t>
            </w:r>
          </w:p>
        </w:tc>
        <w:tc>
          <w:tcPr>
            <w:tcW w:w="6254" w:type="dxa"/>
          </w:tcPr>
          <w:p w:rsidR="00032739" w:rsidRPr="00313E82" w:rsidRDefault="00032739" w:rsidP="009A1C44">
            <w:pPr>
              <w:rPr>
                <w:lang w:val="en-US"/>
              </w:rPr>
            </w:pPr>
            <w:r>
              <w:rPr>
                <w:lang w:val="en-US"/>
              </w:rPr>
              <w:t>Site….</w:t>
            </w:r>
          </w:p>
        </w:tc>
      </w:tr>
      <w:tr w:rsidR="00034481" w:rsidRPr="00313E82" w:rsidTr="00D47162">
        <w:tc>
          <w:tcPr>
            <w:tcW w:w="2160" w:type="dxa"/>
          </w:tcPr>
          <w:p w:rsidR="00034481" w:rsidRDefault="00034481" w:rsidP="00D47162">
            <w:pPr>
              <w:rPr>
                <w:lang w:val="en-US"/>
              </w:rPr>
            </w:pPr>
            <w:r>
              <w:rPr>
                <w:lang w:val="en-US"/>
              </w:rPr>
              <w:t>SARNET</w:t>
            </w:r>
          </w:p>
        </w:tc>
        <w:tc>
          <w:tcPr>
            <w:tcW w:w="6254" w:type="dxa"/>
          </w:tcPr>
          <w:p w:rsidR="00034481" w:rsidRDefault="00034481" w:rsidP="00D47162">
            <w:pPr>
              <w:rPr>
                <w:lang w:val="en-US"/>
              </w:rPr>
            </w:pPr>
            <w:r w:rsidRPr="00034481">
              <w:rPr>
                <w:lang w:val="en-US"/>
              </w:rPr>
              <w:t>Severe Accident Research NETwork of Excellence</w:t>
            </w:r>
          </w:p>
        </w:tc>
      </w:tr>
      <w:tr w:rsidR="00461347" w:rsidRPr="00313E82" w:rsidTr="00D47162">
        <w:tc>
          <w:tcPr>
            <w:tcW w:w="2160" w:type="dxa"/>
          </w:tcPr>
          <w:p w:rsidR="00461347" w:rsidRDefault="00461347" w:rsidP="00D47162">
            <w:pPr>
              <w:rPr>
                <w:lang w:val="en-US"/>
              </w:rPr>
            </w:pPr>
            <w:r>
              <w:rPr>
                <w:lang w:val="en-US"/>
              </w:rPr>
              <w:t>SBO</w:t>
            </w:r>
          </w:p>
        </w:tc>
        <w:tc>
          <w:tcPr>
            <w:tcW w:w="6254" w:type="dxa"/>
          </w:tcPr>
          <w:p w:rsidR="00461347" w:rsidRDefault="00461347" w:rsidP="00D47162">
            <w:pPr>
              <w:rPr>
                <w:lang w:val="en-US"/>
              </w:rPr>
            </w:pPr>
            <w:r>
              <w:rPr>
                <w:lang w:val="en-US"/>
              </w:rPr>
              <w:t>Station Blackout</w:t>
            </w:r>
          </w:p>
        </w:tc>
      </w:tr>
      <w:tr w:rsidR="00D47162" w:rsidRPr="00313E82" w:rsidTr="00D47162">
        <w:tc>
          <w:tcPr>
            <w:tcW w:w="2160" w:type="dxa"/>
          </w:tcPr>
          <w:p w:rsidR="00D47162" w:rsidRPr="00313E82" w:rsidRDefault="00D47162" w:rsidP="00D47162">
            <w:pPr>
              <w:rPr>
                <w:lang w:val="en-US"/>
              </w:rPr>
            </w:pPr>
            <w:r>
              <w:rPr>
                <w:lang w:val="en-US"/>
              </w:rPr>
              <w:t>SCCI</w:t>
            </w:r>
          </w:p>
        </w:tc>
        <w:tc>
          <w:tcPr>
            <w:tcW w:w="6254" w:type="dxa"/>
          </w:tcPr>
          <w:p w:rsidR="00D47162" w:rsidRPr="00313E82" w:rsidRDefault="00D47162" w:rsidP="00D47162">
            <w:pPr>
              <w:rPr>
                <w:lang w:val="en-US"/>
              </w:rPr>
            </w:pPr>
            <w:r>
              <w:rPr>
                <w:lang w:val="en-US"/>
              </w:rPr>
              <w:t>Site Common Cause Initiators</w:t>
            </w:r>
          </w:p>
        </w:tc>
      </w:tr>
      <w:tr w:rsidR="00E200BE" w:rsidRPr="00313E82" w:rsidTr="009A1C44">
        <w:tc>
          <w:tcPr>
            <w:tcW w:w="2160" w:type="dxa"/>
          </w:tcPr>
          <w:p w:rsidR="00E200BE" w:rsidRPr="00313E82" w:rsidRDefault="00E200BE" w:rsidP="009A1C44">
            <w:pPr>
              <w:rPr>
                <w:lang w:val="en-US"/>
              </w:rPr>
            </w:pPr>
            <w:r w:rsidRPr="00313E82">
              <w:rPr>
                <w:lang w:val="en-US"/>
              </w:rPr>
              <w:t>SCDF</w:t>
            </w:r>
          </w:p>
        </w:tc>
        <w:tc>
          <w:tcPr>
            <w:tcW w:w="6254" w:type="dxa"/>
          </w:tcPr>
          <w:p w:rsidR="00E200BE" w:rsidRPr="00313E82" w:rsidRDefault="00AE75F7" w:rsidP="009A1C44">
            <w:pPr>
              <w:rPr>
                <w:lang w:val="en-US"/>
              </w:rPr>
            </w:pPr>
            <w:r w:rsidRPr="00313E82">
              <w:rPr>
                <w:lang w:val="en-US"/>
              </w:rPr>
              <w:t>Seismic Core-Damage Frequency</w:t>
            </w:r>
          </w:p>
        </w:tc>
      </w:tr>
      <w:tr w:rsidR="00E47BC8" w:rsidRPr="00313E82" w:rsidTr="009A1C44">
        <w:tc>
          <w:tcPr>
            <w:tcW w:w="2160" w:type="dxa"/>
          </w:tcPr>
          <w:p w:rsidR="00E47BC8" w:rsidRPr="00313E82" w:rsidRDefault="00E47BC8" w:rsidP="009A1C44">
            <w:pPr>
              <w:rPr>
                <w:lang w:val="en-US"/>
              </w:rPr>
            </w:pPr>
            <w:r w:rsidRPr="00E47BC8">
              <w:rPr>
                <w:lang w:val="en-US"/>
              </w:rPr>
              <w:t>SFDF</w:t>
            </w:r>
          </w:p>
        </w:tc>
        <w:tc>
          <w:tcPr>
            <w:tcW w:w="6254" w:type="dxa"/>
          </w:tcPr>
          <w:p w:rsidR="00E47BC8" w:rsidRPr="00313E82" w:rsidRDefault="00E47BC8" w:rsidP="00E47BC8">
            <w:pPr>
              <w:rPr>
                <w:lang w:val="en-US"/>
              </w:rPr>
            </w:pPr>
            <w:r>
              <w:rPr>
                <w:lang w:val="en-US"/>
              </w:rPr>
              <w:t>Spent Fuel Damage Frequency</w:t>
            </w:r>
          </w:p>
        </w:tc>
      </w:tr>
      <w:tr w:rsidR="00E200BE" w:rsidRPr="00313E82" w:rsidTr="009A1C44">
        <w:tc>
          <w:tcPr>
            <w:tcW w:w="2160" w:type="dxa"/>
          </w:tcPr>
          <w:p w:rsidR="00E200BE" w:rsidRPr="00313E82" w:rsidRDefault="00E200BE" w:rsidP="009A1C44">
            <w:pPr>
              <w:rPr>
                <w:lang w:val="en-US"/>
              </w:rPr>
            </w:pPr>
            <w:r w:rsidRPr="00313E82">
              <w:rPr>
                <w:lang w:val="en-US"/>
              </w:rPr>
              <w:t>SFP</w:t>
            </w:r>
          </w:p>
        </w:tc>
        <w:tc>
          <w:tcPr>
            <w:tcW w:w="6254" w:type="dxa"/>
          </w:tcPr>
          <w:p w:rsidR="00E200BE" w:rsidRPr="00313E82" w:rsidRDefault="00E200BE" w:rsidP="009A1C44">
            <w:pPr>
              <w:rPr>
                <w:lang w:val="en-US"/>
              </w:rPr>
            </w:pPr>
            <w:r w:rsidRPr="00313E82">
              <w:rPr>
                <w:lang w:val="en-US"/>
              </w:rPr>
              <w:t>Spent Fuel Pool</w:t>
            </w:r>
          </w:p>
        </w:tc>
      </w:tr>
      <w:tr w:rsidR="00623DA2" w:rsidRPr="00557A1D" w:rsidTr="009A1C44">
        <w:tc>
          <w:tcPr>
            <w:tcW w:w="2160" w:type="dxa"/>
          </w:tcPr>
          <w:p w:rsidR="00623DA2" w:rsidRPr="00313E82" w:rsidRDefault="00623DA2" w:rsidP="009A1C44">
            <w:pPr>
              <w:rPr>
                <w:lang w:val="en-US"/>
              </w:rPr>
            </w:pPr>
            <w:r w:rsidRPr="00313E82">
              <w:rPr>
                <w:lang w:val="en-US"/>
              </w:rPr>
              <w:t>SFP</w:t>
            </w:r>
            <w:r w:rsidR="00817208">
              <w:rPr>
                <w:lang w:val="en-US"/>
              </w:rPr>
              <w:t>DF</w:t>
            </w:r>
          </w:p>
        </w:tc>
        <w:tc>
          <w:tcPr>
            <w:tcW w:w="6254" w:type="dxa"/>
          </w:tcPr>
          <w:p w:rsidR="00623DA2" w:rsidRPr="00313E82" w:rsidRDefault="00623DA2" w:rsidP="00623DA2">
            <w:pPr>
              <w:rPr>
                <w:lang w:val="en-US"/>
              </w:rPr>
            </w:pPr>
            <w:r w:rsidRPr="00313E82">
              <w:rPr>
                <w:lang w:val="en-US"/>
              </w:rPr>
              <w:t>Spent Fuel Pool</w:t>
            </w:r>
            <w:r>
              <w:rPr>
                <w:lang w:val="en-US"/>
              </w:rPr>
              <w:t xml:space="preserve"> Damage Frequency</w:t>
            </w:r>
          </w:p>
        </w:tc>
      </w:tr>
      <w:tr w:rsidR="00DA53E9" w:rsidRPr="00313E82" w:rsidTr="009A1C44">
        <w:tc>
          <w:tcPr>
            <w:tcW w:w="2160" w:type="dxa"/>
          </w:tcPr>
          <w:p w:rsidR="00DA53E9" w:rsidRPr="00313E82" w:rsidRDefault="00DA53E9" w:rsidP="009A1C44">
            <w:pPr>
              <w:rPr>
                <w:lang w:val="en-US"/>
              </w:rPr>
            </w:pPr>
            <w:r w:rsidRPr="00313E82">
              <w:rPr>
                <w:lang w:val="en-US"/>
              </w:rPr>
              <w:t>SRF</w:t>
            </w:r>
          </w:p>
        </w:tc>
        <w:tc>
          <w:tcPr>
            <w:tcW w:w="6254" w:type="dxa"/>
          </w:tcPr>
          <w:p w:rsidR="00DA53E9" w:rsidRPr="00313E82" w:rsidRDefault="00DA53E9" w:rsidP="009A1C44">
            <w:pPr>
              <w:rPr>
                <w:lang w:val="en-US"/>
              </w:rPr>
            </w:pPr>
            <w:r w:rsidRPr="00313E82">
              <w:rPr>
                <w:lang w:val="en-US"/>
              </w:rPr>
              <w:t>Small Release Frequency</w:t>
            </w:r>
          </w:p>
        </w:tc>
      </w:tr>
      <w:tr w:rsidR="00FB75C7" w:rsidRPr="00313E82" w:rsidTr="009A1C44">
        <w:tc>
          <w:tcPr>
            <w:tcW w:w="2160" w:type="dxa"/>
          </w:tcPr>
          <w:p w:rsidR="00FB75C7" w:rsidRDefault="00FB75C7" w:rsidP="009A1C44">
            <w:pPr>
              <w:rPr>
                <w:lang w:val="en-US"/>
              </w:rPr>
            </w:pPr>
            <w:r>
              <w:rPr>
                <w:lang w:val="en-US"/>
              </w:rPr>
              <w:t>SUI</w:t>
            </w:r>
          </w:p>
        </w:tc>
        <w:tc>
          <w:tcPr>
            <w:tcW w:w="6254" w:type="dxa"/>
          </w:tcPr>
          <w:p w:rsidR="00FB75C7" w:rsidRDefault="00FB75C7" w:rsidP="009A1C44">
            <w:pPr>
              <w:rPr>
                <w:lang w:val="en-US"/>
              </w:rPr>
            </w:pPr>
            <w:r>
              <w:rPr>
                <w:lang w:val="en-US"/>
              </w:rPr>
              <w:t>Single-Unit Initiators</w:t>
            </w:r>
          </w:p>
        </w:tc>
      </w:tr>
      <w:tr w:rsidR="00E200BE" w:rsidRPr="00313E82" w:rsidTr="009A1C44">
        <w:tc>
          <w:tcPr>
            <w:tcW w:w="2160" w:type="dxa"/>
          </w:tcPr>
          <w:p w:rsidR="00E200BE" w:rsidRPr="00313E82" w:rsidRDefault="00E200BE" w:rsidP="009A1C44">
            <w:pPr>
              <w:rPr>
                <w:lang w:val="en-US"/>
              </w:rPr>
            </w:pPr>
            <w:r w:rsidRPr="00313E82">
              <w:rPr>
                <w:lang w:val="en-US"/>
              </w:rPr>
              <w:t>OAT</w:t>
            </w:r>
          </w:p>
        </w:tc>
        <w:tc>
          <w:tcPr>
            <w:tcW w:w="6254" w:type="dxa"/>
          </w:tcPr>
          <w:p w:rsidR="00E200BE" w:rsidRPr="00313E82" w:rsidRDefault="00E200BE" w:rsidP="009A1C44">
            <w:pPr>
              <w:rPr>
                <w:lang w:val="en-US"/>
              </w:rPr>
            </w:pPr>
            <w:r w:rsidRPr="00313E82">
              <w:rPr>
                <w:rFonts w:eastAsia="Batang"/>
                <w:lang w:val="en-US"/>
              </w:rPr>
              <w:t xml:space="preserve">One-At-Time </w:t>
            </w:r>
          </w:p>
        </w:tc>
      </w:tr>
      <w:tr w:rsidR="00B8197A" w:rsidRPr="00313E82" w:rsidTr="009A1C44">
        <w:tc>
          <w:tcPr>
            <w:tcW w:w="2160" w:type="dxa"/>
          </w:tcPr>
          <w:p w:rsidR="00B8197A" w:rsidRPr="00313E82" w:rsidRDefault="00B8197A" w:rsidP="009A1C44">
            <w:pPr>
              <w:rPr>
                <w:lang w:val="en-US"/>
              </w:rPr>
            </w:pPr>
            <w:r>
              <w:rPr>
                <w:lang w:val="en-US"/>
              </w:rPr>
              <w:t>UCRT</w:t>
            </w:r>
          </w:p>
        </w:tc>
        <w:tc>
          <w:tcPr>
            <w:tcW w:w="6254" w:type="dxa"/>
          </w:tcPr>
          <w:p w:rsidR="00B8197A" w:rsidRPr="00313E82" w:rsidRDefault="00B8197A" w:rsidP="009A1C44">
            <w:pPr>
              <w:rPr>
                <w:rFonts w:eastAsia="Batang"/>
                <w:lang w:val="en-US"/>
              </w:rPr>
            </w:pPr>
            <w:r w:rsidRPr="00B8197A">
              <w:rPr>
                <w:rFonts w:eastAsia="Batang"/>
                <w:lang w:val="en-US"/>
              </w:rPr>
              <w:t>Universal Common Risk Target</w:t>
            </w:r>
          </w:p>
        </w:tc>
      </w:tr>
    </w:tbl>
    <w:p w:rsidR="00237544" w:rsidRDefault="00237544" w:rsidP="00C94556">
      <w:pPr>
        <w:pStyle w:val="Titre1"/>
        <w:numPr>
          <w:ilvl w:val="0"/>
          <w:numId w:val="0"/>
        </w:numPr>
        <w:rPr>
          <w:lang w:val="en-US"/>
        </w:rPr>
      </w:pPr>
      <w:bookmarkStart w:id="16" w:name="_Toc474430095"/>
      <w:r>
        <w:rPr>
          <w:lang w:val="en-US"/>
        </w:rPr>
        <w:lastRenderedPageBreak/>
        <w:t>List of Symbols</w:t>
      </w:r>
      <w:bookmarkEnd w:id="16"/>
    </w:p>
    <w:p w:rsidR="00557A1D" w:rsidRPr="004678E6" w:rsidRDefault="00557A1D" w:rsidP="00552F4E">
      <w:pPr>
        <w:rPr>
          <w:lang w:val="en-US"/>
        </w:rPr>
      </w:pPr>
    </w:p>
    <w:tbl>
      <w:tblPr>
        <w:tblStyle w:val="Grilledutableau"/>
        <w:tblW w:w="0" w:type="auto"/>
        <w:tblLook w:val="04A0" w:firstRow="1" w:lastRow="0" w:firstColumn="1" w:lastColumn="0" w:noHBand="0" w:noVBand="1"/>
      </w:tblPr>
      <w:tblGrid>
        <w:gridCol w:w="1668"/>
        <w:gridCol w:w="7903"/>
      </w:tblGrid>
      <w:tr w:rsidR="00237544" w:rsidTr="00C94556">
        <w:tc>
          <w:tcPr>
            <w:tcW w:w="1668" w:type="dxa"/>
          </w:tcPr>
          <w:p w:rsidR="00237544" w:rsidRDefault="00237544" w:rsidP="009A1C44">
            <w:pPr>
              <w:spacing w:after="60"/>
              <w:rPr>
                <w:lang w:val="en-US"/>
              </w:rPr>
            </w:pPr>
            <w:r>
              <w:rPr>
                <w:lang w:val="en-US"/>
              </w:rPr>
              <w:t>Symbol</w:t>
            </w:r>
          </w:p>
        </w:tc>
        <w:tc>
          <w:tcPr>
            <w:tcW w:w="7903" w:type="dxa"/>
          </w:tcPr>
          <w:p w:rsidR="00237544" w:rsidRDefault="00237544" w:rsidP="009A1C44">
            <w:pPr>
              <w:spacing w:after="60"/>
              <w:rPr>
                <w:lang w:val="en-US"/>
              </w:rPr>
            </w:pPr>
            <w:r>
              <w:rPr>
                <w:lang w:val="en-US"/>
              </w:rPr>
              <w:t>Definition</w:t>
            </w:r>
          </w:p>
        </w:tc>
      </w:tr>
      <w:tr w:rsidR="00237544" w:rsidRPr="00557A1D" w:rsidTr="00C94556">
        <w:tc>
          <w:tcPr>
            <w:tcW w:w="1668" w:type="dxa"/>
          </w:tcPr>
          <w:p w:rsidR="00237544" w:rsidRDefault="00237544" w:rsidP="00552F4E">
            <w:pPr>
              <w:spacing w:after="60"/>
              <w:jc w:val="center"/>
              <w:rPr>
                <w:lang w:val="en-US"/>
              </w:rPr>
            </w:pPr>
            <m:oMathPara>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m:oMathPara>
          </w:p>
        </w:tc>
        <w:tc>
          <w:tcPr>
            <w:tcW w:w="7903" w:type="dxa"/>
          </w:tcPr>
          <w:p w:rsidR="00237544" w:rsidRDefault="002F2D08" w:rsidP="009A1C44">
            <w:pPr>
              <w:spacing w:after="60"/>
              <w:rPr>
                <w:lang w:val="en-US"/>
              </w:rPr>
            </w:pPr>
            <w:r>
              <w:rPr>
                <w:rFonts w:eastAsia="Batang"/>
                <w:lang w:val="en-US"/>
              </w:rPr>
              <w:t>F</w:t>
            </w:r>
            <w:r w:rsidRPr="00313E82">
              <w:rPr>
                <w:rFonts w:eastAsia="Batang"/>
                <w:lang w:val="en-US"/>
              </w:rPr>
              <w:t xml:space="preserve">requency (or probability) </w:t>
            </w:r>
            <w:r>
              <w:rPr>
                <w:rFonts w:eastAsia="Batang"/>
                <w:lang w:val="en-US"/>
              </w:rPr>
              <w:t xml:space="preserve">distribution </w:t>
            </w:r>
            <w:r w:rsidRPr="00313E82">
              <w:rPr>
                <w:rFonts w:eastAsia="Batang"/>
                <w:lang w:val="en-US"/>
              </w:rPr>
              <w:t>of the sequence in the risk model</w:t>
            </w:r>
            <w:r w:rsidR="0022046F">
              <w:rPr>
                <w:rFonts w:eastAsia="Batang"/>
                <w:lang w:val="en-US"/>
              </w:rPr>
              <w:t xml:space="preserve"> (likelihood function)</w:t>
            </w:r>
          </w:p>
        </w:tc>
      </w:tr>
      <w:tr w:rsidR="0039109C" w:rsidRPr="00557A1D" w:rsidTr="00C94556">
        <w:tc>
          <w:tcPr>
            <w:tcW w:w="1668" w:type="dxa"/>
          </w:tcPr>
          <w:p w:rsidR="0039109C" w:rsidRDefault="0039109C" w:rsidP="00552F4E">
            <w:pPr>
              <w:spacing w:after="60"/>
              <w:jc w:val="center"/>
              <w:rPr>
                <w:lang w:val="en-US"/>
              </w:rPr>
            </w:pPr>
            <w:r>
              <w:rPr>
                <w:lang w:val="en-US"/>
              </w:rPr>
              <w:t>l</w:t>
            </w:r>
            <w:r w:rsidRPr="002F3FF8">
              <w:rPr>
                <w:vertAlign w:val="subscript"/>
                <w:lang w:val="en-US"/>
              </w:rPr>
              <w:t>ij</w:t>
            </w:r>
          </w:p>
        </w:tc>
        <w:tc>
          <w:tcPr>
            <w:tcW w:w="7903" w:type="dxa"/>
          </w:tcPr>
          <w:p w:rsidR="0039109C" w:rsidRDefault="0039109C" w:rsidP="009A1C44">
            <w:pPr>
              <w:spacing w:after="60"/>
              <w:rPr>
                <w:rFonts w:eastAsia="Batang"/>
                <w:lang w:val="en-US"/>
              </w:rPr>
            </w:pPr>
            <w:r>
              <w:rPr>
                <w:rFonts w:eastAsia="Batang"/>
                <w:lang w:val="en-US"/>
              </w:rPr>
              <w:t>Likelihood</w:t>
            </w:r>
          </w:p>
        </w:tc>
      </w:tr>
      <w:tr w:rsidR="002F2D08" w:rsidRPr="00557A1D" w:rsidTr="00C94556">
        <w:tc>
          <w:tcPr>
            <w:tcW w:w="1668" w:type="dxa"/>
          </w:tcPr>
          <w:p w:rsidR="002F2D08" w:rsidRDefault="002F2D08" w:rsidP="00552F4E">
            <w:pPr>
              <w:spacing w:after="60"/>
              <w:jc w:val="center"/>
              <w:rPr>
                <w:lang w:val="en-US"/>
              </w:rPr>
            </w:pPr>
            <w:r>
              <w:rPr>
                <w:lang w:val="en-US"/>
              </w:rPr>
              <w:t>L</w:t>
            </w:r>
            <w:r w:rsidRPr="00C94556">
              <w:rPr>
                <w:vertAlign w:val="subscript"/>
                <w:lang w:val="en-US"/>
              </w:rPr>
              <w:t>ij</w:t>
            </w:r>
          </w:p>
        </w:tc>
        <w:tc>
          <w:tcPr>
            <w:tcW w:w="7903" w:type="dxa"/>
          </w:tcPr>
          <w:p w:rsidR="002F2D08" w:rsidRDefault="002F2D08" w:rsidP="009A1C44">
            <w:pPr>
              <w:spacing w:after="60"/>
              <w:rPr>
                <w:rFonts w:eastAsia="Batang"/>
                <w:lang w:val="en-US"/>
              </w:rPr>
            </w:pPr>
            <w:r>
              <w:rPr>
                <w:rFonts w:eastAsia="Batang"/>
                <w:lang w:val="en-US"/>
              </w:rPr>
              <w:t>Sequence for the “</w:t>
            </w:r>
            <w:r w:rsidR="00D57F9C">
              <w:rPr>
                <w:rFonts w:eastAsia="Batang"/>
                <w:lang w:val="en-US"/>
              </w:rPr>
              <w:t>i</w:t>
            </w:r>
            <w:r>
              <w:rPr>
                <w:rFonts w:eastAsia="Batang"/>
                <w:lang w:val="en-US"/>
              </w:rPr>
              <w:t>”</w:t>
            </w:r>
            <w:r w:rsidR="0022046F">
              <w:rPr>
                <w:rFonts w:eastAsia="Batang"/>
                <w:lang w:val="en-US"/>
              </w:rPr>
              <w:t xml:space="preserve"> </w:t>
            </w:r>
            <w:r>
              <w:rPr>
                <w:rFonts w:eastAsia="Batang"/>
                <w:lang w:val="en-US"/>
              </w:rPr>
              <w:t>scenario” with “j” consequence</w:t>
            </w:r>
            <w:r w:rsidR="00BC1113">
              <w:rPr>
                <w:rFonts w:eastAsia="Batang"/>
                <w:lang w:val="en-US"/>
              </w:rPr>
              <w:t xml:space="preserve"> (e.g. L</w:t>
            </w:r>
            <w:r w:rsidR="00BC1113" w:rsidRPr="00C94556">
              <w:rPr>
                <w:rFonts w:eastAsia="Batang"/>
                <w:vertAlign w:val="subscript"/>
                <w:lang w:val="en-US"/>
              </w:rPr>
              <w:t>CDF</w:t>
            </w:r>
            <w:r w:rsidR="00BC1113">
              <w:rPr>
                <w:rFonts w:eastAsia="Batang"/>
                <w:lang w:val="en-US"/>
              </w:rPr>
              <w:t>)</w:t>
            </w:r>
          </w:p>
        </w:tc>
      </w:tr>
      <w:tr w:rsidR="00237544" w:rsidTr="00C94556">
        <w:tc>
          <w:tcPr>
            <w:tcW w:w="1668" w:type="dxa"/>
          </w:tcPr>
          <w:p w:rsidR="00237544" w:rsidRDefault="00237544" w:rsidP="00552F4E">
            <w:pPr>
              <w:spacing w:after="60"/>
              <w:jc w:val="center"/>
              <w:rPr>
                <w:lang w:val="en-US"/>
              </w:rPr>
            </w:pPr>
            <w:r>
              <w:rPr>
                <w:lang w:val="en-US"/>
              </w:rPr>
              <w:t>s</w:t>
            </w:r>
            <w:r w:rsidRPr="00C94556">
              <w:rPr>
                <w:vertAlign w:val="subscript"/>
                <w:lang w:val="en-US"/>
              </w:rPr>
              <w:t>i</w:t>
            </w:r>
          </w:p>
        </w:tc>
        <w:tc>
          <w:tcPr>
            <w:tcW w:w="7903" w:type="dxa"/>
          </w:tcPr>
          <w:p w:rsidR="00237544" w:rsidRDefault="002F2D08" w:rsidP="009A1C44">
            <w:pPr>
              <w:spacing w:after="60"/>
              <w:rPr>
                <w:lang w:val="en-US"/>
              </w:rPr>
            </w:pPr>
            <w:r>
              <w:rPr>
                <w:lang w:val="en-US"/>
              </w:rPr>
              <w:t>S</w:t>
            </w:r>
            <w:r w:rsidR="00237544">
              <w:rPr>
                <w:lang w:val="en-US"/>
              </w:rPr>
              <w:t>cenario</w:t>
            </w:r>
            <w:r>
              <w:rPr>
                <w:lang w:val="en-US"/>
              </w:rPr>
              <w:t xml:space="preserve"> “i”</w:t>
            </w:r>
          </w:p>
        </w:tc>
      </w:tr>
      <w:tr w:rsidR="00237544" w:rsidTr="00C94556">
        <w:tc>
          <w:tcPr>
            <w:tcW w:w="1668" w:type="dxa"/>
          </w:tcPr>
          <w:p w:rsidR="00237544" w:rsidRDefault="00237544" w:rsidP="00552F4E">
            <w:pPr>
              <w:spacing w:after="60"/>
              <w:jc w:val="center"/>
              <w:rPr>
                <w:lang w:val="en-US"/>
              </w:rPr>
            </w:pPr>
            <w:r>
              <w:rPr>
                <w:lang w:val="en-US"/>
              </w:rPr>
              <w:t>c</w:t>
            </w:r>
            <w:r w:rsidRPr="00C94556">
              <w:rPr>
                <w:vertAlign w:val="subscript"/>
                <w:lang w:val="en-US"/>
              </w:rPr>
              <w:t>j</w:t>
            </w:r>
          </w:p>
        </w:tc>
        <w:tc>
          <w:tcPr>
            <w:tcW w:w="7903" w:type="dxa"/>
          </w:tcPr>
          <w:p w:rsidR="00237544" w:rsidRDefault="002F2D08" w:rsidP="009A1C44">
            <w:pPr>
              <w:spacing w:after="60"/>
              <w:rPr>
                <w:lang w:val="en-US"/>
              </w:rPr>
            </w:pPr>
            <w:r>
              <w:rPr>
                <w:lang w:val="en-US"/>
              </w:rPr>
              <w:t>C</w:t>
            </w:r>
            <w:r w:rsidR="00237544">
              <w:rPr>
                <w:lang w:val="en-US"/>
              </w:rPr>
              <w:t>onsequence</w:t>
            </w:r>
            <w:r>
              <w:rPr>
                <w:lang w:val="en-US"/>
              </w:rPr>
              <w:t xml:space="preserve"> “j”</w:t>
            </w:r>
          </w:p>
        </w:tc>
      </w:tr>
      <w:tr w:rsidR="00237544" w:rsidTr="00C94556">
        <w:tc>
          <w:tcPr>
            <w:tcW w:w="1668" w:type="dxa"/>
          </w:tcPr>
          <w:p w:rsidR="00237544" w:rsidRDefault="0022046F" w:rsidP="00552F4E">
            <w:pPr>
              <w:spacing w:after="60"/>
              <w:jc w:val="center"/>
              <w:rPr>
                <w:lang w:val="en-US"/>
              </w:rPr>
            </w:pPr>
            <m:oMathPara>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oMath>
            </m:oMathPara>
          </w:p>
        </w:tc>
        <w:tc>
          <w:tcPr>
            <w:tcW w:w="7903" w:type="dxa"/>
          </w:tcPr>
          <w:p w:rsidR="00237544" w:rsidRDefault="0022046F" w:rsidP="009A1C44">
            <w:pPr>
              <w:spacing w:after="60"/>
              <w:rPr>
                <w:lang w:val="en-US"/>
              </w:rPr>
            </w:pPr>
            <w:r>
              <w:rPr>
                <w:lang w:val="en-US"/>
              </w:rPr>
              <w:t>Risk measure (Point value)</w:t>
            </w:r>
          </w:p>
        </w:tc>
      </w:tr>
      <w:tr w:rsidR="00237544" w:rsidTr="00C94556">
        <w:tc>
          <w:tcPr>
            <w:tcW w:w="1668" w:type="dxa"/>
          </w:tcPr>
          <w:p w:rsidR="00237544" w:rsidRDefault="0022046F" w:rsidP="00552F4E">
            <w:pPr>
              <w:spacing w:after="60"/>
              <w:jc w:val="center"/>
              <w:rPr>
                <w:lang w:val="en-US"/>
              </w:rPr>
            </w:pPr>
            <m:oMathPara>
              <m:oMath>
                <m:r>
                  <w:rPr>
                    <w:rFonts w:ascii="Cambria Math" w:hAnsi="Cambria Math"/>
                    <w:lang w:val="en-US"/>
                  </w:rPr>
                  <m:t>E</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oMath>
            </m:oMathPara>
          </w:p>
        </w:tc>
        <w:tc>
          <w:tcPr>
            <w:tcW w:w="7903" w:type="dxa"/>
          </w:tcPr>
          <w:p w:rsidR="00237544" w:rsidRDefault="0022046F" w:rsidP="009A1C44">
            <w:pPr>
              <w:spacing w:after="60"/>
              <w:rPr>
                <w:lang w:val="en-US"/>
              </w:rPr>
            </w:pPr>
            <w:r>
              <w:rPr>
                <w:lang w:val="en-US"/>
              </w:rPr>
              <w:t>Mean value</w:t>
            </w:r>
          </w:p>
        </w:tc>
      </w:tr>
      <w:tr w:rsidR="00237544" w:rsidTr="00C94556">
        <w:tc>
          <w:tcPr>
            <w:tcW w:w="1668" w:type="dxa"/>
          </w:tcPr>
          <w:p w:rsidR="00237544" w:rsidRDefault="0022046F" w:rsidP="00552F4E">
            <w:pPr>
              <w:spacing w:after="60"/>
              <w:jc w:val="center"/>
              <w:rPr>
                <w:lang w:val="en-US"/>
              </w:rPr>
            </w:pPr>
            <w:r>
              <w:rPr>
                <w:lang w:val="en-US"/>
              </w:rPr>
              <w:t>r</w:t>
            </w:r>
          </w:p>
        </w:tc>
        <w:tc>
          <w:tcPr>
            <w:tcW w:w="7903" w:type="dxa"/>
          </w:tcPr>
          <w:p w:rsidR="00237544" w:rsidRDefault="0022046F" w:rsidP="009A1C44">
            <w:pPr>
              <w:spacing w:after="60"/>
              <w:rPr>
                <w:lang w:val="en-US"/>
              </w:rPr>
            </w:pPr>
            <w:r>
              <w:rPr>
                <w:lang w:val="en-US"/>
              </w:rPr>
              <w:t>Source term</w:t>
            </w:r>
          </w:p>
        </w:tc>
      </w:tr>
      <w:tr w:rsidR="00237544" w:rsidTr="00C94556">
        <w:tc>
          <w:tcPr>
            <w:tcW w:w="1668" w:type="dxa"/>
          </w:tcPr>
          <w:p w:rsidR="00237544" w:rsidRDefault="00BC1113" w:rsidP="00552F4E">
            <w:pPr>
              <w:spacing w:after="60"/>
              <w:jc w:val="center"/>
              <w:rPr>
                <w:lang w:val="en-US"/>
              </w:rPr>
            </w:pPr>
            <w:r>
              <w:rPr>
                <w:lang w:val="en-US"/>
              </w:rPr>
              <w:t>FV</w:t>
            </w:r>
          </w:p>
        </w:tc>
        <w:tc>
          <w:tcPr>
            <w:tcW w:w="7903" w:type="dxa"/>
          </w:tcPr>
          <w:p w:rsidR="00237544" w:rsidRDefault="00BC1113" w:rsidP="009A1C44">
            <w:pPr>
              <w:spacing w:after="60"/>
              <w:rPr>
                <w:lang w:val="en-US"/>
              </w:rPr>
            </w:pPr>
            <w:r w:rsidRPr="00313E82">
              <w:rPr>
                <w:lang w:val="en-US"/>
              </w:rPr>
              <w:t>Fussel-Vesely</w:t>
            </w:r>
          </w:p>
        </w:tc>
      </w:tr>
      <w:tr w:rsidR="00BC1113" w:rsidTr="00C94556">
        <w:tc>
          <w:tcPr>
            <w:tcW w:w="1668" w:type="dxa"/>
          </w:tcPr>
          <w:p w:rsidR="00BC1113" w:rsidRDefault="00BC1113" w:rsidP="00552F4E">
            <w:pPr>
              <w:spacing w:after="60"/>
              <w:jc w:val="center"/>
              <w:rPr>
                <w:lang w:val="en-US"/>
              </w:rPr>
            </w:pPr>
            <w:r>
              <w:rPr>
                <w:lang w:val="en-US"/>
              </w:rPr>
              <w:t>T</w:t>
            </w:r>
            <w:r w:rsidRPr="00C94556">
              <w:rPr>
                <w:vertAlign w:val="subscript"/>
                <w:lang w:val="en-US"/>
              </w:rPr>
              <w:t>av</w:t>
            </w:r>
          </w:p>
        </w:tc>
        <w:tc>
          <w:tcPr>
            <w:tcW w:w="7903" w:type="dxa"/>
          </w:tcPr>
          <w:p w:rsidR="00BC1113" w:rsidRPr="00313E82" w:rsidRDefault="001B39AA">
            <w:pPr>
              <w:spacing w:after="60"/>
              <w:rPr>
                <w:lang w:val="en-US"/>
              </w:rPr>
            </w:pPr>
            <w:r>
              <w:rPr>
                <w:lang w:val="en-US"/>
              </w:rPr>
              <w:t>Reference t</w:t>
            </w:r>
            <w:r w:rsidR="00BC1113">
              <w:rPr>
                <w:lang w:val="en-US"/>
              </w:rPr>
              <w:t>ime average</w:t>
            </w:r>
          </w:p>
        </w:tc>
      </w:tr>
      <w:tr w:rsidR="001B39AA" w:rsidTr="00C94556">
        <w:tc>
          <w:tcPr>
            <w:tcW w:w="1668" w:type="dxa"/>
          </w:tcPr>
          <w:p w:rsidR="001B39AA" w:rsidRDefault="00F17408" w:rsidP="00552F4E">
            <w:pPr>
              <w:spacing w:after="60"/>
              <w:jc w:val="center"/>
              <w:rPr>
                <w:lang w:val="en-US"/>
              </w:rPr>
            </w:pPr>
            <w:r>
              <w:rPr>
                <w:lang w:val="en-US"/>
              </w:rPr>
              <w:t>t</w:t>
            </w:r>
            <w:r w:rsidR="007C444A">
              <w:rPr>
                <w:lang w:val="en-US"/>
              </w:rPr>
              <w:t>, T</w:t>
            </w:r>
            <w:r>
              <w:rPr>
                <w:lang w:val="en-US"/>
              </w:rPr>
              <w:t xml:space="preserve">, </w:t>
            </w:r>
            <w:r w:rsidR="009C36A8" w:rsidRPr="00C94556">
              <w:rPr>
                <w:rFonts w:ascii="Symbol" w:hAnsi="Symbol"/>
                <w:lang w:val="en-US"/>
              </w:rPr>
              <w:t></w:t>
            </w:r>
          </w:p>
        </w:tc>
        <w:tc>
          <w:tcPr>
            <w:tcW w:w="7903" w:type="dxa"/>
          </w:tcPr>
          <w:p w:rsidR="001B39AA" w:rsidRDefault="001B39AA" w:rsidP="001B39AA">
            <w:pPr>
              <w:spacing w:after="60"/>
              <w:rPr>
                <w:lang w:val="en-US"/>
              </w:rPr>
            </w:pPr>
            <w:r>
              <w:rPr>
                <w:lang w:val="en-US"/>
              </w:rPr>
              <w:t>Time</w:t>
            </w:r>
          </w:p>
        </w:tc>
      </w:tr>
      <w:tr w:rsidR="00BB60BF" w:rsidTr="00C94556">
        <w:tc>
          <w:tcPr>
            <w:tcW w:w="1668" w:type="dxa"/>
          </w:tcPr>
          <w:p w:rsidR="00BB60BF" w:rsidRDefault="0043746A" w:rsidP="00552F4E">
            <w:pPr>
              <w:spacing w:after="60"/>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m:oMathPara>
          </w:p>
        </w:tc>
        <w:tc>
          <w:tcPr>
            <w:tcW w:w="7903" w:type="dxa"/>
          </w:tcPr>
          <w:p w:rsidR="00BB60BF" w:rsidRDefault="00E27E5E" w:rsidP="001B39AA">
            <w:pPr>
              <w:spacing w:after="60"/>
              <w:rPr>
                <w:lang w:val="en-US"/>
              </w:rPr>
            </w:pPr>
            <w:r>
              <w:rPr>
                <w:lang w:val="en-US"/>
              </w:rPr>
              <w:t>Baseline point of time</w:t>
            </w:r>
          </w:p>
        </w:tc>
      </w:tr>
      <w:tr w:rsidR="00BB60BF" w:rsidRPr="00557A1D" w:rsidTr="00C94556">
        <w:tc>
          <w:tcPr>
            <w:tcW w:w="1668" w:type="dxa"/>
          </w:tcPr>
          <w:p w:rsidR="00BB60BF" w:rsidRDefault="0043746A" w:rsidP="00552F4E">
            <w:pPr>
              <w:spacing w:after="60"/>
              <w:jc w:val="cente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m:oMathPara>
          </w:p>
        </w:tc>
        <w:tc>
          <w:tcPr>
            <w:tcW w:w="7903" w:type="dxa"/>
          </w:tcPr>
          <w:p w:rsidR="00BB60BF" w:rsidRDefault="00E27E5E">
            <w:pPr>
              <w:spacing w:after="60"/>
              <w:rPr>
                <w:lang w:val="en-US"/>
              </w:rPr>
            </w:pPr>
            <w:r>
              <w:rPr>
                <w:lang w:val="en-US"/>
              </w:rPr>
              <w:t>Point of time after a change to the plant (</w:t>
            </w:r>
            <w:r w:rsidRPr="00313E82">
              <w:rPr>
                <w:rFonts w:eastAsia="Batang"/>
                <w:lang w:val="en-US"/>
              </w:rPr>
              <w:t xml:space="preserve">observed degradation, design change, procedure change, change in test, maintenance or inspection practice, change in performance of an SSC, changes to </w:t>
            </w:r>
            <w:r>
              <w:rPr>
                <w:rFonts w:eastAsia="Batang"/>
                <w:lang w:val="en-US"/>
              </w:rPr>
              <w:t xml:space="preserve">the </w:t>
            </w:r>
            <w:r w:rsidRPr="00313E82">
              <w:rPr>
                <w:rFonts w:eastAsia="Batang"/>
                <w:lang w:val="en-US"/>
              </w:rPr>
              <w:t>PSA model</w:t>
            </w:r>
            <w:r>
              <w:rPr>
                <w:rFonts w:eastAsia="Batang"/>
                <w:lang w:val="en-US"/>
              </w:rPr>
              <w:t>,</w:t>
            </w:r>
            <w:r w:rsidRPr="00313E82">
              <w:rPr>
                <w:rFonts w:eastAsia="Batang"/>
                <w:lang w:val="en-US"/>
              </w:rPr>
              <w:t xml:space="preserve"> etc</w:t>
            </w:r>
            <w:r>
              <w:rPr>
                <w:rFonts w:eastAsia="Batang"/>
                <w:lang w:val="en-US"/>
              </w:rPr>
              <w:t xml:space="preserve">.) </w:t>
            </w:r>
            <w:r>
              <w:rPr>
                <w:lang w:val="en-US"/>
              </w:rPr>
              <w:t>with respect to the baseline</w:t>
            </w:r>
          </w:p>
        </w:tc>
      </w:tr>
      <w:tr w:rsidR="008A4F74" w:rsidTr="00C94556">
        <w:tc>
          <w:tcPr>
            <w:tcW w:w="1668" w:type="dxa"/>
          </w:tcPr>
          <w:p w:rsidR="008A4F74" w:rsidRDefault="008A4F74" w:rsidP="00552F4E">
            <w:pPr>
              <w:spacing w:after="60"/>
              <w:jc w:val="center"/>
              <w:rPr>
                <w:lang w:val="en-US"/>
              </w:rPr>
            </w:pPr>
            <w:r>
              <w:rPr>
                <w:lang w:val="en-US"/>
              </w:rPr>
              <w:t>e</w:t>
            </w:r>
            <w:r w:rsidRPr="00C94556">
              <w:rPr>
                <w:vertAlign w:val="subscript"/>
                <w:lang w:val="en-US"/>
              </w:rPr>
              <w:t>k</w:t>
            </w:r>
          </w:p>
        </w:tc>
        <w:tc>
          <w:tcPr>
            <w:tcW w:w="7903" w:type="dxa"/>
          </w:tcPr>
          <w:p w:rsidR="008A4F74" w:rsidRDefault="008A4F74">
            <w:pPr>
              <w:spacing w:after="60"/>
              <w:rPr>
                <w:lang w:val="en-US"/>
              </w:rPr>
            </w:pPr>
            <w:r>
              <w:rPr>
                <w:lang w:val="en-US"/>
              </w:rPr>
              <w:t>Plant intermediate state</w:t>
            </w:r>
          </w:p>
        </w:tc>
      </w:tr>
      <w:tr w:rsidR="002E5252" w:rsidRPr="00557A1D" w:rsidTr="00C94556">
        <w:tc>
          <w:tcPr>
            <w:tcW w:w="1668" w:type="dxa"/>
          </w:tcPr>
          <w:p w:rsidR="002E5252" w:rsidRPr="00F3205B" w:rsidRDefault="002E5252" w:rsidP="00552F4E">
            <w:pPr>
              <w:spacing w:after="60"/>
              <w:jc w:val="center"/>
              <w:rPr>
                <w:lang w:val="en-US"/>
              </w:rPr>
            </w:pP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F3205B">
              <w:rPr>
                <w:lang w:val="en-US"/>
              </w:rPr>
              <w:t>.</w:t>
            </w:r>
          </w:p>
        </w:tc>
        <w:tc>
          <w:tcPr>
            <w:tcW w:w="7903" w:type="dxa"/>
          </w:tcPr>
          <w:p w:rsidR="002E5252" w:rsidRPr="00BF36DA" w:rsidRDefault="00F3205B" w:rsidP="00552F4E">
            <w:pPr>
              <w:spacing w:after="60"/>
              <w:rPr>
                <w:lang w:val="en-US"/>
              </w:rPr>
            </w:pPr>
            <w:r w:rsidRPr="00BF36DA">
              <w:rPr>
                <w:lang w:val="en-US"/>
              </w:rPr>
              <w:t>Probability of transition to consequence c</w:t>
            </w:r>
            <w:r w:rsidRPr="00552F4E">
              <w:rPr>
                <w:lang w:val="en-US"/>
              </w:rPr>
              <w:t>j</w:t>
            </w:r>
            <w:r w:rsidRPr="00BF36DA">
              <w:rPr>
                <w:lang w:val="en-US"/>
              </w:rPr>
              <w:t xml:space="preserve"> conditional to plant intermediary</w:t>
            </w:r>
            <w:r w:rsidRPr="00F3205B">
              <w:rPr>
                <w:lang w:val="en-US"/>
              </w:rPr>
              <w:t xml:space="preserve"> state </w:t>
            </w:r>
            <w:r w:rsidRPr="00BF36DA">
              <w:rPr>
                <w:lang w:val="en-US"/>
              </w:rPr>
              <w:t>e</w:t>
            </w:r>
            <w:r w:rsidRPr="00667C6C">
              <w:rPr>
                <w:vertAlign w:val="subscript"/>
                <w:lang w:val="en-US"/>
              </w:rPr>
              <w:t>k</w:t>
            </w:r>
            <w:r w:rsidRPr="00F3205B" w:rsidDel="00F3205B">
              <w:rPr>
                <w:lang w:val="en-US"/>
              </w:rPr>
              <w:t xml:space="preserve"> </w:t>
            </w:r>
          </w:p>
        </w:tc>
      </w:tr>
    </w:tbl>
    <w:p w:rsidR="00237544" w:rsidRPr="00313E82" w:rsidRDefault="00237544" w:rsidP="009A1C44">
      <w:pPr>
        <w:spacing w:after="60"/>
        <w:rPr>
          <w:lang w:val="en-US"/>
        </w:rPr>
      </w:pPr>
    </w:p>
    <w:p w:rsidR="009A1C44" w:rsidRPr="00313E82" w:rsidRDefault="009A1C44" w:rsidP="009A1C44">
      <w:pPr>
        <w:rPr>
          <w:lang w:val="en-US"/>
        </w:rPr>
      </w:pPr>
      <w:r w:rsidRPr="00313E82">
        <w:rPr>
          <w:lang w:val="en-US"/>
        </w:rPr>
        <w:br w:type="page"/>
      </w:r>
    </w:p>
    <w:p w:rsidR="008B4D6C" w:rsidRPr="004678E6" w:rsidRDefault="009A1C44" w:rsidP="00552F4E">
      <w:pPr>
        <w:pStyle w:val="Titre1"/>
        <w:numPr>
          <w:ilvl w:val="0"/>
          <w:numId w:val="131"/>
        </w:numPr>
        <w:rPr>
          <w:lang w:val="en-US"/>
        </w:rPr>
      </w:pPr>
      <w:bookmarkStart w:id="17" w:name="_Toc277490443"/>
      <w:bookmarkStart w:id="18" w:name="_Toc277610794"/>
      <w:bookmarkStart w:id="19" w:name="_Toc277868034"/>
      <w:bookmarkStart w:id="20" w:name="_Toc278178870"/>
      <w:bookmarkStart w:id="21" w:name="_Toc278179324"/>
      <w:bookmarkStart w:id="22" w:name="_Toc278180025"/>
      <w:bookmarkStart w:id="23" w:name="_Toc278180276"/>
      <w:bookmarkStart w:id="24" w:name="_Toc278181170"/>
      <w:bookmarkStart w:id="25" w:name="_Toc278181424"/>
      <w:bookmarkStart w:id="26" w:name="_Ref273538824"/>
      <w:bookmarkStart w:id="27" w:name="_Toc474430096"/>
      <w:bookmarkEnd w:id="17"/>
      <w:bookmarkEnd w:id="18"/>
      <w:bookmarkEnd w:id="19"/>
      <w:bookmarkEnd w:id="20"/>
      <w:bookmarkEnd w:id="21"/>
      <w:bookmarkEnd w:id="22"/>
      <w:bookmarkEnd w:id="23"/>
      <w:bookmarkEnd w:id="24"/>
      <w:bookmarkEnd w:id="25"/>
      <w:r w:rsidRPr="004678E6">
        <w:rPr>
          <w:lang w:val="en-US"/>
        </w:rPr>
        <w:lastRenderedPageBreak/>
        <w:t>Introduction</w:t>
      </w:r>
      <w:bookmarkEnd w:id="26"/>
      <w:bookmarkEnd w:id="27"/>
    </w:p>
    <w:p w:rsidR="009A1C44" w:rsidRPr="00313E82" w:rsidRDefault="008B4D6C" w:rsidP="002B4B48">
      <w:pPr>
        <w:pStyle w:val="Titre2"/>
        <w:rPr>
          <w:lang w:val="en-US"/>
        </w:rPr>
      </w:pPr>
      <w:bookmarkStart w:id="28" w:name="_Toc474430097"/>
      <w:r w:rsidRPr="00313E82">
        <w:rPr>
          <w:lang w:val="en-US"/>
        </w:rPr>
        <w:t>Background</w:t>
      </w:r>
      <w:bookmarkEnd w:id="28"/>
    </w:p>
    <w:p w:rsidR="00E252CB" w:rsidRDefault="00E461F2" w:rsidP="00E252CB">
      <w:pPr>
        <w:rPr>
          <w:lang w:val="en-US"/>
        </w:rPr>
      </w:pPr>
      <w:r w:rsidRPr="00313E82">
        <w:rPr>
          <w:lang w:val="en-US"/>
        </w:rPr>
        <w:t xml:space="preserve">Nuclear power plant operation is a </w:t>
      </w:r>
      <w:r w:rsidR="00E252CB" w:rsidRPr="00313E82">
        <w:rPr>
          <w:lang w:val="en-US"/>
        </w:rPr>
        <w:t>human activity</w:t>
      </w:r>
      <w:r w:rsidRPr="00313E82">
        <w:rPr>
          <w:lang w:val="en-US"/>
        </w:rPr>
        <w:t xml:space="preserve"> that </w:t>
      </w:r>
      <w:r w:rsidR="00E252CB" w:rsidRPr="00313E82">
        <w:rPr>
          <w:lang w:val="en-US"/>
        </w:rPr>
        <w:t xml:space="preserve">comes with </w:t>
      </w:r>
      <w:r w:rsidRPr="00313E82">
        <w:rPr>
          <w:lang w:val="en-US"/>
        </w:rPr>
        <w:t>its own risk and operation history has shown that a zero risk is not possible.</w:t>
      </w:r>
      <w:r w:rsidR="00C83EFE" w:rsidRPr="00313E82">
        <w:rPr>
          <w:lang w:val="en-US"/>
        </w:rPr>
        <w:t xml:space="preserve"> PSA is one of the tools that is used to assess nuclear power plants risks</w:t>
      </w:r>
      <w:r w:rsidR="00D2763C">
        <w:rPr>
          <w:rStyle w:val="Appelnotedebasdep"/>
          <w:lang w:val="en-US"/>
        </w:rPr>
        <w:footnoteReference w:id="1"/>
      </w:r>
      <w:r w:rsidR="00D2763C">
        <w:rPr>
          <w:lang w:val="en-US"/>
        </w:rPr>
        <w:t>.</w:t>
      </w:r>
      <w:r w:rsidR="00C83EFE" w:rsidRPr="00313E82">
        <w:rPr>
          <w:lang w:val="en-US"/>
        </w:rPr>
        <w:t xml:space="preserve"> </w:t>
      </w:r>
      <w:r w:rsidR="00D2763C">
        <w:rPr>
          <w:lang w:val="en-US"/>
        </w:rPr>
        <w:t xml:space="preserve">This </w:t>
      </w:r>
      <w:r w:rsidR="00C83EFE" w:rsidRPr="00313E82">
        <w:rPr>
          <w:lang w:val="en-US"/>
        </w:rPr>
        <w:t>report</w:t>
      </w:r>
      <w:r w:rsidR="00D2763C">
        <w:rPr>
          <w:lang w:val="en-US"/>
        </w:rPr>
        <w:t xml:space="preserve"> </w:t>
      </w:r>
      <w:r w:rsidR="00C83EFE" w:rsidRPr="00313E82">
        <w:rPr>
          <w:lang w:val="en-US"/>
        </w:rPr>
        <w:t>focus</w:t>
      </w:r>
      <w:r w:rsidR="00D2763C">
        <w:rPr>
          <w:lang w:val="en-US"/>
        </w:rPr>
        <w:t>es</w:t>
      </w:r>
      <w:r w:rsidR="00C83EFE" w:rsidRPr="00313E82">
        <w:rPr>
          <w:lang w:val="en-US"/>
        </w:rPr>
        <w:t xml:space="preserve"> on risk measures for PSA Level 1 and Level 2.</w:t>
      </w:r>
    </w:p>
    <w:p w:rsidR="00D2763C" w:rsidRPr="00313E82" w:rsidRDefault="00D2763C" w:rsidP="00E252CB">
      <w:pPr>
        <w:rPr>
          <w:lang w:val="en-US"/>
        </w:rPr>
      </w:pPr>
    </w:p>
    <w:p w:rsidR="001B2F6B" w:rsidRDefault="002170CC" w:rsidP="002170CC">
      <w:pPr>
        <w:rPr>
          <w:lang w:val="en-US"/>
        </w:rPr>
      </w:pPr>
      <w:r w:rsidRPr="00313E82">
        <w:rPr>
          <w:lang w:val="en-US"/>
        </w:rPr>
        <w:t xml:space="preserve">As stated in ASAMPSA_E DoW </w:t>
      </w:r>
      <w:r w:rsidR="009E768B" w:rsidRPr="007E0C24">
        <w:rPr>
          <w:lang w:val="en-US"/>
        </w:rPr>
        <w:fldChar w:fldCharType="begin"/>
      </w:r>
      <w:r w:rsidRPr="00313E82">
        <w:rPr>
          <w:lang w:val="en-US"/>
        </w:rPr>
        <w:instrText xml:space="preserve"> REF _Ref284236864 \r \h </w:instrText>
      </w:r>
      <w:r w:rsidR="009E768B" w:rsidRPr="007E0C24">
        <w:rPr>
          <w:lang w:val="en-US"/>
        </w:rPr>
      </w:r>
      <w:r w:rsidR="009E768B" w:rsidRPr="007E0C24">
        <w:rPr>
          <w:lang w:val="en-US"/>
        </w:rPr>
        <w:fldChar w:fldCharType="separate"/>
      </w:r>
      <w:r w:rsidR="00B772CA">
        <w:rPr>
          <w:lang w:val="en-US"/>
        </w:rPr>
        <w:t>[1]</w:t>
      </w:r>
      <w:r w:rsidR="009E768B" w:rsidRPr="007E0C24">
        <w:rPr>
          <w:lang w:val="en-US"/>
        </w:rPr>
        <w:fldChar w:fldCharType="end"/>
      </w:r>
      <w:r w:rsidRPr="00313E82">
        <w:rPr>
          <w:lang w:val="en-US"/>
        </w:rPr>
        <w:t xml:space="preserve">, global results of PSAs are </w:t>
      </w:r>
      <w:r w:rsidR="001B2F6B">
        <w:rPr>
          <w:lang w:val="en-US"/>
        </w:rPr>
        <w:t xml:space="preserve">mainly </w:t>
      </w:r>
      <w:r w:rsidRPr="00313E82">
        <w:rPr>
          <w:lang w:val="en-US"/>
        </w:rPr>
        <w:t>expressed in terms of core damage frequency, or large (early) release frequency. They can be associated to safety objective</w:t>
      </w:r>
      <w:r w:rsidR="00A74614" w:rsidRPr="00313E82">
        <w:rPr>
          <w:lang w:val="en-US"/>
        </w:rPr>
        <w:t>s</w:t>
      </w:r>
      <w:r w:rsidRPr="00313E82">
        <w:rPr>
          <w:lang w:val="en-US"/>
        </w:rPr>
        <w:t xml:space="preserve"> (for example INSAG 12 proposes, for existing reactors, CDF&lt;10</w:t>
      </w:r>
      <w:r w:rsidRPr="00313E82">
        <w:rPr>
          <w:vertAlign w:val="superscript"/>
          <w:lang w:val="en-US"/>
        </w:rPr>
        <w:t>-4</w:t>
      </w:r>
      <w:r w:rsidRPr="00313E82">
        <w:rPr>
          <w:lang w:val="en-US"/>
        </w:rPr>
        <w:t xml:space="preserve"> /reactor year and LRF &lt; 10</w:t>
      </w:r>
      <w:r w:rsidRPr="00313E82">
        <w:rPr>
          <w:vertAlign w:val="superscript"/>
          <w:lang w:val="en-US"/>
        </w:rPr>
        <w:t>-5</w:t>
      </w:r>
      <w:r w:rsidRPr="00313E82">
        <w:rPr>
          <w:lang w:val="en-US"/>
        </w:rPr>
        <w:t xml:space="preserve"> /reactor year) even if </w:t>
      </w:r>
      <w:r w:rsidR="00876C82" w:rsidRPr="00313E82">
        <w:rPr>
          <w:lang w:val="en-US"/>
        </w:rPr>
        <w:t xml:space="preserve">not </w:t>
      </w:r>
      <w:r w:rsidRPr="00313E82">
        <w:rPr>
          <w:lang w:val="en-US"/>
        </w:rPr>
        <w:t>all countries apply numerical target</w:t>
      </w:r>
      <w:r w:rsidR="00876C82">
        <w:rPr>
          <w:lang w:val="en-US"/>
        </w:rPr>
        <w:t>s</w:t>
      </w:r>
      <w:r w:rsidRPr="00313E82">
        <w:rPr>
          <w:lang w:val="en-US"/>
        </w:rPr>
        <w:t xml:space="preserve"> associated to PSA.</w:t>
      </w:r>
    </w:p>
    <w:p w:rsidR="001B2F6B" w:rsidRDefault="001B2F6B" w:rsidP="002170CC">
      <w:pPr>
        <w:rPr>
          <w:lang w:val="en-US"/>
        </w:rPr>
      </w:pPr>
    </w:p>
    <w:p w:rsidR="002170CC" w:rsidRPr="00313E82" w:rsidRDefault="002170CC" w:rsidP="002170CC">
      <w:pPr>
        <w:rPr>
          <w:lang w:val="en-US"/>
        </w:rPr>
      </w:pPr>
      <w:r w:rsidRPr="00313E82">
        <w:rPr>
          <w:lang w:val="en-US"/>
        </w:rPr>
        <w:t xml:space="preserve">The objective of this </w:t>
      </w:r>
      <w:r w:rsidR="00BD4D01" w:rsidRPr="00313E82">
        <w:rPr>
          <w:lang w:val="en-US"/>
        </w:rPr>
        <w:t>report</w:t>
      </w:r>
      <w:r w:rsidRPr="00313E82">
        <w:rPr>
          <w:lang w:val="en-US"/>
        </w:rPr>
        <w:t xml:space="preserve"> is to </w:t>
      </w:r>
      <w:r w:rsidR="00BD4D01" w:rsidRPr="00313E82">
        <w:rPr>
          <w:lang w:val="en-US"/>
        </w:rPr>
        <w:t>further the understanding on advantage, limitations and disadvantage</w:t>
      </w:r>
      <w:r w:rsidR="00680B18">
        <w:rPr>
          <w:lang w:val="en-US"/>
        </w:rPr>
        <w:t>s for risk measures used in PSA</w:t>
      </w:r>
      <w:r w:rsidR="00BD4D01" w:rsidRPr="00313E82">
        <w:rPr>
          <w:lang w:val="en-US"/>
        </w:rPr>
        <w:t xml:space="preserve"> and to </w:t>
      </w:r>
      <w:r w:rsidRPr="00313E82">
        <w:rPr>
          <w:lang w:val="en-US"/>
        </w:rPr>
        <w:t xml:space="preserve">develop some more precise risk </w:t>
      </w:r>
      <w:r w:rsidR="007D7D35" w:rsidRPr="00313E82">
        <w:rPr>
          <w:lang w:val="en-US"/>
        </w:rPr>
        <w:t xml:space="preserve">measures </w:t>
      </w:r>
      <w:r w:rsidRPr="00313E82">
        <w:rPr>
          <w:lang w:val="en-US"/>
        </w:rPr>
        <w:t xml:space="preserve">relevant for extended PSAs and helpful for decision-making. </w:t>
      </w:r>
    </w:p>
    <w:p w:rsidR="002170CC" w:rsidRPr="00313E82" w:rsidRDefault="002170CC" w:rsidP="002170CC">
      <w:pPr>
        <w:rPr>
          <w:lang w:val="en-US"/>
        </w:rPr>
      </w:pPr>
    </w:p>
    <w:p w:rsidR="002170CC" w:rsidRPr="00313E82" w:rsidRDefault="00BD4D01" w:rsidP="002170CC">
      <w:pPr>
        <w:rPr>
          <w:lang w:val="en-US"/>
        </w:rPr>
      </w:pPr>
      <w:r w:rsidRPr="00313E82">
        <w:rPr>
          <w:lang w:val="en-US"/>
        </w:rPr>
        <w:t>Furthermore, this report intends to contribute to harmonize</w:t>
      </w:r>
      <w:r w:rsidR="00904B21">
        <w:rPr>
          <w:lang w:val="en-US"/>
        </w:rPr>
        <w:t xml:space="preserve"> the</w:t>
      </w:r>
      <w:r w:rsidRPr="00313E82">
        <w:rPr>
          <w:lang w:val="en-US"/>
        </w:rPr>
        <w:t xml:space="preserve"> understanding of PSA Level 2 risk measures in the PSA community as well as provide guidance on how non-experts can better understand and interpret PSA Level risk measures.</w:t>
      </w:r>
      <w:r w:rsidR="002170CC" w:rsidRPr="00313E82">
        <w:rPr>
          <w:lang w:val="en-US"/>
        </w:rPr>
        <w:t xml:space="preserve"> A subsidiary aim is that these metrics should contribute to a common basis for discussion with the Off Site Emergency Planning community on the use of PSA </w:t>
      </w:r>
      <w:r w:rsidRPr="00313E82">
        <w:rPr>
          <w:lang w:val="en-US"/>
        </w:rPr>
        <w:t xml:space="preserve">Level 2 </w:t>
      </w:r>
      <w:r w:rsidR="002170CC" w:rsidRPr="00313E82">
        <w:rPr>
          <w:lang w:val="en-US"/>
        </w:rPr>
        <w:t xml:space="preserve">results. </w:t>
      </w:r>
    </w:p>
    <w:p w:rsidR="00E252CB" w:rsidRPr="00313E82" w:rsidRDefault="00E252CB" w:rsidP="002170CC">
      <w:pPr>
        <w:rPr>
          <w:lang w:val="en-US"/>
        </w:rPr>
      </w:pPr>
    </w:p>
    <w:p w:rsidR="009D1AAC" w:rsidRPr="00313E82" w:rsidRDefault="009D1AAC" w:rsidP="009D1AAC">
      <w:pPr>
        <w:rPr>
          <w:lang w:val="en-US"/>
        </w:rPr>
      </w:pPr>
      <w:r w:rsidRPr="00313E82">
        <w:rPr>
          <w:lang w:val="en-US"/>
        </w:rPr>
        <w:t>With regard to risk metrics, it has first to be noted that they are directly and intimately connected to the understanding of risk and the approach to and intended area of application for any decision</w:t>
      </w:r>
      <w:r w:rsidR="006761CE" w:rsidRPr="00313E82">
        <w:rPr>
          <w:lang w:val="en-US"/>
        </w:rPr>
        <w:t>-</w:t>
      </w:r>
      <w:r w:rsidRPr="00313E82">
        <w:rPr>
          <w:lang w:val="en-US"/>
        </w:rPr>
        <w:t>making. In this respect, some initial remarks are needed. These will serve as the background against which risk metrics are evaluated and on which recommendation</w:t>
      </w:r>
      <w:r w:rsidR="00D87BF7" w:rsidRPr="00313E82">
        <w:rPr>
          <w:lang w:val="en-US"/>
        </w:rPr>
        <w:t>s</w:t>
      </w:r>
      <w:r w:rsidRPr="00313E82">
        <w:rPr>
          <w:lang w:val="en-US"/>
        </w:rPr>
        <w:t xml:space="preserve"> for risk metrics that </w:t>
      </w:r>
      <w:r w:rsidR="00D87BF7" w:rsidRPr="00313E82">
        <w:rPr>
          <w:lang w:val="en-US"/>
        </w:rPr>
        <w:t>are</w:t>
      </w:r>
      <w:r w:rsidR="007D5B6E" w:rsidRPr="00313E82">
        <w:rPr>
          <w:lang w:val="en-US"/>
        </w:rPr>
        <w:t xml:space="preserve"> </w:t>
      </w:r>
      <w:r w:rsidRPr="00313E82">
        <w:rPr>
          <w:lang w:val="en-US"/>
        </w:rPr>
        <w:t xml:space="preserve">suitable for (extended) PSA </w:t>
      </w:r>
      <w:r w:rsidR="00D87BF7" w:rsidRPr="00313E82">
        <w:rPr>
          <w:lang w:val="en-US"/>
        </w:rPr>
        <w:t>are</w:t>
      </w:r>
      <w:r w:rsidR="00AE75F7" w:rsidRPr="00313E82">
        <w:rPr>
          <w:lang w:val="en-US"/>
        </w:rPr>
        <w:t xml:space="preserve"> </w:t>
      </w:r>
      <w:r w:rsidRPr="00313E82">
        <w:rPr>
          <w:lang w:val="en-US"/>
        </w:rPr>
        <w:t>derived.</w:t>
      </w:r>
    </w:p>
    <w:p w:rsidR="007D4D38" w:rsidRPr="00313E82" w:rsidRDefault="00F40C39" w:rsidP="00CD1C37">
      <w:pPr>
        <w:pStyle w:val="Titre2"/>
        <w:rPr>
          <w:lang w:val="en-US"/>
        </w:rPr>
      </w:pPr>
      <w:bookmarkStart w:id="29" w:name="_Toc452556632"/>
      <w:bookmarkStart w:id="30" w:name="_Toc452557098"/>
      <w:bookmarkStart w:id="31" w:name="_Toc452560329"/>
      <w:bookmarkStart w:id="32" w:name="_Toc452561262"/>
      <w:bookmarkStart w:id="33" w:name="_Toc452561478"/>
      <w:bookmarkStart w:id="34" w:name="_Toc474430098"/>
      <w:bookmarkEnd w:id="29"/>
      <w:bookmarkEnd w:id="30"/>
      <w:bookmarkEnd w:id="31"/>
      <w:bookmarkEnd w:id="32"/>
      <w:bookmarkEnd w:id="33"/>
      <w:r w:rsidRPr="00313E82">
        <w:rPr>
          <w:lang w:val="en-US"/>
        </w:rPr>
        <w:t xml:space="preserve">Report </w:t>
      </w:r>
      <w:r w:rsidR="0059571D" w:rsidRPr="00313E82">
        <w:rPr>
          <w:lang w:val="en-US"/>
        </w:rPr>
        <w:t>Objectives</w:t>
      </w:r>
      <w:bookmarkEnd w:id="34"/>
    </w:p>
    <w:p w:rsidR="007D4D38" w:rsidRPr="00313E82" w:rsidRDefault="007D4D38" w:rsidP="00901FEC">
      <w:pPr>
        <w:rPr>
          <w:lang w:val="en-US"/>
        </w:rPr>
      </w:pPr>
      <w:r w:rsidRPr="00313E82">
        <w:rPr>
          <w:lang w:val="en-US"/>
        </w:rPr>
        <w:t xml:space="preserve">The objectives of this report are </w:t>
      </w:r>
      <w:r w:rsidR="007E6E59" w:rsidRPr="00313E82">
        <w:rPr>
          <w:lang w:val="en-US"/>
        </w:rPr>
        <w:t xml:space="preserve">to </w:t>
      </w:r>
      <w:r w:rsidR="008B4D6C" w:rsidRPr="00313E82">
        <w:rPr>
          <w:lang w:val="en-US"/>
        </w:rPr>
        <w:t xml:space="preserve">develop a common understanding of the terms and underlying principles related to </w:t>
      </w:r>
      <w:r w:rsidR="009465F2" w:rsidRPr="00313E82">
        <w:rPr>
          <w:lang w:val="en-US"/>
        </w:rPr>
        <w:t xml:space="preserve">risk assessment using PSA and </w:t>
      </w:r>
      <w:r w:rsidRPr="00313E82">
        <w:rPr>
          <w:lang w:val="en-US"/>
        </w:rPr>
        <w:t>to provide an overview over risk metrics</w:t>
      </w:r>
      <w:r w:rsidR="005000F9" w:rsidRPr="00313E82">
        <w:rPr>
          <w:lang w:val="en-US"/>
        </w:rPr>
        <w:t xml:space="preserve"> and risk measures</w:t>
      </w:r>
      <w:r w:rsidRPr="00313E82">
        <w:rPr>
          <w:lang w:val="en-US"/>
        </w:rPr>
        <w:t xml:space="preserve"> used in current PSA </w:t>
      </w:r>
      <w:r w:rsidR="008D1B5A">
        <w:rPr>
          <w:lang w:val="en-US"/>
        </w:rPr>
        <w:t xml:space="preserve">(Level 1 and Level 2) </w:t>
      </w:r>
      <w:r w:rsidRPr="00313E82">
        <w:rPr>
          <w:lang w:val="en-US"/>
        </w:rPr>
        <w:t xml:space="preserve">and to derive initial recommendations for risk metrics </w:t>
      </w:r>
      <w:r w:rsidR="005000F9" w:rsidRPr="00313E82">
        <w:rPr>
          <w:lang w:val="en-US"/>
        </w:rPr>
        <w:t xml:space="preserve">and risk measures </w:t>
      </w:r>
      <w:r w:rsidRPr="00313E82">
        <w:rPr>
          <w:lang w:val="en-US"/>
        </w:rPr>
        <w:t>suitable for extended PSA. These issues will be further developed in the ASAMPSA_E guidance on the use of extended PSA in decision making as part of the final ASAMPSA_E guidance.</w:t>
      </w:r>
    </w:p>
    <w:p w:rsidR="007D4D38" w:rsidRPr="00313E82" w:rsidRDefault="007D4D38" w:rsidP="00901FEC">
      <w:pPr>
        <w:rPr>
          <w:lang w:val="en-US"/>
        </w:rPr>
      </w:pPr>
    </w:p>
    <w:p w:rsidR="009D1AAC" w:rsidRPr="00313E82" w:rsidRDefault="007D5B6E" w:rsidP="009D1AAC">
      <w:pPr>
        <w:rPr>
          <w:lang w:val="en-US"/>
        </w:rPr>
      </w:pPr>
      <w:r w:rsidRPr="00313E82">
        <w:rPr>
          <w:lang w:val="en-US"/>
        </w:rPr>
        <w:lastRenderedPageBreak/>
        <w:t>T</w:t>
      </w:r>
      <w:r w:rsidR="009D1AAC" w:rsidRPr="00313E82">
        <w:rPr>
          <w:lang w:val="en-US"/>
        </w:rPr>
        <w:t xml:space="preserve">here are multiple aspects of risk. This applies to nuclear power plants and other nuclear facilities. The objective of this report is limited to </w:t>
      </w:r>
      <w:r w:rsidR="006434B0" w:rsidRPr="00313E82">
        <w:rPr>
          <w:lang w:val="en-US"/>
        </w:rPr>
        <w:t xml:space="preserve">the </w:t>
      </w:r>
      <w:r w:rsidR="009D1AAC" w:rsidRPr="00313E82">
        <w:rPr>
          <w:lang w:val="en-US"/>
        </w:rPr>
        <w:t>specific aspect of risk</w:t>
      </w:r>
      <w:r w:rsidR="006434B0" w:rsidRPr="00313E82">
        <w:rPr>
          <w:lang w:val="en-US"/>
        </w:rPr>
        <w:t xml:space="preserve"> as</w:t>
      </w:r>
      <w:r w:rsidR="009D1AAC" w:rsidRPr="00313E82">
        <w:rPr>
          <w:lang w:val="en-US"/>
        </w:rPr>
        <w:t xml:space="preserve"> described by the fundamental safety objective in IAEA SF-1</w:t>
      </w:r>
      <w:r w:rsidR="006434B0" w:rsidRPr="00313E82">
        <w:rPr>
          <w:lang w:val="en-US"/>
        </w:rPr>
        <w:t>:</w:t>
      </w:r>
    </w:p>
    <w:p w:rsidR="009D1AAC" w:rsidRPr="00313E82" w:rsidRDefault="009D1AAC" w:rsidP="009D1AAC">
      <w:pPr>
        <w:rPr>
          <w:lang w:val="en-US"/>
        </w:rPr>
      </w:pPr>
    </w:p>
    <w:p w:rsidR="009D1AAC" w:rsidRPr="00313E82" w:rsidRDefault="009D1AAC" w:rsidP="003E19B1">
      <w:pPr>
        <w:ind w:left="709"/>
        <w:rPr>
          <w:lang w:val="en-US"/>
        </w:rPr>
      </w:pPr>
      <w:r w:rsidRPr="00313E82">
        <w:rPr>
          <w:lang w:val="en-US"/>
        </w:rPr>
        <w:t xml:space="preserve">“The fundamental safety objective is to protect people and the environment from harmful effects of ionizing radiation.” </w:t>
      </w:r>
      <w:r w:rsidR="009E768B" w:rsidRPr="007E0C24">
        <w:rPr>
          <w:lang w:val="en-US"/>
        </w:rPr>
        <w:fldChar w:fldCharType="begin"/>
      </w:r>
      <w:r w:rsidR="00CC7CF7" w:rsidRPr="00313E82">
        <w:rPr>
          <w:lang w:val="en-US"/>
        </w:rPr>
        <w:instrText xml:space="preserve"> REF _Ref288597447 \r \h </w:instrText>
      </w:r>
      <w:r w:rsidR="009E768B" w:rsidRPr="007E0C24">
        <w:rPr>
          <w:lang w:val="en-US"/>
        </w:rPr>
      </w:r>
      <w:r w:rsidR="009E768B" w:rsidRPr="007E0C24">
        <w:rPr>
          <w:lang w:val="en-US"/>
        </w:rPr>
        <w:fldChar w:fldCharType="separate"/>
      </w:r>
      <w:r w:rsidR="00B772CA">
        <w:rPr>
          <w:lang w:val="en-US"/>
        </w:rPr>
        <w:t>[3]</w:t>
      </w:r>
      <w:r w:rsidR="009E768B" w:rsidRPr="007E0C24">
        <w:rPr>
          <w:lang w:val="en-US"/>
        </w:rPr>
        <w:fldChar w:fldCharType="end"/>
      </w:r>
      <w:r w:rsidRPr="00313E82">
        <w:rPr>
          <w:lang w:val="en-US"/>
        </w:rPr>
        <w:t>, p. 4</w:t>
      </w:r>
    </w:p>
    <w:p w:rsidR="009D1AAC" w:rsidRPr="00313E82" w:rsidRDefault="009D1AAC" w:rsidP="009D1AAC">
      <w:pPr>
        <w:rPr>
          <w:lang w:val="en-US"/>
        </w:rPr>
      </w:pPr>
    </w:p>
    <w:p w:rsidR="009D1AAC" w:rsidRPr="00313E82" w:rsidRDefault="009D1AAC" w:rsidP="009D1AAC">
      <w:pPr>
        <w:rPr>
          <w:lang w:val="en-US"/>
        </w:rPr>
      </w:pPr>
      <w:r w:rsidRPr="00313E82">
        <w:rPr>
          <w:lang w:val="en-US"/>
        </w:rPr>
        <w:t>Thus, the risk investigated in this report is the risk of failing to meet this objective. The report will restrict itself to risk metrics</w:t>
      </w:r>
      <w:r w:rsidR="005000F9" w:rsidRPr="00313E82">
        <w:rPr>
          <w:lang w:val="en-US"/>
        </w:rPr>
        <w:t xml:space="preserve"> and risk measures</w:t>
      </w:r>
      <w:r w:rsidRPr="00313E82">
        <w:rPr>
          <w:lang w:val="en-US"/>
        </w:rPr>
        <w:t>, which either describe this risk or the risk of reaching an intermediate state, which is seen as a leading indicator of failing to meet the fundamental objective. More specifically, the report will focus on the risk of significant damages outside of the plant boundary, i.e. accidental releases with potential of affecting a large number of people and a significant part of the vicinity of the plant for an extended period of time.</w:t>
      </w:r>
    </w:p>
    <w:p w:rsidR="009D1AAC" w:rsidRPr="00313E82" w:rsidRDefault="009D1AAC" w:rsidP="009D1AAC">
      <w:pPr>
        <w:rPr>
          <w:lang w:val="en-US"/>
        </w:rPr>
      </w:pPr>
    </w:p>
    <w:p w:rsidR="009D1AAC" w:rsidRPr="00313E82" w:rsidRDefault="009D1AAC" w:rsidP="009D1AAC">
      <w:pPr>
        <w:rPr>
          <w:lang w:val="en-US"/>
        </w:rPr>
      </w:pPr>
      <w:r w:rsidRPr="00313E82">
        <w:rPr>
          <w:lang w:val="en-US"/>
        </w:rPr>
        <w:t xml:space="preserve">It needs to be </w:t>
      </w:r>
      <w:r w:rsidR="009123E3">
        <w:rPr>
          <w:lang w:val="en-US"/>
        </w:rPr>
        <w:t>acknowledge</w:t>
      </w:r>
      <w:r w:rsidR="007C5AD1">
        <w:rPr>
          <w:lang w:val="en-US"/>
        </w:rPr>
        <w:t>d</w:t>
      </w:r>
      <w:r w:rsidR="009123E3" w:rsidRPr="00313E82">
        <w:rPr>
          <w:lang w:val="en-US"/>
        </w:rPr>
        <w:t xml:space="preserve"> </w:t>
      </w:r>
      <w:r w:rsidRPr="00313E82">
        <w:rPr>
          <w:lang w:val="en-US"/>
        </w:rPr>
        <w:t xml:space="preserve">that the risk of NPP is firmly placed in the Level 3 PSA domain according to the accepted definitions </w:t>
      </w:r>
      <w:r w:rsidR="009E768B" w:rsidRPr="007E0C24">
        <w:rPr>
          <w:lang w:val="en-US"/>
        </w:rPr>
        <w:fldChar w:fldCharType="begin"/>
      </w:r>
      <w:r w:rsidRPr="00313E82">
        <w:rPr>
          <w:lang w:val="en-US"/>
        </w:rPr>
        <w:instrText xml:space="preserve"> REF _Ref384386913 \r \h </w:instrText>
      </w:r>
      <w:r w:rsidR="009E768B" w:rsidRPr="007E0C24">
        <w:rPr>
          <w:lang w:val="en-US"/>
        </w:rPr>
      </w:r>
      <w:r w:rsidR="009E768B" w:rsidRPr="007E0C24">
        <w:rPr>
          <w:lang w:val="en-US"/>
        </w:rPr>
        <w:fldChar w:fldCharType="separate"/>
      </w:r>
      <w:r w:rsidR="00B772CA">
        <w:rPr>
          <w:lang w:val="en-US"/>
        </w:rPr>
        <w:t>[4]</w:t>
      </w:r>
      <w:r w:rsidR="009E768B" w:rsidRPr="007E0C24">
        <w:rPr>
          <w:lang w:val="en-US"/>
        </w:rPr>
        <w:fldChar w:fldCharType="end"/>
      </w:r>
      <w:r w:rsidRPr="00313E82">
        <w:rPr>
          <w:lang w:val="en-US"/>
        </w:rPr>
        <w:t xml:space="preserve">, </w:t>
      </w:r>
      <w:r w:rsidR="009E768B" w:rsidRPr="007E0C24">
        <w:rPr>
          <w:lang w:val="en-US"/>
        </w:rPr>
        <w:fldChar w:fldCharType="begin"/>
      </w:r>
      <w:r w:rsidRPr="00313E82">
        <w:rPr>
          <w:lang w:val="en-US"/>
        </w:rPr>
        <w:instrText xml:space="preserve"> REF _Ref393115557 \r \h </w:instrText>
      </w:r>
      <w:r w:rsidR="009E768B" w:rsidRPr="007E0C24">
        <w:rPr>
          <w:lang w:val="en-US"/>
        </w:rPr>
      </w:r>
      <w:r w:rsidR="009E768B" w:rsidRPr="007E0C24">
        <w:rPr>
          <w:lang w:val="en-US"/>
        </w:rPr>
        <w:fldChar w:fldCharType="separate"/>
      </w:r>
      <w:r w:rsidR="00B772CA">
        <w:rPr>
          <w:lang w:val="en-US"/>
        </w:rPr>
        <w:t>[5]</w:t>
      </w:r>
      <w:r w:rsidR="009E768B" w:rsidRPr="007E0C24">
        <w:rPr>
          <w:lang w:val="en-US"/>
        </w:rPr>
        <w:fldChar w:fldCharType="end"/>
      </w:r>
      <w:r w:rsidRPr="00313E82">
        <w:rPr>
          <w:lang w:val="en-US"/>
        </w:rPr>
        <w:t xml:space="preserve">. As the ASAMPSA_E project and consequently this report is investigating issues of Level 1 and Level 2 PSA while Level 3 is not addressed, most of the risk metrics of this report will actually be related to intermediary states and consequences. This limitation has to be recognized. </w:t>
      </w:r>
    </w:p>
    <w:p w:rsidR="007D4D38" w:rsidRPr="00313E82" w:rsidRDefault="009B1B03" w:rsidP="00CD1C37">
      <w:pPr>
        <w:pStyle w:val="Titre2"/>
        <w:rPr>
          <w:lang w:val="en-US"/>
        </w:rPr>
      </w:pPr>
      <w:bookmarkStart w:id="35" w:name="_Toc452560331"/>
      <w:bookmarkStart w:id="36" w:name="_Toc452561264"/>
      <w:bookmarkStart w:id="37" w:name="_Toc452561480"/>
      <w:bookmarkStart w:id="38" w:name="_Ref339631948"/>
      <w:bookmarkStart w:id="39" w:name="_Toc474430099"/>
      <w:bookmarkEnd w:id="35"/>
      <w:bookmarkEnd w:id="36"/>
      <w:bookmarkEnd w:id="37"/>
      <w:r w:rsidRPr="00313E82">
        <w:rPr>
          <w:lang w:val="en-US"/>
        </w:rPr>
        <w:t>Definition</w:t>
      </w:r>
      <w:r w:rsidR="00F576E6" w:rsidRPr="00313E82">
        <w:rPr>
          <w:lang w:val="en-US"/>
        </w:rPr>
        <w:t>s</w:t>
      </w:r>
      <w:bookmarkEnd w:id="38"/>
      <w:bookmarkEnd w:id="39"/>
      <w:r w:rsidRPr="00313E82">
        <w:rPr>
          <w:lang w:val="en-US"/>
        </w:rPr>
        <w:t xml:space="preserve"> </w:t>
      </w:r>
    </w:p>
    <w:p w:rsidR="00F576E6" w:rsidRPr="00313E82" w:rsidRDefault="001E7635" w:rsidP="002B446B">
      <w:pPr>
        <w:rPr>
          <w:b/>
          <w:u w:val="single"/>
          <w:lang w:val="en-US"/>
        </w:rPr>
      </w:pPr>
      <w:r w:rsidRPr="00313E82">
        <w:rPr>
          <w:b/>
          <w:u w:val="single"/>
          <w:lang w:val="en-US"/>
        </w:rPr>
        <w:t>Risk</w:t>
      </w:r>
      <w:r w:rsidR="002B446B" w:rsidRPr="00313E82">
        <w:rPr>
          <w:b/>
          <w:u w:val="single"/>
          <w:lang w:val="en-US"/>
        </w:rPr>
        <w:t xml:space="preserve"> </w:t>
      </w:r>
      <w:r w:rsidR="00BB1256" w:rsidRPr="00313E82">
        <w:rPr>
          <w:b/>
          <w:u w:val="single"/>
          <w:lang w:val="en-US"/>
        </w:rPr>
        <w:t>(</w:t>
      </w:r>
      <w:r w:rsidR="00BB1256" w:rsidRPr="00313E82">
        <w:rPr>
          <w:lang w:val="en-US"/>
        </w:rPr>
        <w:t xml:space="preserve">ASAMPSA2, Reference </w:t>
      </w:r>
      <w:r w:rsidR="009E768B" w:rsidRPr="007E0C24">
        <w:rPr>
          <w:lang w:val="en-US"/>
        </w:rPr>
        <w:fldChar w:fldCharType="begin"/>
      </w:r>
      <w:r w:rsidR="00BB1256" w:rsidRPr="00313E82">
        <w:rPr>
          <w:lang w:val="en-US"/>
        </w:rPr>
        <w:instrText xml:space="preserve"> REF _Ref284401542 \r \h </w:instrText>
      </w:r>
      <w:r w:rsidR="009E768B" w:rsidRPr="007E0C24">
        <w:rPr>
          <w:lang w:val="en-US"/>
        </w:rPr>
      </w:r>
      <w:r w:rsidR="009E768B" w:rsidRPr="007E0C24">
        <w:rPr>
          <w:lang w:val="en-US"/>
        </w:rPr>
        <w:fldChar w:fldCharType="separate"/>
      </w:r>
      <w:r w:rsidR="00B772CA">
        <w:rPr>
          <w:lang w:val="en-US"/>
        </w:rPr>
        <w:t>[2]</w:t>
      </w:r>
      <w:r w:rsidR="009E768B" w:rsidRPr="007E0C24">
        <w:rPr>
          <w:lang w:val="en-US"/>
        </w:rPr>
        <w:fldChar w:fldCharType="end"/>
      </w:r>
      <w:r w:rsidR="00BB1256" w:rsidRPr="00313E82">
        <w:rPr>
          <w:lang w:val="en-US"/>
        </w:rPr>
        <w:t>):</w:t>
      </w:r>
      <w:r w:rsidR="00F576E6" w:rsidRPr="00313E82">
        <w:rPr>
          <w:b/>
          <w:u w:val="single"/>
          <w:lang w:val="en-US"/>
        </w:rPr>
        <w:t xml:space="preserve"> </w:t>
      </w:r>
    </w:p>
    <w:p w:rsidR="00535410" w:rsidRPr="00BF36DA" w:rsidRDefault="00535410" w:rsidP="00BF36DA">
      <w:pPr>
        <w:rPr>
          <w:lang w:val="en-US"/>
        </w:rPr>
      </w:pPr>
      <w:r w:rsidRPr="00BF36DA">
        <w:rPr>
          <w:b/>
          <w:lang w:val="en-US"/>
        </w:rPr>
        <w:t>Risk</w:t>
      </w:r>
      <w:r w:rsidRPr="00BF36DA">
        <w:rPr>
          <w:lang w:val="en-US"/>
        </w:rPr>
        <w:t xml:space="preserve"> is defined relative to hazards or accidents. A hazard is something that presents a potential for health, economical or environmental harm. Risk associated with the hazard is a combination of </w:t>
      </w:r>
      <w:r w:rsidRPr="00BF36DA">
        <w:rPr>
          <w:b/>
          <w:u w:val="single"/>
          <w:lang w:val="en-US"/>
        </w:rPr>
        <w:t>the</w:t>
      </w:r>
      <w:r w:rsidRPr="00BF36DA">
        <w:rPr>
          <w:lang w:val="en-US"/>
        </w:rPr>
        <w:t xml:space="preserve"> probability (or frequency) of the hazardous event and the magnitude of the consequences. The consequences can be represented in several dimensions. A usual engineering definition of risk associated with an event i is: </w:t>
      </w:r>
    </w:p>
    <w:p w:rsidR="002B446B" w:rsidRPr="009374D7" w:rsidRDefault="00535410" w:rsidP="00BF36DA">
      <w:pPr>
        <w:ind w:left="709"/>
        <w:jc w:val="left"/>
        <w:rPr>
          <w:lang w:val="en-US"/>
        </w:rPr>
      </w:pPr>
      <w:r w:rsidRPr="00BF36DA">
        <w:rPr>
          <w:lang w:val="en-US"/>
        </w:rPr>
        <w:t>Risk(event i) = “the probability of an event i” x “the consequences of an event i”.</w:t>
      </w:r>
      <w:r w:rsidR="00581ECF" w:rsidRPr="00BF36DA">
        <w:rPr>
          <w:lang w:val="en-US"/>
        </w:rPr>
        <w:t xml:space="preserve"> </w:t>
      </w:r>
      <w:r w:rsidR="00CD0CBE">
        <w:fldChar w:fldCharType="begin"/>
      </w:r>
      <w:r w:rsidR="00CD0CBE">
        <w:instrText xml:space="preserve"> REF _Ref284401542 \r \h  \* MERGEFORMAT </w:instrText>
      </w:r>
      <w:r w:rsidR="00CD0CBE">
        <w:fldChar w:fldCharType="separate"/>
      </w:r>
      <w:r w:rsidR="00B772CA" w:rsidRPr="00B772CA">
        <w:rPr>
          <w:lang w:val="en-US"/>
        </w:rPr>
        <w:t>[2]</w:t>
      </w:r>
      <w:r w:rsidR="00CD0CBE">
        <w:fldChar w:fldCharType="end"/>
      </w:r>
      <w:r w:rsidR="00581ECF" w:rsidRPr="009374D7">
        <w:rPr>
          <w:lang w:val="en-US"/>
        </w:rPr>
        <w:t>, p. 69 after</w:t>
      </w:r>
      <w:r w:rsidR="00A319D4" w:rsidRPr="009374D7">
        <w:rPr>
          <w:lang w:val="en-US"/>
        </w:rPr>
        <w:t xml:space="preserve"> </w:t>
      </w:r>
      <w:r w:rsidR="00CD0CBE">
        <w:fldChar w:fldCharType="begin"/>
      </w:r>
      <w:r w:rsidR="00CD0CBE">
        <w:instrText xml:space="preserve"> REF _Ref413857632 \r \h  \* MERGEFORMAT </w:instrText>
      </w:r>
      <w:r w:rsidR="00CD0CBE">
        <w:fldChar w:fldCharType="separate"/>
      </w:r>
      <w:r w:rsidR="00B772CA" w:rsidRPr="00B772CA">
        <w:rPr>
          <w:lang w:val="en-US"/>
        </w:rPr>
        <w:t>[66]</w:t>
      </w:r>
      <w:r w:rsidR="00CD0CBE">
        <w:fldChar w:fldCharType="end"/>
      </w:r>
      <w:r w:rsidR="00A319D4" w:rsidRPr="009374D7">
        <w:rPr>
          <w:lang w:val="en-US"/>
        </w:rPr>
        <w:t>.</w:t>
      </w:r>
      <w:r w:rsidR="00581ECF" w:rsidRPr="009374D7">
        <w:rPr>
          <w:lang w:val="en-US"/>
        </w:rPr>
        <w:t xml:space="preserve"> </w:t>
      </w:r>
      <w:r w:rsidRPr="00BF36DA">
        <w:rPr>
          <w:lang w:val="en-US"/>
        </w:rPr>
        <w:t> </w:t>
      </w:r>
    </w:p>
    <w:p w:rsidR="00BB1256" w:rsidRPr="00313E82" w:rsidRDefault="00BB1256" w:rsidP="00F40C39">
      <w:pPr>
        <w:ind w:left="709"/>
        <w:rPr>
          <w:b/>
          <w:lang w:val="en-US"/>
        </w:rPr>
      </w:pPr>
    </w:p>
    <w:p w:rsidR="00656A26" w:rsidRPr="009374D7" w:rsidRDefault="00BB1256" w:rsidP="00BF36DA">
      <w:pPr>
        <w:rPr>
          <w:lang w:val="en-US"/>
        </w:rPr>
      </w:pPr>
      <w:r w:rsidRPr="009374D7">
        <w:rPr>
          <w:lang w:val="en-US"/>
        </w:rPr>
        <w:t xml:space="preserve">A more formal definition with the theoretical background is provided in </w:t>
      </w:r>
      <w:r w:rsidR="00656A26" w:rsidRPr="00BC7DF5">
        <w:rPr>
          <w:lang w:val="en-US"/>
        </w:rPr>
        <w:t xml:space="preserve">Appendix A (Section </w:t>
      </w:r>
      <w:r w:rsidR="00CD0CBE">
        <w:fldChar w:fldCharType="begin"/>
      </w:r>
      <w:r w:rsidR="00CD0CBE">
        <w:instrText xml:space="preserve"> REF _Ref284225086 \r \h  \* MERGEFORMAT </w:instrText>
      </w:r>
      <w:r w:rsidR="00CD0CBE">
        <w:fldChar w:fldCharType="separate"/>
      </w:r>
      <w:r w:rsidR="00B772CA" w:rsidRPr="00B772CA">
        <w:rPr>
          <w:lang w:val="en-US"/>
        </w:rPr>
        <w:t>8.2</w:t>
      </w:r>
      <w:r w:rsidR="00CD0CBE">
        <w:fldChar w:fldCharType="end"/>
      </w:r>
      <w:r w:rsidR="00656A26" w:rsidRPr="009374D7">
        <w:rPr>
          <w:lang w:val="en-US"/>
        </w:rPr>
        <w:t>).</w:t>
      </w:r>
    </w:p>
    <w:p w:rsidR="00D05584" w:rsidRPr="00313E82" w:rsidRDefault="00D05584" w:rsidP="00265466">
      <w:pPr>
        <w:rPr>
          <w:lang w:val="en-US"/>
        </w:rPr>
      </w:pPr>
    </w:p>
    <w:p w:rsidR="00D05584" w:rsidRPr="00BF36DA" w:rsidRDefault="00D05584" w:rsidP="00265466">
      <w:pPr>
        <w:rPr>
          <w:b/>
          <w:u w:val="single"/>
          <w:lang w:val="en-US"/>
        </w:rPr>
      </w:pPr>
      <w:r w:rsidRPr="00BF36DA">
        <w:rPr>
          <w:b/>
          <w:u w:val="single"/>
          <w:lang w:val="en-US"/>
        </w:rPr>
        <w:t>Risk Model</w:t>
      </w:r>
    </w:p>
    <w:p w:rsidR="00D05584" w:rsidRPr="00313E82" w:rsidRDefault="00D05584" w:rsidP="00D05584">
      <w:pPr>
        <w:ind w:left="709"/>
        <w:rPr>
          <w:lang w:val="en-US"/>
        </w:rPr>
      </w:pPr>
      <w:r w:rsidRPr="00313E82">
        <w:rPr>
          <w:lang w:val="en-US"/>
        </w:rPr>
        <w:t xml:space="preserve">A risk model is a logical model, which describes the risk relative to hazards (see above) and provides the means to quantify the risk with appropriate risk metrics and risk measures. Risk models usually gather models over numerous events. The PSA for a NPP is a salient example.   </w:t>
      </w:r>
    </w:p>
    <w:p w:rsidR="001E7635" w:rsidRPr="00313E82" w:rsidRDefault="001E7635" w:rsidP="001E7635">
      <w:pPr>
        <w:rPr>
          <w:lang w:val="en-US"/>
        </w:rPr>
      </w:pPr>
    </w:p>
    <w:p w:rsidR="009728D3" w:rsidRPr="00313E82" w:rsidRDefault="009728D3" w:rsidP="001E7635">
      <w:pPr>
        <w:rPr>
          <w:lang w:val="en-US"/>
        </w:rPr>
      </w:pPr>
      <w:r w:rsidRPr="00313E82">
        <w:rPr>
          <w:b/>
          <w:u w:val="single"/>
          <w:lang w:val="en-US"/>
        </w:rPr>
        <w:t>Risk Measure and Risk Metrics</w:t>
      </w:r>
      <w:r w:rsidRPr="00313E82">
        <w:rPr>
          <w:lang w:val="en-US"/>
        </w:rPr>
        <w:t>:</w:t>
      </w:r>
    </w:p>
    <w:p w:rsidR="009728D3" w:rsidRPr="00313E82" w:rsidRDefault="00422BD7" w:rsidP="00BB1256">
      <w:pPr>
        <w:ind w:left="709"/>
        <w:rPr>
          <w:b/>
          <w:lang w:val="en-US"/>
        </w:rPr>
      </w:pPr>
      <w:r w:rsidRPr="00313E82">
        <w:rPr>
          <w:lang w:val="en-US"/>
        </w:rPr>
        <w:t xml:space="preserve">“In the context of risk measurement, a risk metric is the concept quantified by a risk measure.” </w:t>
      </w:r>
      <w:r w:rsidR="009E768B" w:rsidRPr="007E0C24">
        <w:rPr>
          <w:lang w:val="en-US"/>
        </w:rPr>
        <w:fldChar w:fldCharType="begin"/>
      </w:r>
      <w:r w:rsidRPr="00313E82">
        <w:rPr>
          <w:lang w:val="en-US"/>
        </w:rPr>
        <w:instrText xml:space="preserve"> REF _Ref413863269 \r \h </w:instrText>
      </w:r>
      <w:r w:rsidR="009E768B" w:rsidRPr="007E0C24">
        <w:rPr>
          <w:lang w:val="en-US"/>
        </w:rPr>
      </w:r>
      <w:r w:rsidR="009E768B" w:rsidRPr="007E0C24">
        <w:rPr>
          <w:lang w:val="en-US"/>
        </w:rPr>
        <w:fldChar w:fldCharType="separate"/>
      </w:r>
      <w:r w:rsidR="00B772CA">
        <w:rPr>
          <w:lang w:val="en-US"/>
        </w:rPr>
        <w:t>[68]</w:t>
      </w:r>
      <w:r w:rsidR="009E768B" w:rsidRPr="007E0C24">
        <w:rPr>
          <w:lang w:val="en-US"/>
        </w:rPr>
        <w:fldChar w:fldCharType="end"/>
      </w:r>
      <w:r w:rsidR="008771C5" w:rsidRPr="00313E82">
        <w:rPr>
          <w:lang w:val="en-US"/>
        </w:rPr>
        <w:t>.</w:t>
      </w:r>
      <w:r w:rsidRPr="00313E82">
        <w:rPr>
          <w:lang w:val="en-US"/>
        </w:rPr>
        <w:t xml:space="preserve"> The risk metric is a feature or property of the risk model like e.g. </w:t>
      </w:r>
      <w:r w:rsidR="00D05584" w:rsidRPr="00313E82">
        <w:rPr>
          <w:lang w:val="en-US"/>
        </w:rPr>
        <w:t>a consequence, a transition between two states of the risk model</w:t>
      </w:r>
      <w:r w:rsidR="00967803">
        <w:rPr>
          <w:lang w:val="en-US"/>
        </w:rPr>
        <w:t>, or an indicator derived from another risk measure</w:t>
      </w:r>
      <w:r w:rsidR="00D05584" w:rsidRPr="00313E82">
        <w:rPr>
          <w:lang w:val="en-US"/>
        </w:rPr>
        <w:t xml:space="preserve">. The risk measure includes in </w:t>
      </w:r>
      <w:r w:rsidR="00D05584" w:rsidRPr="00313E82">
        <w:rPr>
          <w:lang w:val="en-US"/>
        </w:rPr>
        <w:lastRenderedPageBreak/>
        <w:t>addition the quantification procedure</w:t>
      </w:r>
      <w:r w:rsidR="00B632E7" w:rsidRPr="00313E82">
        <w:rPr>
          <w:lang w:val="en-US"/>
        </w:rPr>
        <w:t xml:space="preserve"> for the risk metric</w:t>
      </w:r>
      <w:r w:rsidR="00D05584" w:rsidRPr="00313E82">
        <w:rPr>
          <w:lang w:val="en-US"/>
        </w:rPr>
        <w:t>. Risk measures are used for the representation, discussion, and interpretation of PSA results. For risk measures like core damage frequency, conditional failure probability of a system, or basic event importance for CDF to be used, the risk model has to support the respective risk metrics.</w:t>
      </w:r>
      <w:r w:rsidRPr="00313E82">
        <w:rPr>
          <w:lang w:val="en-US"/>
        </w:rPr>
        <w:t xml:space="preserve"> </w:t>
      </w:r>
      <w:r w:rsidR="007B01E6" w:rsidRPr="00313E82">
        <w:rPr>
          <w:lang w:val="en-US"/>
        </w:rPr>
        <w:t xml:space="preserve">However, </w:t>
      </w:r>
      <w:r w:rsidR="00705EA2" w:rsidRPr="00313E82">
        <w:rPr>
          <w:lang w:val="en-US"/>
        </w:rPr>
        <w:t xml:space="preserve">under the ASAMPSA_E project the two terms risk metrics and risk measures have been used without distinction. </w:t>
      </w:r>
      <w:r w:rsidR="007B01E6" w:rsidRPr="00313E82">
        <w:rPr>
          <w:lang w:val="en-US"/>
        </w:rPr>
        <w:t>For this reason, i</w:t>
      </w:r>
      <w:r w:rsidR="00705EA2" w:rsidRPr="00313E82">
        <w:rPr>
          <w:lang w:val="en-US"/>
        </w:rPr>
        <w:t>n this report</w:t>
      </w:r>
      <w:r w:rsidR="00373E93" w:rsidRPr="00313E82">
        <w:rPr>
          <w:lang w:val="en-US"/>
        </w:rPr>
        <w:t xml:space="preserve">, </w:t>
      </w:r>
      <w:r w:rsidR="008771C5" w:rsidRPr="00313E82">
        <w:rPr>
          <w:lang w:val="en-US"/>
        </w:rPr>
        <w:t xml:space="preserve">the </w:t>
      </w:r>
      <w:r w:rsidR="007B01E6" w:rsidRPr="00313E82">
        <w:rPr>
          <w:lang w:val="en-US"/>
        </w:rPr>
        <w:t>term risk me</w:t>
      </w:r>
      <w:r w:rsidR="00373E93" w:rsidRPr="00313E82">
        <w:rPr>
          <w:lang w:val="en-US"/>
        </w:rPr>
        <w:t xml:space="preserve">asure will be used </w:t>
      </w:r>
      <w:r w:rsidR="005000F9" w:rsidRPr="00313E82">
        <w:rPr>
          <w:lang w:val="en-US"/>
        </w:rPr>
        <w:t xml:space="preserve">as a more comprehensive term even if only </w:t>
      </w:r>
      <w:r w:rsidR="00373E93" w:rsidRPr="00313E82">
        <w:rPr>
          <w:lang w:val="en-US"/>
        </w:rPr>
        <w:t>the risk metric</w:t>
      </w:r>
      <w:r w:rsidR="005000F9" w:rsidRPr="00313E82">
        <w:rPr>
          <w:lang w:val="en-US"/>
        </w:rPr>
        <w:t xml:space="preserve"> is meant</w:t>
      </w:r>
      <w:r w:rsidR="007B01E6" w:rsidRPr="00313E82">
        <w:rPr>
          <w:lang w:val="en-US"/>
        </w:rPr>
        <w:t>.</w:t>
      </w:r>
      <w:r w:rsidR="005000F9" w:rsidRPr="00313E82">
        <w:rPr>
          <w:lang w:val="en-US"/>
        </w:rPr>
        <w:t xml:space="preserve"> The term risk metric will be used if specifically the metric aspect is addressed or if there would otherwise be ambiguities.</w:t>
      </w:r>
      <w:r w:rsidR="007B01E6" w:rsidRPr="00313E82">
        <w:rPr>
          <w:b/>
          <w:lang w:val="en-US"/>
        </w:rPr>
        <w:t xml:space="preserve"> </w:t>
      </w:r>
    </w:p>
    <w:p w:rsidR="00705EA2" w:rsidRPr="00313E82" w:rsidRDefault="00705EA2" w:rsidP="00BB1256">
      <w:pPr>
        <w:ind w:left="709"/>
        <w:rPr>
          <w:lang w:val="en-US"/>
        </w:rPr>
      </w:pPr>
    </w:p>
    <w:p w:rsidR="00355A3F" w:rsidRPr="00313E82" w:rsidRDefault="007C4208" w:rsidP="001E7635">
      <w:pPr>
        <w:rPr>
          <w:lang w:val="en-US"/>
        </w:rPr>
      </w:pPr>
      <w:r>
        <w:rPr>
          <w:b/>
          <w:u w:val="single"/>
          <w:lang w:val="en-US"/>
        </w:rPr>
        <w:t xml:space="preserve">Quantitative </w:t>
      </w:r>
      <w:r w:rsidR="009728D3" w:rsidRPr="00313E82">
        <w:rPr>
          <w:b/>
          <w:u w:val="single"/>
          <w:lang w:val="en-US"/>
        </w:rPr>
        <w:t xml:space="preserve">Risk Criteria, </w:t>
      </w:r>
      <w:r w:rsidR="00355A3F" w:rsidRPr="00313E82">
        <w:rPr>
          <w:b/>
          <w:u w:val="single"/>
          <w:lang w:val="en-US"/>
        </w:rPr>
        <w:t xml:space="preserve">Risk </w:t>
      </w:r>
      <w:r w:rsidR="00E80B72" w:rsidRPr="00313E82">
        <w:rPr>
          <w:b/>
          <w:u w:val="single"/>
          <w:lang w:val="en-US"/>
        </w:rPr>
        <w:t>Limits and Risk Objective</w:t>
      </w:r>
      <w:r w:rsidR="002F4C58" w:rsidRPr="00313E82">
        <w:rPr>
          <w:b/>
          <w:u w:val="single"/>
          <w:lang w:val="en-US"/>
        </w:rPr>
        <w:t>s</w:t>
      </w:r>
      <w:r w:rsidR="00BB1256" w:rsidRPr="00313E82">
        <w:rPr>
          <w:lang w:val="en-US"/>
        </w:rPr>
        <w:t>:</w:t>
      </w:r>
    </w:p>
    <w:p w:rsidR="009728D3" w:rsidRPr="00313E82" w:rsidRDefault="009728D3" w:rsidP="001E7635">
      <w:pPr>
        <w:rPr>
          <w:b/>
          <w:u w:val="single"/>
          <w:lang w:val="en-US"/>
        </w:rPr>
      </w:pPr>
    </w:p>
    <w:p w:rsidR="007C4208" w:rsidRDefault="00B632E7" w:rsidP="009728D3">
      <w:pPr>
        <w:ind w:left="709"/>
        <w:rPr>
          <w:lang w:val="en-US"/>
        </w:rPr>
      </w:pPr>
      <w:r w:rsidRPr="00313E82">
        <w:rPr>
          <w:lang w:val="en-US"/>
        </w:rPr>
        <w:t xml:space="preserve">A </w:t>
      </w:r>
      <w:r w:rsidR="007C4208">
        <w:rPr>
          <w:lang w:val="en-US"/>
        </w:rPr>
        <w:t xml:space="preserve">quantitative </w:t>
      </w:r>
      <w:r w:rsidRPr="00313E82">
        <w:rPr>
          <w:lang w:val="en-US"/>
        </w:rPr>
        <w:t>risk criteri</w:t>
      </w:r>
      <w:r w:rsidR="00E50FE6">
        <w:rPr>
          <w:lang w:val="en-US"/>
        </w:rPr>
        <w:t>on</w:t>
      </w:r>
      <w:r w:rsidRPr="00313E82">
        <w:rPr>
          <w:lang w:val="en-US"/>
        </w:rPr>
        <w:t xml:space="preserve"> is a threshold for a risk measure, usually applied for decision making. It is expected that the risk threshold </w:t>
      </w:r>
      <w:r w:rsidR="007C4208">
        <w:rPr>
          <w:lang w:val="en-US"/>
        </w:rPr>
        <w:t>is</w:t>
      </w:r>
      <w:r w:rsidR="007C4208" w:rsidRPr="00313E82">
        <w:rPr>
          <w:lang w:val="en-US"/>
        </w:rPr>
        <w:t xml:space="preserve"> </w:t>
      </w:r>
      <w:r w:rsidRPr="00313E82">
        <w:rPr>
          <w:lang w:val="en-US"/>
        </w:rPr>
        <w:t xml:space="preserve">not exceeded. </w:t>
      </w:r>
    </w:p>
    <w:p w:rsidR="007C4208" w:rsidRDefault="00B632E7" w:rsidP="009728D3">
      <w:pPr>
        <w:ind w:left="709"/>
        <w:rPr>
          <w:lang w:val="en-US"/>
        </w:rPr>
      </w:pPr>
      <w:r w:rsidRPr="00313E82">
        <w:rPr>
          <w:lang w:val="en-US"/>
        </w:rPr>
        <w:t>A risk criteri</w:t>
      </w:r>
      <w:r w:rsidR="00E50FE6">
        <w:rPr>
          <w:lang w:val="en-US"/>
        </w:rPr>
        <w:t>on</w:t>
      </w:r>
      <w:r w:rsidRPr="00313E82">
        <w:rPr>
          <w:lang w:val="en-US"/>
        </w:rPr>
        <w:t xml:space="preserve"> is termed a risk limit, if the threshold </w:t>
      </w:r>
      <w:r w:rsidRPr="00313E82">
        <w:rPr>
          <w:b/>
          <w:u w:val="single"/>
          <w:lang w:val="en-US"/>
        </w:rPr>
        <w:t>shall</w:t>
      </w:r>
      <w:r w:rsidRPr="00313E82">
        <w:rPr>
          <w:lang w:val="en-US"/>
        </w:rPr>
        <w:t xml:space="preserve"> not be exceeded (and otherwise </w:t>
      </w:r>
      <w:r w:rsidR="00E924CB" w:rsidRPr="00313E82">
        <w:rPr>
          <w:lang w:val="en-US"/>
        </w:rPr>
        <w:t>remedial</w:t>
      </w:r>
      <w:r w:rsidRPr="00313E82">
        <w:rPr>
          <w:lang w:val="en-US"/>
        </w:rPr>
        <w:t xml:space="preserve"> actions are expected). </w:t>
      </w:r>
    </w:p>
    <w:p w:rsidR="00B632E7" w:rsidRDefault="007C4208" w:rsidP="009728D3">
      <w:pPr>
        <w:ind w:left="709"/>
        <w:rPr>
          <w:lang w:val="en-US"/>
        </w:rPr>
      </w:pPr>
      <w:r w:rsidRPr="00313E82">
        <w:rPr>
          <w:lang w:val="en-US"/>
        </w:rPr>
        <w:t>A risk criteri</w:t>
      </w:r>
      <w:r w:rsidR="00E50FE6">
        <w:rPr>
          <w:lang w:val="en-US"/>
        </w:rPr>
        <w:t>on</w:t>
      </w:r>
      <w:r w:rsidRPr="00313E82">
        <w:rPr>
          <w:lang w:val="en-US"/>
        </w:rPr>
        <w:t xml:space="preserve"> is termed</w:t>
      </w:r>
      <w:r w:rsidRPr="00313E82" w:rsidDel="007C4208">
        <w:rPr>
          <w:lang w:val="en-US"/>
        </w:rPr>
        <w:t xml:space="preserve"> </w:t>
      </w:r>
      <w:r w:rsidR="00B632E7" w:rsidRPr="00313E82">
        <w:rPr>
          <w:lang w:val="en-US"/>
        </w:rPr>
        <w:t xml:space="preserve">a risk objective, if the </w:t>
      </w:r>
      <w:r w:rsidR="00E924CB" w:rsidRPr="00313E82">
        <w:rPr>
          <w:lang w:val="en-US"/>
        </w:rPr>
        <w:t xml:space="preserve">threshold </w:t>
      </w:r>
      <w:r w:rsidR="00E924CB" w:rsidRPr="00313E82">
        <w:rPr>
          <w:b/>
          <w:u w:val="single"/>
          <w:lang w:val="en-US"/>
        </w:rPr>
        <w:t>should</w:t>
      </w:r>
      <w:r w:rsidR="00E924CB" w:rsidRPr="00313E82">
        <w:rPr>
          <w:lang w:val="en-US"/>
        </w:rPr>
        <w:t xml:space="preserve"> not be exceeded (and otherwise remedial actions are considered). </w:t>
      </w:r>
    </w:p>
    <w:p w:rsidR="004B7BF0" w:rsidRPr="00313E82" w:rsidRDefault="004B7BF0" w:rsidP="009728D3">
      <w:pPr>
        <w:ind w:left="709"/>
        <w:rPr>
          <w:lang w:val="en-US"/>
        </w:rPr>
      </w:pPr>
    </w:p>
    <w:p w:rsidR="007C4208" w:rsidRDefault="007C4208" w:rsidP="007C4208">
      <w:pPr>
        <w:widowControl w:val="0"/>
        <w:autoSpaceDE w:val="0"/>
        <w:autoSpaceDN w:val="0"/>
        <w:adjustRightInd w:val="0"/>
        <w:spacing w:after="240" w:line="240" w:lineRule="auto"/>
        <w:jc w:val="left"/>
        <w:rPr>
          <w:b/>
          <w:u w:val="single"/>
          <w:lang w:val="en-US"/>
        </w:rPr>
      </w:pPr>
      <w:r>
        <w:rPr>
          <w:b/>
          <w:u w:val="single"/>
          <w:lang w:val="en-US"/>
        </w:rPr>
        <w:t>Qualitative Risk Criteria</w:t>
      </w:r>
    </w:p>
    <w:p w:rsidR="007C4208" w:rsidRDefault="007C4208" w:rsidP="007C4208">
      <w:pPr>
        <w:ind w:left="709"/>
        <w:rPr>
          <w:lang w:val="en-US"/>
        </w:rPr>
      </w:pPr>
      <w:r w:rsidRPr="00BA7734">
        <w:rPr>
          <w:lang w:val="en-US"/>
        </w:rPr>
        <w:t>A qualitative risk criteri</w:t>
      </w:r>
      <w:r w:rsidR="00E50FE6">
        <w:rPr>
          <w:lang w:val="en-US"/>
        </w:rPr>
        <w:t>on</w:t>
      </w:r>
      <w:r w:rsidRPr="00BA7734">
        <w:rPr>
          <w:lang w:val="en-US"/>
        </w:rPr>
        <w:t xml:space="preserve"> is associated to general safety objectives without any numerical threshold. </w:t>
      </w:r>
      <w:r>
        <w:rPr>
          <w:lang w:val="en-US"/>
        </w:rPr>
        <w:t xml:space="preserve">Typical examples for </w:t>
      </w:r>
      <w:r w:rsidR="00FE5DB5">
        <w:rPr>
          <w:lang w:val="en-US"/>
        </w:rPr>
        <w:t xml:space="preserve">the </w:t>
      </w:r>
      <w:r>
        <w:rPr>
          <w:lang w:val="en-US"/>
        </w:rPr>
        <w:t>nuclear industry are the following:</w:t>
      </w:r>
    </w:p>
    <w:p w:rsidR="007C4208" w:rsidRDefault="007C4208" w:rsidP="007C4208">
      <w:pPr>
        <w:pStyle w:val="Paragraphedeliste"/>
        <w:numPr>
          <w:ilvl w:val="0"/>
          <w:numId w:val="84"/>
        </w:numPr>
        <w:rPr>
          <w:lang w:val="en-US"/>
        </w:rPr>
      </w:pPr>
      <w:r>
        <w:rPr>
          <w:lang w:val="en-US"/>
        </w:rPr>
        <w:t>t</w:t>
      </w:r>
      <w:r w:rsidRPr="000D44E0">
        <w:rPr>
          <w:lang w:val="en-US"/>
        </w:rPr>
        <w:t>he ALARA approach</w:t>
      </w:r>
      <w:r>
        <w:rPr>
          <w:lang w:val="en-US"/>
        </w:rPr>
        <w:t xml:space="preserve"> : the reduction of risks as far as reasonably achievable ; the background is in general the risk identification, the available technology for its reduction and the costs for risk reduction implementation,</w:t>
      </w:r>
    </w:p>
    <w:p w:rsidR="007C4208" w:rsidRDefault="007C4208" w:rsidP="007C4208">
      <w:pPr>
        <w:pStyle w:val="Paragraphedeliste"/>
        <w:numPr>
          <w:ilvl w:val="0"/>
          <w:numId w:val="84"/>
        </w:numPr>
        <w:rPr>
          <w:lang w:val="en-US"/>
        </w:rPr>
      </w:pPr>
      <w:r>
        <w:rPr>
          <w:lang w:val="en-US"/>
        </w:rPr>
        <w:t>the practical elimination of accidents with consequences that would not be limited in space and</w:t>
      </w:r>
      <w:r w:rsidR="00A604E1">
        <w:rPr>
          <w:lang w:val="en-US"/>
        </w:rPr>
        <w:t>/or in</w:t>
      </w:r>
      <w:r>
        <w:rPr>
          <w:lang w:val="en-US"/>
        </w:rPr>
        <w:t xml:space="preserve"> time.</w:t>
      </w:r>
    </w:p>
    <w:p w:rsidR="00816E64" w:rsidRPr="00313E82" w:rsidRDefault="00816E64" w:rsidP="00816E64">
      <w:pPr>
        <w:pStyle w:val="Titre2"/>
        <w:rPr>
          <w:lang w:val="en-US"/>
        </w:rPr>
      </w:pPr>
      <w:bookmarkStart w:id="40" w:name="_Toc452560333"/>
      <w:bookmarkStart w:id="41" w:name="_Toc452561266"/>
      <w:bookmarkStart w:id="42" w:name="_Toc452561482"/>
      <w:bookmarkStart w:id="43" w:name="_Ref413920411"/>
      <w:bookmarkStart w:id="44" w:name="_Toc474430100"/>
      <w:bookmarkEnd w:id="40"/>
      <w:bookmarkEnd w:id="41"/>
      <w:bookmarkEnd w:id="42"/>
      <w:r w:rsidRPr="00313E82">
        <w:rPr>
          <w:lang w:val="en-US"/>
        </w:rPr>
        <w:t>Risk Metric</w:t>
      </w:r>
      <w:r w:rsidR="00670A67" w:rsidRPr="00313E82">
        <w:rPr>
          <w:lang w:val="en-US"/>
        </w:rPr>
        <w:t xml:space="preserve"> Attributes</w:t>
      </w:r>
      <w:bookmarkEnd w:id="43"/>
      <w:bookmarkEnd w:id="44"/>
    </w:p>
    <w:p w:rsidR="006668D4" w:rsidRPr="00313E82" w:rsidRDefault="009B1B03" w:rsidP="009B1B03">
      <w:pPr>
        <w:rPr>
          <w:lang w:val="en-US"/>
        </w:rPr>
      </w:pPr>
      <w:r w:rsidRPr="00313E82">
        <w:rPr>
          <w:lang w:val="en-US"/>
        </w:rPr>
        <w:t xml:space="preserve">The following discussion largely follows the arguments of Johansen and Rausand </w:t>
      </w:r>
      <w:r w:rsidR="009E768B" w:rsidRPr="007E0C24">
        <w:rPr>
          <w:lang w:val="en-US"/>
        </w:rPr>
        <w:fldChar w:fldCharType="begin"/>
      </w:r>
      <w:r w:rsidRPr="00313E82">
        <w:rPr>
          <w:lang w:val="en-US"/>
        </w:rPr>
        <w:instrText xml:space="preserve"> REF _Ref397429868 \r \h </w:instrText>
      </w:r>
      <w:r w:rsidR="009E768B" w:rsidRPr="007E0C24">
        <w:rPr>
          <w:lang w:val="en-US"/>
        </w:rPr>
      </w:r>
      <w:r w:rsidR="009E768B" w:rsidRPr="007E0C24">
        <w:rPr>
          <w:lang w:val="en-US"/>
        </w:rPr>
        <w:fldChar w:fldCharType="separate"/>
      </w:r>
      <w:r w:rsidR="00B772CA">
        <w:rPr>
          <w:lang w:val="en-US"/>
        </w:rPr>
        <w:t>[31]</w:t>
      </w:r>
      <w:r w:rsidR="009E768B" w:rsidRPr="007E0C24">
        <w:rPr>
          <w:lang w:val="en-US"/>
        </w:rPr>
        <w:fldChar w:fldCharType="end"/>
      </w:r>
      <w:r w:rsidRPr="00313E82">
        <w:rPr>
          <w:lang w:val="en-US"/>
        </w:rPr>
        <w:t xml:space="preserve">, </w:t>
      </w:r>
      <w:r w:rsidR="009E768B" w:rsidRPr="007E0C24">
        <w:rPr>
          <w:lang w:val="en-US"/>
        </w:rPr>
        <w:fldChar w:fldCharType="begin"/>
      </w:r>
      <w:r w:rsidRPr="00313E82">
        <w:rPr>
          <w:lang w:val="en-US"/>
        </w:rPr>
        <w:instrText xml:space="preserve"> REF _Ref396320286 \r \h </w:instrText>
      </w:r>
      <w:r w:rsidR="009E768B" w:rsidRPr="007E0C24">
        <w:rPr>
          <w:lang w:val="en-US"/>
        </w:rPr>
      </w:r>
      <w:r w:rsidR="009E768B" w:rsidRPr="007E0C24">
        <w:rPr>
          <w:lang w:val="en-US"/>
        </w:rPr>
        <w:fldChar w:fldCharType="separate"/>
      </w:r>
      <w:r w:rsidR="00B772CA">
        <w:rPr>
          <w:lang w:val="en-US"/>
        </w:rPr>
        <w:t>[32]</w:t>
      </w:r>
      <w:r w:rsidR="009E768B" w:rsidRPr="007E0C24">
        <w:rPr>
          <w:lang w:val="en-US"/>
        </w:rPr>
        <w:fldChar w:fldCharType="end"/>
      </w:r>
      <w:r w:rsidRPr="00313E82">
        <w:rPr>
          <w:lang w:val="en-US"/>
        </w:rPr>
        <w:t xml:space="preserve">. </w:t>
      </w:r>
      <w:r w:rsidR="006668D4" w:rsidRPr="00313E82">
        <w:rPr>
          <w:lang w:val="en-US"/>
        </w:rPr>
        <w:t>This section defines the desirable attributes for the PSA risk metrics and risk measures.</w:t>
      </w:r>
    </w:p>
    <w:p w:rsidR="006668D4" w:rsidRPr="00313E82" w:rsidRDefault="006668D4" w:rsidP="009B1B03">
      <w:pPr>
        <w:rPr>
          <w:lang w:val="en-US"/>
        </w:rPr>
      </w:pPr>
    </w:p>
    <w:p w:rsidR="008517DE" w:rsidRPr="00313E82" w:rsidRDefault="006668D4" w:rsidP="009B1B03">
      <w:pPr>
        <w:rPr>
          <w:lang w:val="en-US"/>
        </w:rPr>
      </w:pPr>
      <w:r w:rsidRPr="00313E82">
        <w:rPr>
          <w:lang w:val="en-US"/>
        </w:rPr>
        <w:t>T</w:t>
      </w:r>
      <w:r w:rsidR="009B1B03" w:rsidRPr="00313E82">
        <w:rPr>
          <w:lang w:val="en-US"/>
        </w:rPr>
        <w:t>here are quite a lot of risk measures</w:t>
      </w:r>
      <w:r w:rsidR="005000F9" w:rsidRPr="00313E82">
        <w:rPr>
          <w:lang w:val="en-US"/>
        </w:rPr>
        <w:t xml:space="preserve"> (and metrics)</w:t>
      </w:r>
      <w:r w:rsidR="009B1B03" w:rsidRPr="00313E82">
        <w:rPr>
          <w:lang w:val="en-US"/>
        </w:rPr>
        <w:t xml:space="preserve">, which can be used for PSA of NPP, see e.g. IAEA-TECDOC-1511 </w:t>
      </w:r>
      <w:r w:rsidR="009E768B" w:rsidRPr="007E0C24">
        <w:rPr>
          <w:lang w:val="en-US"/>
        </w:rPr>
        <w:fldChar w:fldCharType="begin"/>
      </w:r>
      <w:r w:rsidR="009B1B03" w:rsidRPr="00313E82">
        <w:rPr>
          <w:lang w:val="en-US"/>
        </w:rPr>
        <w:instrText xml:space="preserve"> REF _Ref399743302 \r \h </w:instrText>
      </w:r>
      <w:r w:rsidR="009E768B" w:rsidRPr="007E0C24">
        <w:rPr>
          <w:lang w:val="en-US"/>
        </w:rPr>
      </w:r>
      <w:r w:rsidR="009E768B" w:rsidRPr="007E0C24">
        <w:rPr>
          <w:lang w:val="en-US"/>
        </w:rPr>
        <w:fldChar w:fldCharType="separate"/>
      </w:r>
      <w:r w:rsidR="00B772CA">
        <w:rPr>
          <w:lang w:val="en-US"/>
        </w:rPr>
        <w:t>[65]</w:t>
      </w:r>
      <w:r w:rsidR="009E768B" w:rsidRPr="007E0C24">
        <w:rPr>
          <w:lang w:val="en-US"/>
        </w:rPr>
        <w:fldChar w:fldCharType="end"/>
      </w:r>
      <w:r w:rsidR="009B1B03" w:rsidRPr="00313E82">
        <w:rPr>
          <w:lang w:val="en-US"/>
        </w:rPr>
        <w:t xml:space="preserve">, Appendix I, as well as for PSA applications, see e.g. IAEA-TECDOC-1200 </w:t>
      </w:r>
      <w:r w:rsidR="009E768B" w:rsidRPr="007E0C24">
        <w:rPr>
          <w:lang w:val="en-US"/>
        </w:rPr>
        <w:fldChar w:fldCharType="begin"/>
      </w:r>
      <w:r w:rsidR="009B1B03" w:rsidRPr="00313E82">
        <w:rPr>
          <w:lang w:val="en-US"/>
        </w:rPr>
        <w:instrText xml:space="preserve"> REF _Ref399673357 \w \h </w:instrText>
      </w:r>
      <w:r w:rsidR="009E768B" w:rsidRPr="007E0C24">
        <w:rPr>
          <w:lang w:val="en-US"/>
        </w:rPr>
      </w:r>
      <w:r w:rsidR="009E768B" w:rsidRPr="007E0C24">
        <w:rPr>
          <w:lang w:val="en-US"/>
        </w:rPr>
        <w:fldChar w:fldCharType="separate"/>
      </w:r>
      <w:r w:rsidR="00B772CA">
        <w:rPr>
          <w:lang w:val="en-US"/>
        </w:rPr>
        <w:t>[63]</w:t>
      </w:r>
      <w:r w:rsidR="009E768B" w:rsidRPr="007E0C24">
        <w:rPr>
          <w:lang w:val="en-US"/>
        </w:rPr>
        <w:fldChar w:fldCharType="end"/>
      </w:r>
      <w:r w:rsidR="009B1B03" w:rsidRPr="00313E82">
        <w:rPr>
          <w:lang w:val="en-US"/>
        </w:rPr>
        <w:t xml:space="preserve">. </w:t>
      </w:r>
      <w:r w:rsidR="008517DE" w:rsidRPr="00313E82">
        <w:rPr>
          <w:lang w:val="en-US"/>
        </w:rPr>
        <w:t xml:space="preserve">Risk analysts </w:t>
      </w:r>
      <w:r w:rsidR="009B1B03" w:rsidRPr="00313E82">
        <w:rPr>
          <w:lang w:val="en-US"/>
        </w:rPr>
        <w:t>always consider the risk metric (e.g. a consequence c</w:t>
      </w:r>
      <w:r w:rsidR="009B1B03" w:rsidRPr="00313E82">
        <w:rPr>
          <w:vertAlign w:val="subscript"/>
          <w:lang w:val="en-US"/>
        </w:rPr>
        <w:t>j</w:t>
      </w:r>
      <w:r w:rsidR="009B1B03" w:rsidRPr="00313E82">
        <w:rPr>
          <w:lang w:val="en-US"/>
        </w:rPr>
        <w:t xml:space="preserve">) and the quantification procedure (i.e. the measure function μ). </w:t>
      </w:r>
    </w:p>
    <w:p w:rsidR="008517DE" w:rsidRPr="00313E82" w:rsidRDefault="008517DE" w:rsidP="009B1B03">
      <w:pPr>
        <w:rPr>
          <w:lang w:val="en-US"/>
        </w:rPr>
      </w:pPr>
    </w:p>
    <w:p w:rsidR="009B1B03" w:rsidRPr="00313E82" w:rsidRDefault="008517DE" w:rsidP="009B1B03">
      <w:pPr>
        <w:rPr>
          <w:lang w:val="en-US"/>
        </w:rPr>
      </w:pPr>
      <w:r w:rsidRPr="00313E82">
        <w:rPr>
          <w:lang w:val="en-US"/>
        </w:rPr>
        <w:t>For the purpose of this report, evalu</w:t>
      </w:r>
      <w:r w:rsidR="005000F9" w:rsidRPr="00313E82">
        <w:rPr>
          <w:lang w:val="en-US"/>
        </w:rPr>
        <w:t>a</w:t>
      </w:r>
      <w:r w:rsidRPr="00313E82">
        <w:rPr>
          <w:lang w:val="en-US"/>
        </w:rPr>
        <w:t xml:space="preserve">tion criteria </w:t>
      </w:r>
      <w:r w:rsidR="00677791">
        <w:rPr>
          <w:lang w:val="en-US"/>
        </w:rPr>
        <w:t xml:space="preserve">of </w:t>
      </w:r>
      <w:r w:rsidR="00677791" w:rsidRPr="00313E82">
        <w:rPr>
          <w:lang w:val="en-US"/>
        </w:rPr>
        <w:t>risk measure</w:t>
      </w:r>
      <w:r w:rsidR="00677791">
        <w:rPr>
          <w:lang w:val="en-US"/>
        </w:rPr>
        <w:t>s</w:t>
      </w:r>
      <w:r w:rsidR="00677791" w:rsidRPr="00313E82">
        <w:rPr>
          <w:lang w:val="en-US"/>
        </w:rPr>
        <w:t xml:space="preserve"> </w:t>
      </w:r>
      <w:r w:rsidR="00677791">
        <w:rPr>
          <w:lang w:val="en-US"/>
        </w:rPr>
        <w:t xml:space="preserve">are used </w:t>
      </w:r>
      <w:r w:rsidRPr="00313E82">
        <w:rPr>
          <w:lang w:val="en-US"/>
        </w:rPr>
        <w:t xml:space="preserve">as defined in </w:t>
      </w:r>
      <w:r w:rsidR="009E768B" w:rsidRPr="007E0C24">
        <w:rPr>
          <w:lang w:val="en-US"/>
        </w:rPr>
        <w:fldChar w:fldCharType="begin"/>
      </w:r>
      <w:r w:rsidRPr="00313E82">
        <w:rPr>
          <w:lang w:val="en-US"/>
        </w:rPr>
        <w:instrText xml:space="preserve"> REF _Ref397429868 \r \h </w:instrText>
      </w:r>
      <w:r w:rsidR="009E768B" w:rsidRPr="007E0C24">
        <w:rPr>
          <w:lang w:val="en-US"/>
        </w:rPr>
      </w:r>
      <w:r w:rsidR="009E768B" w:rsidRPr="007E0C24">
        <w:rPr>
          <w:lang w:val="en-US"/>
        </w:rPr>
        <w:fldChar w:fldCharType="separate"/>
      </w:r>
      <w:r w:rsidR="00B772CA">
        <w:rPr>
          <w:lang w:val="en-US"/>
        </w:rPr>
        <w:t>[31]</w:t>
      </w:r>
      <w:r w:rsidR="009E768B" w:rsidRPr="007E0C24">
        <w:rPr>
          <w:lang w:val="en-US"/>
        </w:rPr>
        <w:fldChar w:fldCharType="end"/>
      </w:r>
      <w:r w:rsidRPr="00313E82">
        <w:rPr>
          <w:lang w:val="en-US"/>
        </w:rPr>
        <w:t xml:space="preserve">, </w:t>
      </w:r>
      <w:r w:rsidR="009E768B" w:rsidRPr="007E0C24">
        <w:rPr>
          <w:lang w:val="en-US"/>
        </w:rPr>
        <w:fldChar w:fldCharType="begin"/>
      </w:r>
      <w:r w:rsidRPr="00313E82">
        <w:rPr>
          <w:lang w:val="en-US"/>
        </w:rPr>
        <w:instrText xml:space="preserve"> REF _Ref396320286 \r \h </w:instrText>
      </w:r>
      <w:r w:rsidR="009E768B" w:rsidRPr="007E0C24">
        <w:rPr>
          <w:lang w:val="en-US"/>
        </w:rPr>
      </w:r>
      <w:r w:rsidR="009E768B" w:rsidRPr="007E0C24">
        <w:rPr>
          <w:lang w:val="en-US"/>
        </w:rPr>
        <w:fldChar w:fldCharType="separate"/>
      </w:r>
      <w:r w:rsidR="00B772CA">
        <w:rPr>
          <w:lang w:val="en-US"/>
        </w:rPr>
        <w:t>[32]</w:t>
      </w:r>
      <w:r w:rsidR="009E768B" w:rsidRPr="007E0C24">
        <w:rPr>
          <w:lang w:val="en-US"/>
        </w:rPr>
        <w:fldChar w:fldCharType="end"/>
      </w:r>
      <w:r w:rsidRPr="00313E82">
        <w:rPr>
          <w:lang w:val="en-US"/>
        </w:rPr>
        <w:t xml:space="preserve"> and their application are discussed as follows: </w:t>
      </w:r>
    </w:p>
    <w:p w:rsidR="009B1B03" w:rsidRPr="00313E82" w:rsidRDefault="009B1B03" w:rsidP="003C4228">
      <w:pPr>
        <w:pStyle w:val="Paragraphedeliste"/>
        <w:numPr>
          <w:ilvl w:val="0"/>
          <w:numId w:val="11"/>
        </w:numPr>
        <w:rPr>
          <w:lang w:val="en-US"/>
        </w:rPr>
      </w:pPr>
      <w:r w:rsidRPr="00313E82">
        <w:rPr>
          <w:lang w:val="en-US"/>
        </w:rPr>
        <w:lastRenderedPageBreak/>
        <w:t>Validity</w:t>
      </w:r>
      <w:r w:rsidRPr="00313E82">
        <w:rPr>
          <w:lang w:val="en-US"/>
        </w:rPr>
        <w:br/>
        <w:t xml:space="preserve">Validity describes whether the risk </w:t>
      </w:r>
      <w:r w:rsidR="005000F9" w:rsidRPr="00313E82">
        <w:rPr>
          <w:lang w:val="en-US"/>
        </w:rPr>
        <w:t xml:space="preserve">measure </w:t>
      </w:r>
      <w:r w:rsidRPr="00313E82">
        <w:rPr>
          <w:lang w:val="en-US"/>
        </w:rPr>
        <w:t>is in line with the assumptions made and the calculat</w:t>
      </w:r>
      <w:r w:rsidR="00E50FE6">
        <w:rPr>
          <w:lang w:val="en-US"/>
        </w:rPr>
        <w:t>ion</w:t>
      </w:r>
      <w:r w:rsidRPr="00313E82">
        <w:rPr>
          <w:lang w:val="en-US"/>
        </w:rPr>
        <w:t xml:space="preserve"> approach applied in the risk model (predictive validity), and if the risk metric adequately reflects an aspect of the analysed risk and provides relevant information for decisions on risk (content validity). For the latter, an agreement of decision makers and stakeholders would be necessary </w:t>
      </w:r>
      <w:r w:rsidR="009E768B" w:rsidRPr="007E0C24">
        <w:rPr>
          <w:lang w:val="en-US"/>
        </w:rPr>
        <w:fldChar w:fldCharType="begin"/>
      </w:r>
      <w:r w:rsidRPr="00313E82">
        <w:rPr>
          <w:lang w:val="en-US"/>
        </w:rPr>
        <w:instrText xml:space="preserve"> REF _Ref396320286 \r \h </w:instrText>
      </w:r>
      <w:r w:rsidR="009E768B" w:rsidRPr="007E0C24">
        <w:rPr>
          <w:lang w:val="en-US"/>
        </w:rPr>
      </w:r>
      <w:r w:rsidR="009E768B" w:rsidRPr="007E0C24">
        <w:rPr>
          <w:lang w:val="en-US"/>
        </w:rPr>
        <w:fldChar w:fldCharType="separate"/>
      </w:r>
      <w:r w:rsidR="00B772CA">
        <w:rPr>
          <w:lang w:val="en-US"/>
        </w:rPr>
        <w:t>[32]</w:t>
      </w:r>
      <w:r w:rsidR="009E768B" w:rsidRPr="007E0C24">
        <w:rPr>
          <w:lang w:val="en-US"/>
        </w:rPr>
        <w:fldChar w:fldCharType="end"/>
      </w:r>
      <w:r w:rsidRPr="00313E82">
        <w:rPr>
          <w:lang w:val="en-US"/>
        </w:rPr>
        <w:t xml:space="preserve">. Obviously, this cannot be achieved within this report. Instead, the </w:t>
      </w:r>
      <w:r w:rsidR="00621F48">
        <w:rPr>
          <w:lang w:val="en-US"/>
        </w:rPr>
        <w:t>report</w:t>
      </w:r>
      <w:r w:rsidR="00621F48" w:rsidRPr="00313E82">
        <w:rPr>
          <w:lang w:val="en-US"/>
        </w:rPr>
        <w:t xml:space="preserve"> </w:t>
      </w:r>
      <w:r w:rsidRPr="00313E82">
        <w:rPr>
          <w:lang w:val="en-US"/>
        </w:rPr>
        <w:t xml:space="preserve">will </w:t>
      </w:r>
      <w:r w:rsidR="00621F48">
        <w:rPr>
          <w:lang w:val="en-US"/>
        </w:rPr>
        <w:t>provide an</w:t>
      </w:r>
      <w:r w:rsidR="00621F48" w:rsidRPr="00313E82">
        <w:rPr>
          <w:lang w:val="en-US"/>
        </w:rPr>
        <w:t xml:space="preserve"> </w:t>
      </w:r>
      <w:r w:rsidRPr="00313E82">
        <w:rPr>
          <w:lang w:val="en-US"/>
        </w:rPr>
        <w:t xml:space="preserve">opinion on the validity of investigated PSA risk </w:t>
      </w:r>
      <w:r w:rsidR="005000F9" w:rsidRPr="00313E82">
        <w:rPr>
          <w:lang w:val="en-US"/>
        </w:rPr>
        <w:t xml:space="preserve">measures </w:t>
      </w:r>
      <w:r w:rsidRPr="00313E82">
        <w:rPr>
          <w:lang w:val="en-US"/>
        </w:rPr>
        <w:t>for certain purposes (cf. contextuality</w:t>
      </w:r>
      <w:r w:rsidR="00E60880" w:rsidRPr="00313E82">
        <w:rPr>
          <w:lang w:val="en-US"/>
        </w:rPr>
        <w:t xml:space="preserve"> and acceptability</w:t>
      </w:r>
      <w:r w:rsidRPr="00313E82">
        <w:rPr>
          <w:lang w:val="en-US"/>
        </w:rPr>
        <w:t xml:space="preserve">). </w:t>
      </w:r>
    </w:p>
    <w:p w:rsidR="009B1B03" w:rsidRPr="00313E82" w:rsidRDefault="009B1B03" w:rsidP="003C4228">
      <w:pPr>
        <w:pStyle w:val="Paragraphedeliste"/>
        <w:numPr>
          <w:ilvl w:val="0"/>
          <w:numId w:val="11"/>
        </w:numPr>
        <w:rPr>
          <w:lang w:val="en-US"/>
        </w:rPr>
      </w:pPr>
      <w:r w:rsidRPr="00313E82">
        <w:rPr>
          <w:lang w:val="en-US"/>
        </w:rPr>
        <w:t>Reliability</w:t>
      </w:r>
      <w:r w:rsidRPr="00313E82">
        <w:rPr>
          <w:lang w:val="en-US"/>
        </w:rPr>
        <w:br/>
        <w:t xml:space="preserve">Reliability describes if the risk </w:t>
      </w:r>
      <w:r w:rsidR="005000F9" w:rsidRPr="00313E82">
        <w:rPr>
          <w:lang w:val="en-US"/>
        </w:rPr>
        <w:t xml:space="preserve">measure </w:t>
      </w:r>
      <w:r w:rsidRPr="00313E82">
        <w:rPr>
          <w:lang w:val="en-US"/>
        </w:rPr>
        <w:t>(</w:t>
      </w:r>
      <w:r w:rsidR="005000F9" w:rsidRPr="00313E82">
        <w:rPr>
          <w:lang w:val="en-US"/>
        </w:rPr>
        <w:t>risk</w:t>
      </w:r>
      <w:r w:rsidRPr="00313E82">
        <w:rPr>
          <w:lang w:val="en-US"/>
        </w:rPr>
        <w:t xml:space="preserve"> </w:t>
      </w:r>
      <w:r w:rsidR="005000F9" w:rsidRPr="00313E82">
        <w:rPr>
          <w:lang w:val="en-US"/>
        </w:rPr>
        <w:t>metric</w:t>
      </w:r>
      <w:r w:rsidRPr="00313E82">
        <w:rPr>
          <w:lang w:val="en-US"/>
        </w:rPr>
        <w:t xml:space="preserve">) is clearly defined and if its relation to the risk analysis is explicit and adequate. Moreover, reliability entails that the risk metric </w:t>
      </w:r>
      <w:r w:rsidR="005000F9" w:rsidRPr="00313E82">
        <w:rPr>
          <w:lang w:val="en-US"/>
        </w:rPr>
        <w:t xml:space="preserve">and risk measure </w:t>
      </w:r>
      <w:r w:rsidRPr="00313E82">
        <w:rPr>
          <w:lang w:val="en-US"/>
        </w:rPr>
        <w:t xml:space="preserve">allow for reproducible results (in the sense that two analysts with the same objectives, methodology, data, and assumptions will be able to come up with the consistent results </w:t>
      </w:r>
      <w:r w:rsidR="009E768B" w:rsidRPr="007E0C24">
        <w:rPr>
          <w:lang w:val="en-US"/>
        </w:rPr>
        <w:fldChar w:fldCharType="begin"/>
      </w:r>
      <w:r w:rsidRPr="00313E82">
        <w:rPr>
          <w:lang w:val="en-US"/>
        </w:rPr>
        <w:instrText xml:space="preserve"> REF _Ref396320286 \r \h </w:instrText>
      </w:r>
      <w:r w:rsidR="009E768B" w:rsidRPr="007E0C24">
        <w:rPr>
          <w:lang w:val="en-US"/>
        </w:rPr>
      </w:r>
      <w:r w:rsidR="009E768B" w:rsidRPr="007E0C24">
        <w:rPr>
          <w:lang w:val="en-US"/>
        </w:rPr>
        <w:fldChar w:fldCharType="separate"/>
      </w:r>
      <w:r w:rsidR="00B772CA">
        <w:rPr>
          <w:lang w:val="en-US"/>
        </w:rPr>
        <w:t>[32]</w:t>
      </w:r>
      <w:r w:rsidR="009E768B" w:rsidRPr="007E0C24">
        <w:rPr>
          <w:lang w:val="en-US"/>
        </w:rPr>
        <w:fldChar w:fldCharType="end"/>
      </w:r>
      <w:r w:rsidR="006668D4" w:rsidRPr="00313E82">
        <w:rPr>
          <w:lang w:val="en-US"/>
        </w:rPr>
        <w:t>)</w:t>
      </w:r>
      <w:r w:rsidRPr="00313E82">
        <w:rPr>
          <w:lang w:val="en-US"/>
        </w:rPr>
        <w:t xml:space="preserve">. </w:t>
      </w:r>
    </w:p>
    <w:p w:rsidR="009B1B03" w:rsidRPr="00667C6C" w:rsidRDefault="009B1B03" w:rsidP="00667C6C">
      <w:pPr>
        <w:pStyle w:val="Paragraphedeliste"/>
        <w:numPr>
          <w:ilvl w:val="0"/>
          <w:numId w:val="11"/>
        </w:numPr>
        <w:ind w:left="709"/>
        <w:rPr>
          <w:lang w:val="en-US"/>
        </w:rPr>
      </w:pPr>
      <w:r w:rsidRPr="00667C6C">
        <w:rPr>
          <w:lang w:val="en-US"/>
        </w:rPr>
        <w:t>Transparency</w:t>
      </w:r>
      <w:r w:rsidR="00C76A40" w:rsidRPr="00667C6C">
        <w:rPr>
          <w:lang w:val="en-US"/>
        </w:rPr>
        <w:t xml:space="preserve"> </w:t>
      </w:r>
      <w:r w:rsidRPr="00667C6C">
        <w:rPr>
          <w:lang w:val="en-US"/>
        </w:rPr>
        <w:t xml:space="preserve">Transparency according to </w:t>
      </w:r>
      <w:r w:rsidR="009E768B" w:rsidRPr="00667C6C">
        <w:rPr>
          <w:lang w:val="en-US"/>
        </w:rPr>
        <w:fldChar w:fldCharType="begin"/>
      </w:r>
      <w:r w:rsidRPr="00667C6C">
        <w:rPr>
          <w:lang w:val="en-US"/>
        </w:rPr>
        <w:instrText xml:space="preserve"> REF _Ref396320286 \r \h </w:instrText>
      </w:r>
      <w:r w:rsidR="009E768B" w:rsidRPr="00667C6C">
        <w:rPr>
          <w:lang w:val="en-US"/>
        </w:rPr>
      </w:r>
      <w:r w:rsidR="009E768B" w:rsidRPr="00667C6C">
        <w:rPr>
          <w:lang w:val="en-US"/>
        </w:rPr>
        <w:fldChar w:fldCharType="separate"/>
      </w:r>
      <w:r w:rsidR="00B772CA">
        <w:rPr>
          <w:lang w:val="en-US"/>
        </w:rPr>
        <w:t>[32]</w:t>
      </w:r>
      <w:r w:rsidR="009E768B" w:rsidRPr="00667C6C">
        <w:rPr>
          <w:lang w:val="en-US"/>
        </w:rPr>
        <w:fldChar w:fldCharType="end"/>
      </w:r>
      <w:r w:rsidRPr="00667C6C">
        <w:rPr>
          <w:lang w:val="en-US"/>
        </w:rPr>
        <w:t xml:space="preserve"> means that the basis and rationale of a risk </w:t>
      </w:r>
      <w:r w:rsidR="005000F9" w:rsidRPr="00667C6C">
        <w:rPr>
          <w:lang w:val="en-US"/>
        </w:rPr>
        <w:t xml:space="preserve">measure </w:t>
      </w:r>
      <w:r w:rsidRPr="00667C6C">
        <w:rPr>
          <w:lang w:val="en-US"/>
        </w:rPr>
        <w:t xml:space="preserve">is clear and traceable for decision makers and stakeholders, if it is justified, and if the risk </w:t>
      </w:r>
      <w:r w:rsidR="005000F9" w:rsidRPr="00667C6C">
        <w:rPr>
          <w:lang w:val="en-US"/>
        </w:rPr>
        <w:t xml:space="preserve">measure </w:t>
      </w:r>
      <w:r w:rsidRPr="00667C6C">
        <w:rPr>
          <w:lang w:val="en-US"/>
        </w:rPr>
        <w:t xml:space="preserve">can contribute to the decision (cf. validity). Particularly, traceability entails the inclusion of judgements related to risk aversion or to risk acceptance (value judgement). For this report, investigations of all the aforementioned aspects of transparency are clearly out of scope. Instead, the </w:t>
      </w:r>
      <w:r w:rsidR="00D873A7" w:rsidRPr="00667C6C">
        <w:rPr>
          <w:lang w:val="en-US"/>
        </w:rPr>
        <w:t xml:space="preserve">report </w:t>
      </w:r>
      <w:r w:rsidRPr="00667C6C">
        <w:rPr>
          <w:lang w:val="en-US"/>
        </w:rPr>
        <w:t xml:space="preserve">will give </w:t>
      </w:r>
      <w:r w:rsidR="00D873A7" w:rsidRPr="00667C6C">
        <w:rPr>
          <w:lang w:val="en-US"/>
        </w:rPr>
        <w:t xml:space="preserve">an </w:t>
      </w:r>
      <w:r w:rsidRPr="00667C6C">
        <w:rPr>
          <w:lang w:val="en-US"/>
        </w:rPr>
        <w:t xml:space="preserve">opinion on the rationale and justification of a risk measure from a technical point of view. Moreover, risk </w:t>
      </w:r>
      <w:r w:rsidR="005000F9" w:rsidRPr="00667C6C">
        <w:rPr>
          <w:lang w:val="en-US"/>
        </w:rPr>
        <w:t xml:space="preserve">measures </w:t>
      </w:r>
      <w:r w:rsidRPr="00667C6C">
        <w:rPr>
          <w:lang w:val="en-US"/>
        </w:rPr>
        <w:t>will be evaluated whether they are risk-neutral, risk-averse or risk-accepting. In line with the assumptions of this report, risk measures that are judged to be risk-neutral</w:t>
      </w:r>
      <w:r w:rsidR="00D873A7" w:rsidRPr="00667C6C">
        <w:rPr>
          <w:lang w:val="en-US"/>
        </w:rPr>
        <w:t xml:space="preserve"> will be recommended</w:t>
      </w:r>
      <w:r w:rsidRPr="00667C6C">
        <w:rPr>
          <w:lang w:val="en-US"/>
        </w:rPr>
        <w:t>.</w:t>
      </w:r>
      <w:r w:rsidR="00E60880" w:rsidRPr="00667C6C">
        <w:rPr>
          <w:lang w:val="en-US"/>
        </w:rPr>
        <w:t xml:space="preserve"> For this report, transparency is an aspect of reliability, whereas risk aggregation properties of risk measures are discussed separately</w:t>
      </w:r>
      <w:r w:rsidR="00AE75F7" w:rsidRPr="00667C6C">
        <w:rPr>
          <w:lang w:val="en-US"/>
        </w:rPr>
        <w:t>.</w:t>
      </w:r>
    </w:p>
    <w:p w:rsidR="00C76A40" w:rsidRDefault="00353C46" w:rsidP="003C4228">
      <w:pPr>
        <w:pStyle w:val="Paragraphedeliste"/>
        <w:numPr>
          <w:ilvl w:val="0"/>
          <w:numId w:val="11"/>
        </w:numPr>
        <w:rPr>
          <w:lang w:val="en-US"/>
        </w:rPr>
      </w:pPr>
      <w:r w:rsidRPr="00313E82">
        <w:rPr>
          <w:lang w:val="en-US"/>
        </w:rPr>
        <w:t>Unambiguity</w:t>
      </w:r>
      <w:r w:rsidR="00C76A40">
        <w:rPr>
          <w:lang w:val="en-US"/>
        </w:rPr>
        <w:t xml:space="preserve"> </w:t>
      </w:r>
    </w:p>
    <w:p w:rsidR="009B1B03" w:rsidRPr="00313E82" w:rsidRDefault="00353C46" w:rsidP="00A73F32">
      <w:pPr>
        <w:ind w:left="709"/>
        <w:rPr>
          <w:lang w:val="en-US"/>
        </w:rPr>
      </w:pPr>
      <w:r w:rsidRPr="00313E82">
        <w:rPr>
          <w:lang w:val="en-US"/>
        </w:rPr>
        <w:t xml:space="preserve">Unambiguity </w:t>
      </w:r>
      <w:r w:rsidR="009B1B03" w:rsidRPr="00313E82">
        <w:rPr>
          <w:lang w:val="en-US"/>
        </w:rPr>
        <w:t xml:space="preserve">entails according to </w:t>
      </w:r>
      <w:r w:rsidR="009E768B" w:rsidRPr="007E0C24">
        <w:rPr>
          <w:lang w:val="en-US"/>
        </w:rPr>
        <w:fldChar w:fldCharType="begin"/>
      </w:r>
      <w:r w:rsidR="009B1B03" w:rsidRPr="00313E82">
        <w:rPr>
          <w:lang w:val="en-US"/>
        </w:rPr>
        <w:instrText xml:space="preserve"> REF _Ref396320286 \r \h </w:instrText>
      </w:r>
      <w:r w:rsidR="009E768B" w:rsidRPr="007E0C24">
        <w:rPr>
          <w:lang w:val="en-US"/>
        </w:rPr>
      </w:r>
      <w:r w:rsidR="009E768B" w:rsidRPr="007E0C24">
        <w:rPr>
          <w:lang w:val="en-US"/>
        </w:rPr>
        <w:fldChar w:fldCharType="separate"/>
      </w:r>
      <w:r w:rsidR="00B772CA">
        <w:rPr>
          <w:lang w:val="en-US"/>
        </w:rPr>
        <w:t>[32]</w:t>
      </w:r>
      <w:r w:rsidR="009E768B" w:rsidRPr="007E0C24">
        <w:rPr>
          <w:lang w:val="en-US"/>
        </w:rPr>
        <w:fldChar w:fldCharType="end"/>
      </w:r>
      <w:r w:rsidR="009B1B03" w:rsidRPr="00313E82">
        <w:rPr>
          <w:lang w:val="en-US"/>
        </w:rPr>
        <w:t xml:space="preserve"> the precise definition and delimitation of a risk </w:t>
      </w:r>
      <w:r w:rsidR="005000F9" w:rsidRPr="00313E82">
        <w:rPr>
          <w:lang w:val="en-US"/>
        </w:rPr>
        <w:t>measure</w:t>
      </w:r>
      <w:r w:rsidR="009B1B03" w:rsidRPr="00313E82">
        <w:rPr>
          <w:lang w:val="en-US"/>
        </w:rPr>
        <w:t xml:space="preserve">, a clear interpretation for the risk measure results as well as an adequate approach for risk aggregation regarding the risk </w:t>
      </w:r>
      <w:r w:rsidR="005000F9" w:rsidRPr="00313E82">
        <w:rPr>
          <w:lang w:val="en-US"/>
        </w:rPr>
        <w:t>measure</w:t>
      </w:r>
      <w:r w:rsidR="009B1B03" w:rsidRPr="00313E82">
        <w:rPr>
          <w:lang w:val="en-US"/>
        </w:rPr>
        <w:t xml:space="preserve">. For the purpose of this report, former aspects are included into the aspects of validity and reliability. With regard to risk aggregation, the aggregation of risk over e.g. consequences necessitates the definition of a new (aggregate) risk metric and the selection of a suitable risk measure. Therefore, risk </w:t>
      </w:r>
      <w:r w:rsidR="005000F9" w:rsidRPr="00313E82">
        <w:rPr>
          <w:lang w:val="en-US"/>
        </w:rPr>
        <w:t xml:space="preserve">measures </w:t>
      </w:r>
      <w:r w:rsidR="009B1B03" w:rsidRPr="00313E82">
        <w:rPr>
          <w:lang w:val="en-US"/>
        </w:rPr>
        <w:t>will be checked for their risk aggregation properties; suitable risk aggregation metrics will be recommended, which are judged to be risk-neutral.</w:t>
      </w:r>
    </w:p>
    <w:p w:rsidR="00C76A40" w:rsidRDefault="009B1B03" w:rsidP="003C4228">
      <w:pPr>
        <w:pStyle w:val="Paragraphedeliste"/>
        <w:numPr>
          <w:ilvl w:val="0"/>
          <w:numId w:val="11"/>
        </w:numPr>
        <w:rPr>
          <w:lang w:val="en-US"/>
        </w:rPr>
      </w:pPr>
      <w:r w:rsidRPr="00313E82">
        <w:rPr>
          <w:lang w:val="en-US"/>
        </w:rPr>
        <w:t>Contextuality</w:t>
      </w:r>
    </w:p>
    <w:p w:rsidR="009B1B03" w:rsidRPr="00313E82" w:rsidRDefault="009B1B03" w:rsidP="00A73F32">
      <w:pPr>
        <w:ind w:left="709"/>
        <w:rPr>
          <w:lang w:val="en-US"/>
        </w:rPr>
      </w:pPr>
      <w:r w:rsidRPr="00313E82">
        <w:rPr>
          <w:lang w:val="en-US"/>
        </w:rPr>
        <w:t xml:space="preserve">Contextuality is defined in </w:t>
      </w:r>
      <w:r w:rsidR="009E768B" w:rsidRPr="007E0C24">
        <w:rPr>
          <w:lang w:val="en-US"/>
        </w:rPr>
        <w:fldChar w:fldCharType="begin"/>
      </w:r>
      <w:r w:rsidRPr="00313E82">
        <w:rPr>
          <w:lang w:val="en-US"/>
        </w:rPr>
        <w:instrText xml:space="preserve"> REF _Ref396320286 \r \h </w:instrText>
      </w:r>
      <w:r w:rsidR="009E768B" w:rsidRPr="007E0C24">
        <w:rPr>
          <w:lang w:val="en-US"/>
        </w:rPr>
      </w:r>
      <w:r w:rsidR="009E768B" w:rsidRPr="007E0C24">
        <w:rPr>
          <w:lang w:val="en-US"/>
        </w:rPr>
        <w:fldChar w:fldCharType="separate"/>
      </w:r>
      <w:r w:rsidR="00B772CA">
        <w:rPr>
          <w:lang w:val="en-US"/>
        </w:rPr>
        <w:t>[32]</w:t>
      </w:r>
      <w:r w:rsidR="009E768B" w:rsidRPr="007E0C24">
        <w:rPr>
          <w:lang w:val="en-US"/>
        </w:rPr>
        <w:fldChar w:fldCharType="end"/>
      </w:r>
      <w:r w:rsidRPr="00313E82">
        <w:rPr>
          <w:lang w:val="en-US"/>
        </w:rPr>
        <w:t xml:space="preserve"> as suitability for decision support. For the purpose of this report, this criterion is an aspect of the validity of a risk metric (see above).</w:t>
      </w:r>
    </w:p>
    <w:p w:rsidR="00C76A40" w:rsidRDefault="009B1B03" w:rsidP="003C4228">
      <w:pPr>
        <w:pStyle w:val="Paragraphedeliste"/>
        <w:numPr>
          <w:ilvl w:val="0"/>
          <w:numId w:val="11"/>
        </w:numPr>
        <w:rPr>
          <w:lang w:val="en-US"/>
        </w:rPr>
      </w:pPr>
      <w:r w:rsidRPr="00313E82">
        <w:rPr>
          <w:lang w:val="en-US"/>
        </w:rPr>
        <w:t>Communicability</w:t>
      </w:r>
      <w:r w:rsidR="00C76A40">
        <w:rPr>
          <w:lang w:val="en-US"/>
        </w:rPr>
        <w:t xml:space="preserve"> (Out </w:t>
      </w:r>
      <w:r w:rsidR="0007271C">
        <w:rPr>
          <w:lang w:val="en-US"/>
        </w:rPr>
        <w:t>of the scope of the present report)</w:t>
      </w:r>
    </w:p>
    <w:p w:rsidR="009B1B03" w:rsidRPr="00313E82" w:rsidRDefault="009B1B03" w:rsidP="00A73F32">
      <w:pPr>
        <w:ind w:left="709"/>
        <w:rPr>
          <w:lang w:val="en-US"/>
        </w:rPr>
      </w:pPr>
      <w:r w:rsidRPr="00313E82">
        <w:rPr>
          <w:lang w:val="en-US"/>
        </w:rPr>
        <w:t xml:space="preserve">Communicability is understood in </w:t>
      </w:r>
      <w:r w:rsidR="009E768B" w:rsidRPr="007E0C24">
        <w:rPr>
          <w:lang w:val="en-US"/>
        </w:rPr>
        <w:fldChar w:fldCharType="begin"/>
      </w:r>
      <w:r w:rsidRPr="00313E82">
        <w:rPr>
          <w:lang w:val="en-US"/>
        </w:rPr>
        <w:instrText xml:space="preserve"> REF _Ref396320286 \r \h </w:instrText>
      </w:r>
      <w:r w:rsidR="009E768B" w:rsidRPr="007E0C24">
        <w:rPr>
          <w:lang w:val="en-US"/>
        </w:rPr>
      </w:r>
      <w:r w:rsidR="009E768B" w:rsidRPr="007E0C24">
        <w:rPr>
          <w:lang w:val="en-US"/>
        </w:rPr>
        <w:fldChar w:fldCharType="separate"/>
      </w:r>
      <w:r w:rsidR="00B772CA">
        <w:rPr>
          <w:lang w:val="en-US"/>
        </w:rPr>
        <w:t>[32]</w:t>
      </w:r>
      <w:r w:rsidR="009E768B" w:rsidRPr="007E0C24">
        <w:rPr>
          <w:lang w:val="en-US"/>
        </w:rPr>
        <w:fldChar w:fldCharType="end"/>
      </w:r>
      <w:r w:rsidRPr="00313E82">
        <w:rPr>
          <w:lang w:val="en-US"/>
        </w:rPr>
        <w:t xml:space="preserve"> as the understandability of a risk </w:t>
      </w:r>
      <w:r w:rsidR="005000F9" w:rsidRPr="00313E82">
        <w:rPr>
          <w:lang w:val="en-US"/>
        </w:rPr>
        <w:t xml:space="preserve">measure </w:t>
      </w:r>
      <w:r w:rsidRPr="00313E82">
        <w:rPr>
          <w:lang w:val="en-US"/>
        </w:rPr>
        <w:t xml:space="preserve">for non-experts. As explained above, risk communication issues are out of scope for this report. The discussion in this report will be limited to the </w:t>
      </w:r>
      <w:r w:rsidR="005000F9" w:rsidRPr="00313E82">
        <w:rPr>
          <w:lang w:val="en-US"/>
        </w:rPr>
        <w:t xml:space="preserve">understandability </w:t>
      </w:r>
      <w:r w:rsidRPr="00313E82">
        <w:rPr>
          <w:lang w:val="en-US"/>
        </w:rPr>
        <w:t xml:space="preserve">of risk </w:t>
      </w:r>
      <w:r w:rsidR="005000F9" w:rsidRPr="00313E82">
        <w:rPr>
          <w:lang w:val="en-US"/>
        </w:rPr>
        <w:t xml:space="preserve">measures </w:t>
      </w:r>
      <w:r w:rsidRPr="00313E82">
        <w:rPr>
          <w:lang w:val="en-US"/>
        </w:rPr>
        <w:t>to the PSA community. This is already covered with the aspects of validity and reliability.</w:t>
      </w:r>
    </w:p>
    <w:p w:rsidR="009B1B03" w:rsidRPr="00313E82" w:rsidRDefault="009B1B03" w:rsidP="003C4228">
      <w:pPr>
        <w:pStyle w:val="Paragraphedeliste"/>
        <w:numPr>
          <w:ilvl w:val="0"/>
          <w:numId w:val="11"/>
        </w:numPr>
        <w:rPr>
          <w:lang w:val="en-US"/>
        </w:rPr>
      </w:pPr>
      <w:r w:rsidRPr="00313E82">
        <w:rPr>
          <w:lang w:val="en-US"/>
        </w:rPr>
        <w:lastRenderedPageBreak/>
        <w:t>Consistency</w:t>
      </w:r>
      <w:r w:rsidRPr="00313E82">
        <w:rPr>
          <w:lang w:val="en-US"/>
        </w:rPr>
        <w:br/>
        <w:t xml:space="preserve">Consistency is interpreted in </w:t>
      </w:r>
      <w:r w:rsidR="009E768B" w:rsidRPr="007E0C24">
        <w:rPr>
          <w:lang w:val="en-US"/>
        </w:rPr>
        <w:fldChar w:fldCharType="begin"/>
      </w:r>
      <w:r w:rsidRPr="00313E82">
        <w:rPr>
          <w:lang w:val="en-US"/>
        </w:rPr>
        <w:instrText xml:space="preserve"> REF _Ref396320286 \r \h </w:instrText>
      </w:r>
      <w:r w:rsidR="009E768B" w:rsidRPr="007E0C24">
        <w:rPr>
          <w:lang w:val="en-US"/>
        </w:rPr>
      </w:r>
      <w:r w:rsidR="009E768B" w:rsidRPr="007E0C24">
        <w:rPr>
          <w:lang w:val="en-US"/>
        </w:rPr>
        <w:fldChar w:fldCharType="separate"/>
      </w:r>
      <w:r w:rsidR="00B772CA">
        <w:rPr>
          <w:lang w:val="en-US"/>
        </w:rPr>
        <w:t>[32]</w:t>
      </w:r>
      <w:r w:rsidR="009E768B" w:rsidRPr="007E0C24">
        <w:rPr>
          <w:lang w:val="en-US"/>
        </w:rPr>
        <w:fldChar w:fldCharType="end"/>
      </w:r>
      <w:r w:rsidRPr="00313E82">
        <w:rPr>
          <w:lang w:val="en-US"/>
        </w:rPr>
        <w:t xml:space="preserve"> as a requirement that the risk </w:t>
      </w:r>
      <w:r w:rsidR="00DB29A8" w:rsidRPr="00313E82">
        <w:rPr>
          <w:lang w:val="en-US"/>
        </w:rPr>
        <w:t xml:space="preserve">measure </w:t>
      </w:r>
      <w:r w:rsidRPr="00313E82">
        <w:rPr>
          <w:lang w:val="en-US"/>
        </w:rPr>
        <w:t xml:space="preserve">does not give rise to contradictions in its application for different analyses and for decision making, if it is suitable for defining a ranking of scenarios, if it is sensitive to specific (discretionary) assumptions on the modelling, and if there are different versions of a risk </w:t>
      </w:r>
      <w:r w:rsidR="00DB29A8" w:rsidRPr="00313E82">
        <w:rPr>
          <w:lang w:val="en-US"/>
        </w:rPr>
        <w:t>measure</w:t>
      </w:r>
      <w:r w:rsidRPr="00313E82">
        <w:rPr>
          <w:lang w:val="en-US"/>
        </w:rPr>
        <w:t xml:space="preserve">. For this report, the clear definition of a risk </w:t>
      </w:r>
      <w:r w:rsidR="00DB29A8" w:rsidRPr="00313E82">
        <w:rPr>
          <w:lang w:val="en-US"/>
        </w:rPr>
        <w:t>measure</w:t>
      </w:r>
      <w:r w:rsidRPr="00313E82">
        <w:rPr>
          <w:lang w:val="en-US"/>
        </w:rPr>
        <w:t>, its sensitivity on discretionary assumptions, and it</w:t>
      </w:r>
      <w:r w:rsidR="00AE75F7" w:rsidRPr="00313E82">
        <w:rPr>
          <w:lang w:val="en-US"/>
        </w:rPr>
        <w:t>s</w:t>
      </w:r>
      <w:r w:rsidRPr="00313E82">
        <w:rPr>
          <w:lang w:val="en-US"/>
        </w:rPr>
        <w:t xml:space="preserve"> ability to support decisions will be treated under headings of validity and reliability. Therefore, the check on consistency is limited to possible contradictions in relevant decision making scenarios. </w:t>
      </w:r>
    </w:p>
    <w:p w:rsidR="0007271C" w:rsidRDefault="009B1B03" w:rsidP="003C4228">
      <w:pPr>
        <w:pStyle w:val="Paragraphedeliste"/>
        <w:numPr>
          <w:ilvl w:val="0"/>
          <w:numId w:val="11"/>
        </w:numPr>
        <w:rPr>
          <w:lang w:val="en-US"/>
        </w:rPr>
      </w:pPr>
      <w:r w:rsidRPr="00313E82">
        <w:rPr>
          <w:lang w:val="en-US"/>
        </w:rPr>
        <w:t>Comparability and specificity</w:t>
      </w:r>
      <w:r w:rsidR="0007271C">
        <w:rPr>
          <w:lang w:val="en-US"/>
        </w:rPr>
        <w:t xml:space="preserve"> (</w:t>
      </w:r>
      <w:r w:rsidR="00664774">
        <w:rPr>
          <w:lang w:val="en-US"/>
        </w:rPr>
        <w:t>Not developed further, only risk aggregation is discussed)</w:t>
      </w:r>
      <w:r w:rsidR="0007271C">
        <w:rPr>
          <w:lang w:val="en-US"/>
        </w:rPr>
        <w:t xml:space="preserve"> </w:t>
      </w:r>
    </w:p>
    <w:p w:rsidR="009B1B03" w:rsidRPr="0007271C" w:rsidRDefault="009B1B03" w:rsidP="00A73F32">
      <w:pPr>
        <w:ind w:left="709"/>
        <w:rPr>
          <w:lang w:val="en-US"/>
        </w:rPr>
      </w:pPr>
      <w:r w:rsidRPr="0007271C">
        <w:rPr>
          <w:lang w:val="en-US"/>
        </w:rPr>
        <w:t xml:space="preserve">Comparability and specificity according to </w:t>
      </w:r>
      <w:r w:rsidR="009E768B" w:rsidRPr="00A6032A">
        <w:rPr>
          <w:lang w:val="en-US"/>
        </w:rPr>
        <w:fldChar w:fldCharType="begin"/>
      </w:r>
      <w:r w:rsidRPr="0007271C">
        <w:rPr>
          <w:lang w:val="en-US"/>
        </w:rPr>
        <w:instrText xml:space="preserve"> REF _Ref396320286 \r \h </w:instrText>
      </w:r>
      <w:r w:rsidR="009E768B" w:rsidRPr="00A6032A">
        <w:rPr>
          <w:lang w:val="en-US"/>
        </w:rPr>
      </w:r>
      <w:r w:rsidR="009E768B" w:rsidRPr="00A6032A">
        <w:rPr>
          <w:lang w:val="en-US"/>
        </w:rPr>
        <w:fldChar w:fldCharType="separate"/>
      </w:r>
      <w:r w:rsidR="00B772CA">
        <w:rPr>
          <w:lang w:val="en-US"/>
        </w:rPr>
        <w:t>[32]</w:t>
      </w:r>
      <w:r w:rsidR="009E768B" w:rsidRPr="00A6032A">
        <w:rPr>
          <w:lang w:val="en-US"/>
        </w:rPr>
        <w:fldChar w:fldCharType="end"/>
      </w:r>
      <w:r w:rsidRPr="0007271C">
        <w:rPr>
          <w:lang w:val="en-US"/>
        </w:rPr>
        <w:t xml:space="preserve"> are antipodes. A risk metric is considered (more) specific if it is restricted to (increasingly smaller) subsets of scenarios or consequences. Conversely, a risk metric is considered to be (more) comparable, if it can be used to aggregate risks over (increasingly larger) subsets of scenarios and consequences. This also applies to secondary risk </w:t>
      </w:r>
      <w:r w:rsidR="00DB29A8" w:rsidRPr="0007271C">
        <w:rPr>
          <w:lang w:val="en-US"/>
        </w:rPr>
        <w:t xml:space="preserve">measures </w:t>
      </w:r>
      <w:r w:rsidRPr="0007271C">
        <w:rPr>
          <w:lang w:val="en-US"/>
        </w:rPr>
        <w:t xml:space="preserve">via the underlying direct ones. As a rule of thumb, the use of specific risk </w:t>
      </w:r>
      <w:r w:rsidR="00DB29A8" w:rsidRPr="0007271C">
        <w:rPr>
          <w:lang w:val="en-US"/>
        </w:rPr>
        <w:t xml:space="preserve">measures </w:t>
      </w:r>
      <w:r w:rsidRPr="0007271C">
        <w:rPr>
          <w:lang w:val="en-US"/>
        </w:rPr>
        <w:t xml:space="preserve">requires expert level knowledge about the risk model (PSA) and the modelled system (NPP) experts, whereas comparable risk </w:t>
      </w:r>
      <w:r w:rsidR="00DB29A8" w:rsidRPr="0007271C">
        <w:rPr>
          <w:lang w:val="en-US"/>
        </w:rPr>
        <w:t xml:space="preserve">measures </w:t>
      </w:r>
      <w:r w:rsidRPr="0007271C">
        <w:rPr>
          <w:lang w:val="en-US"/>
        </w:rPr>
        <w:t xml:space="preserve">(e.g. core damage frequency) can be used also by non-experts. </w:t>
      </w:r>
      <w:r w:rsidRPr="0007271C">
        <w:rPr>
          <w:lang w:val="en-US"/>
        </w:rPr>
        <w:tab/>
      </w:r>
      <w:r w:rsidRPr="0007271C">
        <w:rPr>
          <w:lang w:val="en-US"/>
        </w:rPr>
        <w:br/>
        <w:t xml:space="preserve">As already pointed out, the issues of risk aggregation and suitable aggregate </w:t>
      </w:r>
      <w:r w:rsidR="00DB29A8" w:rsidRPr="0007271C">
        <w:rPr>
          <w:lang w:val="en-US"/>
        </w:rPr>
        <w:t xml:space="preserve">measures </w:t>
      </w:r>
      <w:r w:rsidRPr="0007271C">
        <w:rPr>
          <w:lang w:val="en-US"/>
        </w:rPr>
        <w:t xml:space="preserve">will need to be discussed in this report. The other aspects mentioned in </w:t>
      </w:r>
      <w:r w:rsidR="009E768B" w:rsidRPr="009F5D62">
        <w:rPr>
          <w:lang w:val="en-US"/>
        </w:rPr>
        <w:fldChar w:fldCharType="begin"/>
      </w:r>
      <w:r w:rsidRPr="0007271C">
        <w:rPr>
          <w:lang w:val="en-US"/>
        </w:rPr>
        <w:instrText xml:space="preserve"> REF _Ref396320286 \r \h </w:instrText>
      </w:r>
      <w:r w:rsidR="009E768B" w:rsidRPr="009F5D62">
        <w:rPr>
          <w:lang w:val="en-US"/>
        </w:rPr>
      </w:r>
      <w:r w:rsidR="009E768B" w:rsidRPr="009F5D62">
        <w:rPr>
          <w:lang w:val="en-US"/>
        </w:rPr>
        <w:fldChar w:fldCharType="separate"/>
      </w:r>
      <w:r w:rsidR="00B772CA">
        <w:rPr>
          <w:lang w:val="en-US"/>
        </w:rPr>
        <w:t>[32]</w:t>
      </w:r>
      <w:r w:rsidR="009E768B" w:rsidRPr="009F5D62">
        <w:rPr>
          <w:lang w:val="en-US"/>
        </w:rPr>
        <w:fldChar w:fldCharType="end"/>
      </w:r>
      <w:r w:rsidRPr="0007271C">
        <w:rPr>
          <w:lang w:val="en-US"/>
        </w:rPr>
        <w:t xml:space="preserve"> cannot be treated in this report.</w:t>
      </w:r>
    </w:p>
    <w:p w:rsidR="00664774" w:rsidRDefault="009B1B03" w:rsidP="003C4228">
      <w:pPr>
        <w:pStyle w:val="Paragraphedeliste"/>
        <w:numPr>
          <w:ilvl w:val="0"/>
          <w:numId w:val="11"/>
        </w:numPr>
        <w:rPr>
          <w:lang w:val="en-US"/>
        </w:rPr>
      </w:pPr>
      <w:r w:rsidRPr="00313E82">
        <w:rPr>
          <w:lang w:val="en-US"/>
        </w:rPr>
        <w:t>Rationality</w:t>
      </w:r>
      <w:r w:rsidR="00664774">
        <w:rPr>
          <w:lang w:val="en-US"/>
        </w:rPr>
        <w:t xml:space="preserve"> (Not developed)</w:t>
      </w:r>
    </w:p>
    <w:p w:rsidR="009B1B03" w:rsidRPr="00664774" w:rsidRDefault="009B1B03" w:rsidP="00A73F32">
      <w:pPr>
        <w:ind w:left="709"/>
        <w:rPr>
          <w:lang w:val="en-US"/>
        </w:rPr>
      </w:pPr>
      <w:r w:rsidRPr="00664774">
        <w:rPr>
          <w:lang w:val="en-US"/>
        </w:rPr>
        <w:t xml:space="preserve">Rationality according to </w:t>
      </w:r>
      <w:r w:rsidR="009E768B" w:rsidRPr="00A6032A">
        <w:rPr>
          <w:lang w:val="en-US"/>
        </w:rPr>
        <w:fldChar w:fldCharType="begin"/>
      </w:r>
      <w:r w:rsidRPr="00664774">
        <w:rPr>
          <w:lang w:val="en-US"/>
        </w:rPr>
        <w:instrText xml:space="preserve"> REF _Ref396320286 \r \h </w:instrText>
      </w:r>
      <w:r w:rsidR="009E768B" w:rsidRPr="00A6032A">
        <w:rPr>
          <w:lang w:val="en-US"/>
        </w:rPr>
      </w:r>
      <w:r w:rsidR="009E768B" w:rsidRPr="00A6032A">
        <w:rPr>
          <w:lang w:val="en-US"/>
        </w:rPr>
        <w:fldChar w:fldCharType="separate"/>
      </w:r>
      <w:r w:rsidR="00B772CA">
        <w:rPr>
          <w:lang w:val="en-US"/>
        </w:rPr>
        <w:t>[32]</w:t>
      </w:r>
      <w:r w:rsidR="009E768B" w:rsidRPr="00A6032A">
        <w:rPr>
          <w:lang w:val="en-US"/>
        </w:rPr>
        <w:fldChar w:fldCharType="end"/>
      </w:r>
      <w:r w:rsidRPr="00664774">
        <w:rPr>
          <w:lang w:val="en-US"/>
        </w:rPr>
        <w:t xml:space="preserve"> is the requirement that risk </w:t>
      </w:r>
      <w:r w:rsidR="00DB29A8" w:rsidRPr="00664774">
        <w:rPr>
          <w:lang w:val="en-US"/>
        </w:rPr>
        <w:t>measure</w:t>
      </w:r>
      <w:r w:rsidR="00621F48" w:rsidRPr="00664774">
        <w:rPr>
          <w:lang w:val="en-US"/>
        </w:rPr>
        <w:t>s</w:t>
      </w:r>
      <w:r w:rsidR="00DB29A8" w:rsidRPr="00664774">
        <w:rPr>
          <w:lang w:val="en-US"/>
        </w:rPr>
        <w:t xml:space="preserve"> </w:t>
      </w:r>
      <w:r w:rsidRPr="00664774">
        <w:rPr>
          <w:lang w:val="en-US"/>
        </w:rPr>
        <w:t xml:space="preserve">are justified without inconsistencies. It includes a theoretical framework for the definition. Since this report is not restricted to a decision making approach based on expected utility, we follow </w:t>
      </w:r>
      <w:r w:rsidR="009E768B" w:rsidRPr="009F5D62">
        <w:rPr>
          <w:lang w:val="en-US"/>
        </w:rPr>
        <w:fldChar w:fldCharType="begin"/>
      </w:r>
      <w:r w:rsidRPr="00664774">
        <w:rPr>
          <w:lang w:val="en-US"/>
        </w:rPr>
        <w:instrText xml:space="preserve"> REF _Ref396320286 \r \h </w:instrText>
      </w:r>
      <w:r w:rsidR="009E768B" w:rsidRPr="009F5D62">
        <w:rPr>
          <w:lang w:val="en-US"/>
        </w:rPr>
      </w:r>
      <w:r w:rsidR="009E768B" w:rsidRPr="009F5D62">
        <w:rPr>
          <w:lang w:val="en-US"/>
        </w:rPr>
        <w:fldChar w:fldCharType="separate"/>
      </w:r>
      <w:r w:rsidR="00B772CA">
        <w:rPr>
          <w:lang w:val="en-US"/>
        </w:rPr>
        <w:t>[32]</w:t>
      </w:r>
      <w:r w:rsidR="009E768B" w:rsidRPr="009F5D62">
        <w:rPr>
          <w:lang w:val="en-US"/>
        </w:rPr>
        <w:fldChar w:fldCharType="end"/>
      </w:r>
      <w:r w:rsidRPr="00664774">
        <w:rPr>
          <w:lang w:val="en-US"/>
        </w:rPr>
        <w:t xml:space="preserve"> in not requiring that rationality of a risk </w:t>
      </w:r>
      <w:r w:rsidR="00DB29A8" w:rsidRPr="00664774">
        <w:rPr>
          <w:lang w:val="en-US"/>
        </w:rPr>
        <w:t xml:space="preserve">measure </w:t>
      </w:r>
      <w:r w:rsidRPr="00664774">
        <w:rPr>
          <w:lang w:val="en-US"/>
        </w:rPr>
        <w:t xml:space="preserve">includes that it must be compatible with expected utility theory. </w:t>
      </w:r>
      <w:r w:rsidRPr="00664774">
        <w:rPr>
          <w:lang w:val="en-US"/>
        </w:rPr>
        <w:tab/>
      </w:r>
      <w:r w:rsidRPr="00664774">
        <w:rPr>
          <w:lang w:val="en-US"/>
        </w:rPr>
        <w:br/>
        <w:t xml:space="preserve">Since the remainder of the report is an attempt at checking the rationality of risk </w:t>
      </w:r>
      <w:r w:rsidR="00DB29A8" w:rsidRPr="00664774">
        <w:rPr>
          <w:lang w:val="en-US"/>
        </w:rPr>
        <w:t xml:space="preserve">measures </w:t>
      </w:r>
      <w:r w:rsidRPr="00664774">
        <w:rPr>
          <w:lang w:val="en-US"/>
        </w:rPr>
        <w:t>for (extended) PSA of NPP</w:t>
      </w:r>
      <w:r w:rsidR="00621F48" w:rsidRPr="00664774">
        <w:rPr>
          <w:lang w:val="en-US"/>
        </w:rPr>
        <w:t>s</w:t>
      </w:r>
      <w:r w:rsidRPr="00664774">
        <w:rPr>
          <w:lang w:val="en-US"/>
        </w:rPr>
        <w:t xml:space="preserve"> with respect to a group of PSA expert</w:t>
      </w:r>
      <w:r w:rsidR="00621F48" w:rsidRPr="00664774">
        <w:rPr>
          <w:lang w:val="en-US"/>
        </w:rPr>
        <w:t>s</w:t>
      </w:r>
      <w:r w:rsidRPr="00664774">
        <w:rPr>
          <w:lang w:val="en-US"/>
        </w:rPr>
        <w:t xml:space="preserve">, this aspect needs no further explicit consideration. </w:t>
      </w:r>
    </w:p>
    <w:p w:rsidR="00664774" w:rsidRDefault="009B1B03" w:rsidP="003C4228">
      <w:pPr>
        <w:pStyle w:val="Paragraphedeliste"/>
        <w:numPr>
          <w:ilvl w:val="0"/>
          <w:numId w:val="11"/>
        </w:numPr>
        <w:rPr>
          <w:lang w:val="en-US"/>
        </w:rPr>
      </w:pPr>
      <w:r w:rsidRPr="00313E82">
        <w:rPr>
          <w:lang w:val="en-US"/>
        </w:rPr>
        <w:t>Acceptability</w:t>
      </w:r>
      <w:r w:rsidR="00664774">
        <w:rPr>
          <w:lang w:val="en-US"/>
        </w:rPr>
        <w:t xml:space="preserve"> (Not developed) </w:t>
      </w:r>
    </w:p>
    <w:p w:rsidR="009B1B03" w:rsidRPr="002F3FF8" w:rsidRDefault="009B1B03" w:rsidP="00A73F32">
      <w:pPr>
        <w:ind w:left="709"/>
        <w:rPr>
          <w:lang w:val="en-US"/>
        </w:rPr>
      </w:pPr>
      <w:r w:rsidRPr="00664774">
        <w:rPr>
          <w:lang w:val="en-US"/>
        </w:rPr>
        <w:t xml:space="preserve">Acceptability according to </w:t>
      </w:r>
      <w:r w:rsidR="009E768B" w:rsidRPr="00A6032A">
        <w:rPr>
          <w:lang w:val="en-US"/>
        </w:rPr>
        <w:fldChar w:fldCharType="begin"/>
      </w:r>
      <w:r w:rsidRPr="00664774">
        <w:rPr>
          <w:lang w:val="en-US"/>
        </w:rPr>
        <w:instrText xml:space="preserve"> REF _Ref396320286 \r \h </w:instrText>
      </w:r>
      <w:r w:rsidR="009E768B" w:rsidRPr="00A6032A">
        <w:rPr>
          <w:lang w:val="en-US"/>
        </w:rPr>
      </w:r>
      <w:r w:rsidR="009E768B" w:rsidRPr="00A6032A">
        <w:rPr>
          <w:lang w:val="en-US"/>
        </w:rPr>
        <w:fldChar w:fldCharType="separate"/>
      </w:r>
      <w:r w:rsidR="00B772CA">
        <w:rPr>
          <w:lang w:val="en-US"/>
        </w:rPr>
        <w:t>[32]</w:t>
      </w:r>
      <w:r w:rsidR="009E768B" w:rsidRPr="00A6032A">
        <w:rPr>
          <w:lang w:val="en-US"/>
        </w:rPr>
        <w:fldChar w:fldCharType="end"/>
      </w:r>
      <w:r w:rsidRPr="00664774">
        <w:rPr>
          <w:lang w:val="en-US"/>
        </w:rPr>
        <w:t xml:space="preserve"> summarizes whether the risk </w:t>
      </w:r>
      <w:r w:rsidR="00DB29A8" w:rsidRPr="00664774">
        <w:rPr>
          <w:lang w:val="en-US"/>
        </w:rPr>
        <w:t xml:space="preserve">measure </w:t>
      </w:r>
      <w:r w:rsidRPr="00664774">
        <w:rPr>
          <w:lang w:val="en-US"/>
        </w:rPr>
        <w:t xml:space="preserve">is considered adequate, informative and justified by stakeholders (i.e. </w:t>
      </w:r>
      <w:r w:rsidR="00664774" w:rsidRPr="00664774">
        <w:rPr>
          <w:lang w:val="en-US"/>
        </w:rPr>
        <w:t>fulfills</w:t>
      </w:r>
      <w:r w:rsidRPr="00664774">
        <w:rPr>
          <w:lang w:val="en-US"/>
        </w:rPr>
        <w:t xml:space="preserve"> the criteria given above). For this report, this cannot be investigated. Instead, the </w:t>
      </w:r>
      <w:r w:rsidR="00621F48" w:rsidRPr="00664774">
        <w:rPr>
          <w:lang w:val="en-US"/>
        </w:rPr>
        <w:t xml:space="preserve">report provides an </w:t>
      </w:r>
      <w:r w:rsidRPr="00664774">
        <w:rPr>
          <w:lang w:val="en-US"/>
        </w:rPr>
        <w:t xml:space="preserve">opinion on the merit of the different investigated risk measures and recommendations on the use of certain risk </w:t>
      </w:r>
      <w:r w:rsidR="00DB29A8" w:rsidRPr="00664774">
        <w:rPr>
          <w:lang w:val="en-US"/>
        </w:rPr>
        <w:t xml:space="preserve">measures </w:t>
      </w:r>
      <w:r w:rsidRPr="00664774">
        <w:rPr>
          <w:lang w:val="en-US"/>
        </w:rPr>
        <w:t xml:space="preserve">for </w:t>
      </w:r>
      <w:r w:rsidR="002F3FF8">
        <w:rPr>
          <w:lang w:val="en-US"/>
        </w:rPr>
        <w:t>determined</w:t>
      </w:r>
      <w:r w:rsidR="002F3FF8" w:rsidRPr="002F3FF8">
        <w:rPr>
          <w:lang w:val="en-US"/>
        </w:rPr>
        <w:t xml:space="preserve"> </w:t>
      </w:r>
      <w:r w:rsidRPr="002F3FF8">
        <w:rPr>
          <w:lang w:val="en-US"/>
        </w:rPr>
        <w:t>purposes, which substitutes for acceptability.</w:t>
      </w:r>
    </w:p>
    <w:p w:rsidR="009B1B03" w:rsidRPr="00313E82" w:rsidRDefault="009B1B03" w:rsidP="009B1B03">
      <w:pPr>
        <w:rPr>
          <w:lang w:val="en-US"/>
        </w:rPr>
      </w:pPr>
    </w:p>
    <w:p w:rsidR="009B1B03" w:rsidRPr="00313E82" w:rsidRDefault="009B1B03" w:rsidP="009B1B03">
      <w:pPr>
        <w:rPr>
          <w:lang w:val="en-US"/>
        </w:rPr>
      </w:pPr>
      <w:r w:rsidRPr="00313E82">
        <w:rPr>
          <w:lang w:val="en-US"/>
        </w:rPr>
        <w:t xml:space="preserve">In summary, risk </w:t>
      </w:r>
      <w:r w:rsidR="00DB29A8" w:rsidRPr="00313E82">
        <w:rPr>
          <w:lang w:val="en-US"/>
        </w:rPr>
        <w:t xml:space="preserve">measures </w:t>
      </w:r>
      <w:r w:rsidRPr="00313E82">
        <w:rPr>
          <w:lang w:val="en-US"/>
        </w:rPr>
        <w:t xml:space="preserve">are systematically evaluated regarding </w:t>
      </w:r>
      <w:r w:rsidR="00664774">
        <w:rPr>
          <w:lang w:val="en-US"/>
        </w:rPr>
        <w:t>the following attributes:</w:t>
      </w:r>
    </w:p>
    <w:p w:rsidR="009B1B03" w:rsidRPr="00313E82" w:rsidRDefault="009B1B03" w:rsidP="003C4228">
      <w:pPr>
        <w:pStyle w:val="Paragraphedeliste"/>
        <w:numPr>
          <w:ilvl w:val="0"/>
          <w:numId w:val="12"/>
        </w:numPr>
        <w:rPr>
          <w:lang w:val="en-US"/>
        </w:rPr>
      </w:pPr>
      <w:r w:rsidRPr="00313E82">
        <w:rPr>
          <w:lang w:val="en-US"/>
        </w:rPr>
        <w:t>Validity</w:t>
      </w:r>
    </w:p>
    <w:p w:rsidR="009B1B03" w:rsidRPr="00313E82" w:rsidRDefault="009B1B03" w:rsidP="003C4228">
      <w:pPr>
        <w:pStyle w:val="Paragraphedeliste"/>
        <w:numPr>
          <w:ilvl w:val="0"/>
          <w:numId w:val="12"/>
        </w:numPr>
        <w:rPr>
          <w:lang w:val="en-US"/>
        </w:rPr>
      </w:pPr>
      <w:r w:rsidRPr="00313E82">
        <w:rPr>
          <w:lang w:val="en-US"/>
        </w:rPr>
        <w:t>Reliability</w:t>
      </w:r>
    </w:p>
    <w:p w:rsidR="009B1B03" w:rsidRPr="00313E82" w:rsidRDefault="009B1B03" w:rsidP="003C4228">
      <w:pPr>
        <w:pStyle w:val="Paragraphedeliste"/>
        <w:numPr>
          <w:ilvl w:val="0"/>
          <w:numId w:val="12"/>
        </w:numPr>
        <w:rPr>
          <w:lang w:val="en-US"/>
        </w:rPr>
      </w:pPr>
      <w:r w:rsidRPr="00313E82">
        <w:rPr>
          <w:lang w:val="en-US"/>
        </w:rPr>
        <w:t xml:space="preserve">Consistency </w:t>
      </w:r>
    </w:p>
    <w:p w:rsidR="009B1B03" w:rsidRPr="00313E82" w:rsidRDefault="009B1B03" w:rsidP="003C4228">
      <w:pPr>
        <w:pStyle w:val="Paragraphedeliste"/>
        <w:numPr>
          <w:ilvl w:val="0"/>
          <w:numId w:val="12"/>
        </w:numPr>
        <w:rPr>
          <w:lang w:val="en-US"/>
        </w:rPr>
      </w:pPr>
      <w:r w:rsidRPr="00313E82">
        <w:rPr>
          <w:lang w:val="en-US"/>
        </w:rPr>
        <w:t xml:space="preserve">Risk aggregation properties including </w:t>
      </w:r>
      <w:r w:rsidR="00772576" w:rsidRPr="00313E82">
        <w:rPr>
          <w:lang w:val="en-US"/>
        </w:rPr>
        <w:t>judgments</w:t>
      </w:r>
      <w:r w:rsidRPr="00313E82">
        <w:rPr>
          <w:lang w:val="en-US"/>
        </w:rPr>
        <w:t xml:space="preserve"> on appropriate risk-neutral aggregation approaches.</w:t>
      </w:r>
    </w:p>
    <w:p w:rsidR="009B1B03" w:rsidRPr="00313E82" w:rsidRDefault="009B1B03" w:rsidP="003C4228">
      <w:pPr>
        <w:pStyle w:val="Paragraphedeliste"/>
        <w:numPr>
          <w:ilvl w:val="0"/>
          <w:numId w:val="12"/>
        </w:numPr>
        <w:rPr>
          <w:lang w:val="en-US"/>
        </w:rPr>
      </w:pPr>
      <w:r w:rsidRPr="00313E82">
        <w:rPr>
          <w:lang w:val="en-US"/>
        </w:rPr>
        <w:t>Understandability to the PSA community</w:t>
      </w:r>
    </w:p>
    <w:p w:rsidR="009B1B03" w:rsidRPr="00313E82" w:rsidRDefault="009B1B03" w:rsidP="009B1B03">
      <w:pPr>
        <w:rPr>
          <w:lang w:val="en-US"/>
        </w:rPr>
      </w:pPr>
      <w:r w:rsidRPr="00313E82">
        <w:rPr>
          <w:lang w:val="en-US"/>
        </w:rPr>
        <w:lastRenderedPageBreak/>
        <w:t xml:space="preserve">The properties and implications of an extended PSA will be considered in all cases. This specifically relates to risk </w:t>
      </w:r>
      <w:r w:rsidR="00DB29A8" w:rsidRPr="00313E82">
        <w:rPr>
          <w:lang w:val="en-US"/>
        </w:rPr>
        <w:t xml:space="preserve">measures </w:t>
      </w:r>
      <w:r w:rsidRPr="00313E82">
        <w:rPr>
          <w:lang w:val="en-US"/>
        </w:rPr>
        <w:t>for risk aggregation.</w:t>
      </w:r>
    </w:p>
    <w:p w:rsidR="007D4D38" w:rsidRPr="00313E82" w:rsidRDefault="00F40C39" w:rsidP="00C14D66">
      <w:pPr>
        <w:pStyle w:val="Titre2"/>
        <w:rPr>
          <w:lang w:val="en-US"/>
        </w:rPr>
      </w:pPr>
      <w:bookmarkStart w:id="45" w:name="_Ref323481363"/>
      <w:bookmarkStart w:id="46" w:name="_Toc474430101"/>
      <w:r w:rsidRPr="00313E82">
        <w:rPr>
          <w:lang w:val="en-US"/>
        </w:rPr>
        <w:t>R</w:t>
      </w:r>
      <w:r w:rsidR="009B1B03" w:rsidRPr="00313E82">
        <w:rPr>
          <w:lang w:val="en-US"/>
        </w:rPr>
        <w:t xml:space="preserve">isk </w:t>
      </w:r>
      <w:r w:rsidR="007E0835" w:rsidRPr="00313E82">
        <w:rPr>
          <w:lang w:val="en-US"/>
        </w:rPr>
        <w:t>C</w:t>
      </w:r>
      <w:r w:rsidR="008E4916" w:rsidRPr="00313E82">
        <w:rPr>
          <w:lang w:val="en-US"/>
        </w:rPr>
        <w:t xml:space="preserve">onsideration </w:t>
      </w:r>
      <w:r w:rsidR="009B1B03" w:rsidRPr="00313E82">
        <w:rPr>
          <w:lang w:val="en-US"/>
        </w:rPr>
        <w:t xml:space="preserve">for </w:t>
      </w:r>
      <w:r w:rsidR="00C14D66" w:rsidRPr="00313E82">
        <w:rPr>
          <w:lang w:val="en-US"/>
        </w:rPr>
        <w:t>Decision Making</w:t>
      </w:r>
      <w:bookmarkEnd w:id="45"/>
      <w:bookmarkEnd w:id="46"/>
      <w:r w:rsidR="00C14D66" w:rsidRPr="00313E82">
        <w:rPr>
          <w:lang w:val="en-US"/>
        </w:rPr>
        <w:t xml:space="preserve"> </w:t>
      </w:r>
    </w:p>
    <w:p w:rsidR="005B3375" w:rsidRPr="00313E82" w:rsidRDefault="00002F14" w:rsidP="00C14D66">
      <w:pPr>
        <w:rPr>
          <w:lang w:val="en-US"/>
        </w:rPr>
      </w:pPr>
      <w:r w:rsidRPr="00313E82">
        <w:rPr>
          <w:lang w:val="en-US"/>
        </w:rPr>
        <w:t xml:space="preserve">There is no common understanding on the correct (or even appropriate) approach to decision making regarding risk in the scientific community as well as with actual end-users </w:t>
      </w:r>
      <w:r w:rsidR="009E768B" w:rsidRPr="007E0C24">
        <w:rPr>
          <w:lang w:val="en-US"/>
        </w:rPr>
        <w:fldChar w:fldCharType="begin"/>
      </w:r>
      <w:r w:rsidRPr="00313E82">
        <w:rPr>
          <w:lang w:val="en-US"/>
        </w:rPr>
        <w:instrText xml:space="preserve"> REF _Ref396210584 \r \h </w:instrText>
      </w:r>
      <w:r w:rsidR="009E768B" w:rsidRPr="007E0C24">
        <w:rPr>
          <w:lang w:val="en-US"/>
        </w:rPr>
      </w:r>
      <w:r w:rsidR="009E768B" w:rsidRPr="007E0C24">
        <w:rPr>
          <w:lang w:val="en-US"/>
        </w:rPr>
        <w:fldChar w:fldCharType="separate"/>
      </w:r>
      <w:r w:rsidR="00B772CA">
        <w:rPr>
          <w:lang w:val="en-US"/>
        </w:rPr>
        <w:t>[52]</w:t>
      </w:r>
      <w:r w:rsidR="009E768B" w:rsidRPr="007E0C24">
        <w:rPr>
          <w:lang w:val="en-US"/>
        </w:rPr>
        <w:fldChar w:fldCharType="end"/>
      </w:r>
      <w:r w:rsidRPr="00313E82">
        <w:rPr>
          <w:lang w:val="en-US"/>
        </w:rPr>
        <w:t xml:space="preserve">. Depending on the </w:t>
      </w:r>
      <w:r w:rsidR="00F25CCD" w:rsidRPr="00313E82">
        <w:rPr>
          <w:lang w:val="en-US"/>
        </w:rPr>
        <w:t xml:space="preserve">subject matter to decide and the </w:t>
      </w:r>
      <w:r w:rsidRPr="00313E82">
        <w:rPr>
          <w:lang w:val="en-US"/>
        </w:rPr>
        <w:t>role and the interest of the decision maker or stakeholder, different approaches to decision making are advocated</w:t>
      </w:r>
      <w:r w:rsidR="00F25CCD" w:rsidRPr="00313E82">
        <w:rPr>
          <w:lang w:val="en-US"/>
        </w:rPr>
        <w:t xml:space="preserve"> or rejected </w:t>
      </w:r>
      <w:r w:rsidR="009E768B" w:rsidRPr="007E0C24">
        <w:rPr>
          <w:lang w:val="en-US"/>
        </w:rPr>
        <w:fldChar w:fldCharType="begin"/>
      </w:r>
      <w:r w:rsidR="00F25CCD" w:rsidRPr="00313E82">
        <w:rPr>
          <w:lang w:val="en-US"/>
        </w:rPr>
        <w:instrText xml:space="preserve"> REF _Ref396210554 \r \h </w:instrText>
      </w:r>
      <w:r w:rsidR="009E768B" w:rsidRPr="007E0C24">
        <w:rPr>
          <w:lang w:val="en-US"/>
        </w:rPr>
      </w:r>
      <w:r w:rsidR="009E768B" w:rsidRPr="007E0C24">
        <w:rPr>
          <w:lang w:val="en-US"/>
        </w:rPr>
        <w:fldChar w:fldCharType="separate"/>
      </w:r>
      <w:r w:rsidR="00B772CA">
        <w:rPr>
          <w:lang w:val="en-US"/>
        </w:rPr>
        <w:t>[22]</w:t>
      </w:r>
      <w:r w:rsidR="009E768B" w:rsidRPr="007E0C24">
        <w:rPr>
          <w:lang w:val="en-US"/>
        </w:rPr>
        <w:fldChar w:fldCharType="end"/>
      </w:r>
      <w:r w:rsidR="00F25CCD" w:rsidRPr="00313E82">
        <w:rPr>
          <w:lang w:val="en-US"/>
        </w:rPr>
        <w:t xml:space="preserve">, </w:t>
      </w:r>
      <w:r w:rsidR="009E768B" w:rsidRPr="007E0C24">
        <w:rPr>
          <w:lang w:val="en-US"/>
        </w:rPr>
        <w:fldChar w:fldCharType="begin"/>
      </w:r>
      <w:r w:rsidR="00F25CCD" w:rsidRPr="00313E82">
        <w:rPr>
          <w:lang w:val="en-US"/>
        </w:rPr>
        <w:instrText xml:space="preserve"> REF _Ref396308351 \r \h </w:instrText>
      </w:r>
      <w:r w:rsidR="009E768B" w:rsidRPr="007E0C24">
        <w:rPr>
          <w:lang w:val="en-US"/>
        </w:rPr>
      </w:r>
      <w:r w:rsidR="009E768B" w:rsidRPr="007E0C24">
        <w:rPr>
          <w:lang w:val="en-US"/>
        </w:rPr>
        <w:fldChar w:fldCharType="separate"/>
      </w:r>
      <w:r w:rsidR="00B772CA">
        <w:rPr>
          <w:lang w:val="en-US"/>
        </w:rPr>
        <w:t>[25]</w:t>
      </w:r>
      <w:r w:rsidR="009E768B" w:rsidRPr="007E0C24">
        <w:rPr>
          <w:lang w:val="en-US"/>
        </w:rPr>
        <w:fldChar w:fldCharType="end"/>
      </w:r>
      <w:r w:rsidR="00F25CCD" w:rsidRPr="00313E82">
        <w:rPr>
          <w:lang w:val="en-US"/>
        </w:rPr>
        <w:t xml:space="preserve">, </w:t>
      </w:r>
      <w:r w:rsidR="009E768B" w:rsidRPr="007E0C24">
        <w:rPr>
          <w:lang w:val="en-US"/>
        </w:rPr>
        <w:fldChar w:fldCharType="begin"/>
      </w:r>
      <w:r w:rsidR="00F25CCD" w:rsidRPr="00313E82">
        <w:rPr>
          <w:lang w:val="en-US"/>
        </w:rPr>
        <w:instrText xml:space="preserve"> REF _Ref396308481 \r \h </w:instrText>
      </w:r>
      <w:r w:rsidR="009E768B" w:rsidRPr="007E0C24">
        <w:rPr>
          <w:lang w:val="en-US"/>
        </w:rPr>
      </w:r>
      <w:r w:rsidR="009E768B" w:rsidRPr="007E0C24">
        <w:rPr>
          <w:lang w:val="en-US"/>
        </w:rPr>
        <w:fldChar w:fldCharType="separate"/>
      </w:r>
      <w:r w:rsidR="00B772CA">
        <w:rPr>
          <w:lang w:val="en-US"/>
        </w:rPr>
        <w:t>[46]</w:t>
      </w:r>
      <w:r w:rsidR="009E768B" w:rsidRPr="007E0C24">
        <w:rPr>
          <w:lang w:val="en-US"/>
        </w:rPr>
        <w:fldChar w:fldCharType="end"/>
      </w:r>
      <w:r w:rsidR="00F25CCD" w:rsidRPr="00313E82">
        <w:rPr>
          <w:lang w:val="en-US"/>
        </w:rPr>
        <w:t xml:space="preserve">, </w:t>
      </w:r>
      <w:r w:rsidR="009E768B" w:rsidRPr="007E0C24">
        <w:rPr>
          <w:lang w:val="en-US"/>
        </w:rPr>
        <w:fldChar w:fldCharType="begin"/>
      </w:r>
      <w:r w:rsidR="00F25CCD" w:rsidRPr="00313E82">
        <w:rPr>
          <w:lang w:val="en-US"/>
        </w:rPr>
        <w:instrText xml:space="preserve"> REF _Ref396308491 \r \h </w:instrText>
      </w:r>
      <w:r w:rsidR="009E768B" w:rsidRPr="007E0C24">
        <w:rPr>
          <w:lang w:val="en-US"/>
        </w:rPr>
      </w:r>
      <w:r w:rsidR="009E768B" w:rsidRPr="007E0C24">
        <w:rPr>
          <w:lang w:val="en-US"/>
        </w:rPr>
        <w:fldChar w:fldCharType="separate"/>
      </w:r>
      <w:r w:rsidR="00B772CA">
        <w:rPr>
          <w:lang w:val="en-US"/>
        </w:rPr>
        <w:t>[47]</w:t>
      </w:r>
      <w:r w:rsidR="009E768B" w:rsidRPr="007E0C24">
        <w:rPr>
          <w:lang w:val="en-US"/>
        </w:rPr>
        <w:fldChar w:fldCharType="end"/>
      </w:r>
      <w:r w:rsidR="00F25CCD" w:rsidRPr="00313E82">
        <w:rPr>
          <w:lang w:val="en-US"/>
        </w:rPr>
        <w:t xml:space="preserve">, </w:t>
      </w:r>
      <w:r w:rsidR="009E768B" w:rsidRPr="007E0C24">
        <w:rPr>
          <w:lang w:val="en-US"/>
        </w:rPr>
        <w:fldChar w:fldCharType="begin"/>
      </w:r>
      <w:r w:rsidR="00F25CCD" w:rsidRPr="00313E82">
        <w:rPr>
          <w:lang w:val="en-US"/>
        </w:rPr>
        <w:instrText xml:space="preserve"> REF _Ref396210584 \r \h </w:instrText>
      </w:r>
      <w:r w:rsidR="009E768B" w:rsidRPr="007E0C24">
        <w:rPr>
          <w:lang w:val="en-US"/>
        </w:rPr>
      </w:r>
      <w:r w:rsidR="009E768B" w:rsidRPr="007E0C24">
        <w:rPr>
          <w:lang w:val="en-US"/>
        </w:rPr>
        <w:fldChar w:fldCharType="separate"/>
      </w:r>
      <w:r w:rsidR="00B772CA">
        <w:rPr>
          <w:lang w:val="en-US"/>
        </w:rPr>
        <w:t>[52]</w:t>
      </w:r>
      <w:r w:rsidR="009E768B" w:rsidRPr="007E0C24">
        <w:rPr>
          <w:lang w:val="en-US"/>
        </w:rPr>
        <w:fldChar w:fldCharType="end"/>
      </w:r>
      <w:r w:rsidR="00F25CCD" w:rsidRPr="00313E82">
        <w:rPr>
          <w:lang w:val="en-US"/>
        </w:rPr>
        <w:t xml:space="preserve">, </w:t>
      </w:r>
      <w:r w:rsidR="009E768B" w:rsidRPr="007E0C24">
        <w:rPr>
          <w:lang w:val="en-US"/>
        </w:rPr>
        <w:fldChar w:fldCharType="begin"/>
      </w:r>
      <w:r w:rsidR="00F25CCD" w:rsidRPr="00313E82">
        <w:rPr>
          <w:lang w:val="en-US"/>
        </w:rPr>
        <w:instrText xml:space="preserve"> REF _Ref396308530 \r \h </w:instrText>
      </w:r>
      <w:r w:rsidR="009E768B" w:rsidRPr="007E0C24">
        <w:rPr>
          <w:lang w:val="en-US"/>
        </w:rPr>
      </w:r>
      <w:r w:rsidR="009E768B" w:rsidRPr="007E0C24">
        <w:rPr>
          <w:lang w:val="en-US"/>
        </w:rPr>
        <w:fldChar w:fldCharType="separate"/>
      </w:r>
      <w:r w:rsidR="00B772CA">
        <w:rPr>
          <w:lang w:val="en-US"/>
        </w:rPr>
        <w:t>[54]</w:t>
      </w:r>
      <w:r w:rsidR="009E768B" w:rsidRPr="007E0C24">
        <w:rPr>
          <w:lang w:val="en-US"/>
        </w:rPr>
        <w:fldChar w:fldCharType="end"/>
      </w:r>
      <w:r w:rsidR="00F25CCD" w:rsidRPr="00313E82">
        <w:rPr>
          <w:lang w:val="en-US"/>
        </w:rPr>
        <w:t xml:space="preserve">, </w:t>
      </w:r>
      <w:r w:rsidR="009E768B" w:rsidRPr="007E0C24">
        <w:rPr>
          <w:lang w:val="en-US"/>
        </w:rPr>
        <w:fldChar w:fldCharType="begin"/>
      </w:r>
      <w:r w:rsidR="00F25CCD" w:rsidRPr="00313E82">
        <w:rPr>
          <w:lang w:val="en-US"/>
        </w:rPr>
        <w:instrText xml:space="preserve"> REF _Ref396308540 \r \h </w:instrText>
      </w:r>
      <w:r w:rsidR="009E768B" w:rsidRPr="007E0C24">
        <w:rPr>
          <w:lang w:val="en-US"/>
        </w:rPr>
      </w:r>
      <w:r w:rsidR="009E768B" w:rsidRPr="007E0C24">
        <w:rPr>
          <w:lang w:val="en-US"/>
        </w:rPr>
        <w:fldChar w:fldCharType="separate"/>
      </w:r>
      <w:r w:rsidR="00B772CA">
        <w:rPr>
          <w:lang w:val="en-US"/>
        </w:rPr>
        <w:t>[7]</w:t>
      </w:r>
      <w:r w:rsidR="009E768B" w:rsidRPr="007E0C24">
        <w:rPr>
          <w:lang w:val="en-US"/>
        </w:rPr>
        <w:fldChar w:fldCharType="end"/>
      </w:r>
      <w:r w:rsidRPr="00313E82">
        <w:rPr>
          <w:lang w:val="en-US"/>
        </w:rPr>
        <w:t xml:space="preserve">. </w:t>
      </w:r>
      <w:r w:rsidR="0070632E" w:rsidRPr="00313E82">
        <w:rPr>
          <w:lang w:val="en-US"/>
        </w:rPr>
        <w:t xml:space="preserve">Moreover, the acceptability of these approaches to the stakeholders or the society </w:t>
      </w:r>
      <w:r w:rsidR="005B3375" w:rsidRPr="00313E82">
        <w:rPr>
          <w:lang w:val="en-US"/>
        </w:rPr>
        <w:t>obviously</w:t>
      </w:r>
      <w:r w:rsidR="0070632E" w:rsidRPr="00313E82">
        <w:rPr>
          <w:lang w:val="en-US"/>
        </w:rPr>
        <w:t xml:space="preserve"> depends on the culture of the society in question and the specific </w:t>
      </w:r>
      <w:r w:rsidR="005B3375" w:rsidRPr="00313E82">
        <w:rPr>
          <w:lang w:val="en-US"/>
        </w:rPr>
        <w:t>values and believes</w:t>
      </w:r>
      <w:r w:rsidR="0070632E" w:rsidRPr="00313E82">
        <w:rPr>
          <w:lang w:val="en-US"/>
        </w:rPr>
        <w:t xml:space="preserve"> on risk acceptance on a personal and societal level</w:t>
      </w:r>
      <w:r w:rsidR="00876260" w:rsidRPr="00313E82">
        <w:rPr>
          <w:lang w:val="en-US"/>
        </w:rPr>
        <w:t xml:space="preserve"> </w:t>
      </w:r>
      <w:r w:rsidR="009E768B" w:rsidRPr="007E0C24">
        <w:rPr>
          <w:lang w:val="en-US"/>
        </w:rPr>
        <w:fldChar w:fldCharType="begin"/>
      </w:r>
      <w:r w:rsidR="00876260" w:rsidRPr="00313E82">
        <w:rPr>
          <w:lang w:val="en-US"/>
        </w:rPr>
        <w:instrText xml:space="preserve"> REF _Ref396317988 \r \h </w:instrText>
      </w:r>
      <w:r w:rsidR="009E768B" w:rsidRPr="007E0C24">
        <w:rPr>
          <w:lang w:val="en-US"/>
        </w:rPr>
      </w:r>
      <w:r w:rsidR="009E768B" w:rsidRPr="007E0C24">
        <w:rPr>
          <w:lang w:val="en-US"/>
        </w:rPr>
        <w:fldChar w:fldCharType="separate"/>
      </w:r>
      <w:r w:rsidR="00B772CA">
        <w:rPr>
          <w:lang w:val="en-US"/>
        </w:rPr>
        <w:t>[58]</w:t>
      </w:r>
      <w:r w:rsidR="009E768B" w:rsidRPr="007E0C24">
        <w:rPr>
          <w:lang w:val="en-US"/>
        </w:rPr>
        <w:fldChar w:fldCharType="end"/>
      </w:r>
      <w:r w:rsidR="0070632E" w:rsidRPr="00313E82">
        <w:rPr>
          <w:lang w:val="en-US"/>
        </w:rPr>
        <w:t xml:space="preserve">. </w:t>
      </w:r>
      <w:r w:rsidRPr="00313E82">
        <w:rPr>
          <w:lang w:val="en-US"/>
        </w:rPr>
        <w:t xml:space="preserve">For the purpose of the ASAMPSA_E project, </w:t>
      </w:r>
      <w:r w:rsidR="00F77633" w:rsidRPr="00313E82">
        <w:rPr>
          <w:lang w:val="en-US"/>
        </w:rPr>
        <w:t>work</w:t>
      </w:r>
      <w:r w:rsidRPr="00313E82">
        <w:rPr>
          <w:lang w:val="en-US"/>
        </w:rPr>
        <w:t xml:space="preserve"> on the ethical or legal </w:t>
      </w:r>
      <w:r w:rsidR="00C50D8F" w:rsidRPr="00313E82">
        <w:rPr>
          <w:lang w:val="en-US"/>
        </w:rPr>
        <w:t xml:space="preserve">or theoretical </w:t>
      </w:r>
      <w:r w:rsidRPr="00313E82">
        <w:rPr>
          <w:lang w:val="en-US"/>
        </w:rPr>
        <w:t>foundations of decision</w:t>
      </w:r>
      <w:r w:rsidR="00CC559A" w:rsidRPr="00313E82">
        <w:rPr>
          <w:lang w:val="en-US"/>
        </w:rPr>
        <w:t>-</w:t>
      </w:r>
      <w:r w:rsidRPr="00313E82">
        <w:rPr>
          <w:lang w:val="en-US"/>
        </w:rPr>
        <w:t xml:space="preserve">making </w:t>
      </w:r>
      <w:r w:rsidR="009E768B" w:rsidRPr="007E0C24">
        <w:rPr>
          <w:lang w:val="en-US"/>
        </w:rPr>
        <w:fldChar w:fldCharType="begin"/>
      </w:r>
      <w:r w:rsidR="00F25CCD" w:rsidRPr="00313E82">
        <w:rPr>
          <w:lang w:val="en-US"/>
        </w:rPr>
        <w:instrText xml:space="preserve"> REF _Ref396308135 \r \h </w:instrText>
      </w:r>
      <w:r w:rsidR="009E768B" w:rsidRPr="007E0C24">
        <w:rPr>
          <w:lang w:val="en-US"/>
        </w:rPr>
      </w:r>
      <w:r w:rsidR="009E768B" w:rsidRPr="007E0C24">
        <w:rPr>
          <w:lang w:val="en-US"/>
        </w:rPr>
        <w:fldChar w:fldCharType="separate"/>
      </w:r>
      <w:r w:rsidR="00B772CA">
        <w:rPr>
          <w:lang w:val="en-US"/>
        </w:rPr>
        <w:t>[17]</w:t>
      </w:r>
      <w:r w:rsidR="009E768B" w:rsidRPr="007E0C24">
        <w:rPr>
          <w:lang w:val="en-US"/>
        </w:rPr>
        <w:fldChar w:fldCharType="end"/>
      </w:r>
      <w:r w:rsidR="00F25CCD" w:rsidRPr="00313E82">
        <w:rPr>
          <w:lang w:val="en-US"/>
        </w:rPr>
        <w:t xml:space="preserve">, </w:t>
      </w:r>
      <w:r w:rsidR="009E768B" w:rsidRPr="007E0C24">
        <w:rPr>
          <w:lang w:val="en-US"/>
        </w:rPr>
        <w:fldChar w:fldCharType="begin"/>
      </w:r>
      <w:r w:rsidRPr="00313E82">
        <w:rPr>
          <w:lang w:val="en-US"/>
        </w:rPr>
        <w:instrText xml:space="preserve"> REF _Ref396307881 \r \h </w:instrText>
      </w:r>
      <w:r w:rsidR="009E768B" w:rsidRPr="007E0C24">
        <w:rPr>
          <w:lang w:val="en-US"/>
        </w:rPr>
      </w:r>
      <w:r w:rsidR="009E768B" w:rsidRPr="007E0C24">
        <w:rPr>
          <w:lang w:val="en-US"/>
        </w:rPr>
        <w:fldChar w:fldCharType="separate"/>
      </w:r>
      <w:r w:rsidR="00B772CA">
        <w:rPr>
          <w:lang w:val="en-US"/>
        </w:rPr>
        <w:t>[49]</w:t>
      </w:r>
      <w:r w:rsidR="009E768B" w:rsidRPr="007E0C24">
        <w:rPr>
          <w:lang w:val="en-US"/>
        </w:rPr>
        <w:fldChar w:fldCharType="end"/>
      </w:r>
      <w:r w:rsidRPr="00313E82">
        <w:rPr>
          <w:lang w:val="en-US"/>
        </w:rPr>
        <w:t xml:space="preserve">, </w:t>
      </w:r>
      <w:r w:rsidR="009E768B" w:rsidRPr="007E0C24">
        <w:rPr>
          <w:lang w:val="en-US"/>
        </w:rPr>
        <w:fldChar w:fldCharType="begin"/>
      </w:r>
      <w:r w:rsidRPr="00313E82">
        <w:rPr>
          <w:lang w:val="en-US"/>
        </w:rPr>
        <w:instrText xml:space="preserve"> REF _Ref396307935 \r \h </w:instrText>
      </w:r>
      <w:r w:rsidR="009E768B" w:rsidRPr="007E0C24">
        <w:rPr>
          <w:lang w:val="en-US"/>
        </w:rPr>
      </w:r>
      <w:r w:rsidR="009E768B" w:rsidRPr="007E0C24">
        <w:rPr>
          <w:lang w:val="en-US"/>
        </w:rPr>
        <w:fldChar w:fldCharType="separate"/>
      </w:r>
      <w:r w:rsidR="00B772CA">
        <w:rPr>
          <w:lang w:val="en-US"/>
        </w:rPr>
        <w:t>[50]</w:t>
      </w:r>
      <w:r w:rsidR="009E768B" w:rsidRPr="007E0C24">
        <w:rPr>
          <w:lang w:val="en-US"/>
        </w:rPr>
        <w:fldChar w:fldCharType="end"/>
      </w:r>
      <w:r w:rsidRPr="00313E82">
        <w:rPr>
          <w:lang w:val="en-US"/>
        </w:rPr>
        <w:t xml:space="preserve">, </w:t>
      </w:r>
      <w:r w:rsidR="009E768B" w:rsidRPr="007E0C24">
        <w:rPr>
          <w:lang w:val="en-US"/>
        </w:rPr>
        <w:fldChar w:fldCharType="begin"/>
      </w:r>
      <w:r w:rsidR="00C50D8F" w:rsidRPr="00313E82">
        <w:rPr>
          <w:lang w:val="en-US"/>
        </w:rPr>
        <w:instrText xml:space="preserve"> REF _Ref396308664 \r \h </w:instrText>
      </w:r>
      <w:r w:rsidR="009E768B" w:rsidRPr="007E0C24">
        <w:rPr>
          <w:lang w:val="en-US"/>
        </w:rPr>
      </w:r>
      <w:r w:rsidR="009E768B" w:rsidRPr="007E0C24">
        <w:rPr>
          <w:lang w:val="en-US"/>
        </w:rPr>
        <w:fldChar w:fldCharType="separate"/>
      </w:r>
      <w:r w:rsidR="00B772CA">
        <w:rPr>
          <w:lang w:val="en-US"/>
        </w:rPr>
        <w:t>[51]</w:t>
      </w:r>
      <w:r w:rsidR="009E768B" w:rsidRPr="007E0C24">
        <w:rPr>
          <w:lang w:val="en-US"/>
        </w:rPr>
        <w:fldChar w:fldCharType="end"/>
      </w:r>
      <w:r w:rsidR="00C50D8F" w:rsidRPr="00313E82">
        <w:rPr>
          <w:lang w:val="en-US"/>
        </w:rPr>
        <w:t xml:space="preserve">, </w:t>
      </w:r>
      <w:r w:rsidR="009E768B" w:rsidRPr="007E0C24">
        <w:rPr>
          <w:lang w:val="en-US"/>
        </w:rPr>
        <w:fldChar w:fldCharType="begin"/>
      </w:r>
      <w:r w:rsidRPr="00313E82">
        <w:rPr>
          <w:lang w:val="en-US"/>
        </w:rPr>
        <w:instrText xml:space="preserve"> REF _Ref396210584 \r \h </w:instrText>
      </w:r>
      <w:r w:rsidR="009E768B" w:rsidRPr="007E0C24">
        <w:rPr>
          <w:lang w:val="en-US"/>
        </w:rPr>
      </w:r>
      <w:r w:rsidR="009E768B" w:rsidRPr="007E0C24">
        <w:rPr>
          <w:lang w:val="en-US"/>
        </w:rPr>
        <w:fldChar w:fldCharType="separate"/>
      </w:r>
      <w:r w:rsidR="00B772CA">
        <w:rPr>
          <w:lang w:val="en-US"/>
        </w:rPr>
        <w:t>[52]</w:t>
      </w:r>
      <w:r w:rsidR="009E768B" w:rsidRPr="007E0C24">
        <w:rPr>
          <w:lang w:val="en-US"/>
        </w:rPr>
        <w:fldChar w:fldCharType="end"/>
      </w:r>
      <w:r w:rsidR="00C50D8F" w:rsidRPr="00313E82">
        <w:rPr>
          <w:lang w:val="en-US"/>
        </w:rPr>
        <w:t xml:space="preserve"> </w:t>
      </w:r>
      <w:r w:rsidR="00F77633" w:rsidRPr="00313E82">
        <w:rPr>
          <w:lang w:val="en-US"/>
        </w:rPr>
        <w:t>is</w:t>
      </w:r>
      <w:r w:rsidR="00C50D8F" w:rsidRPr="00313E82">
        <w:rPr>
          <w:lang w:val="en-US"/>
        </w:rPr>
        <w:t xml:space="preserve"> clearly out of scope</w:t>
      </w:r>
      <w:r w:rsidR="0070632E" w:rsidRPr="00313E82">
        <w:rPr>
          <w:lang w:val="en-US"/>
        </w:rPr>
        <w:t>, as is a discussion o</w:t>
      </w:r>
      <w:r w:rsidR="000C44A0">
        <w:rPr>
          <w:lang w:val="en-US"/>
        </w:rPr>
        <w:t>f</w:t>
      </w:r>
      <w:r w:rsidR="0070632E" w:rsidRPr="00313E82">
        <w:rPr>
          <w:lang w:val="en-US"/>
        </w:rPr>
        <w:t xml:space="preserve"> cultural influences</w:t>
      </w:r>
      <w:r w:rsidR="00C50D8F" w:rsidRPr="00313E82">
        <w:rPr>
          <w:lang w:val="en-US"/>
        </w:rPr>
        <w:t xml:space="preserve">. </w:t>
      </w:r>
    </w:p>
    <w:p w:rsidR="00C14D66" w:rsidRPr="00313E82" w:rsidRDefault="0070632E" w:rsidP="00C14D66">
      <w:pPr>
        <w:rPr>
          <w:lang w:val="en-US"/>
        </w:rPr>
      </w:pPr>
      <w:r w:rsidRPr="00313E82">
        <w:rPr>
          <w:lang w:val="en-US"/>
        </w:rPr>
        <w:t xml:space="preserve">The present report focuses on risk </w:t>
      </w:r>
      <w:r w:rsidR="00DB29A8" w:rsidRPr="00313E82">
        <w:rPr>
          <w:lang w:val="en-US"/>
        </w:rPr>
        <w:t xml:space="preserve">measures </w:t>
      </w:r>
      <w:r w:rsidR="00745FE4" w:rsidRPr="00313E82">
        <w:rPr>
          <w:lang w:val="en-US"/>
        </w:rPr>
        <w:t>based on PSA</w:t>
      </w:r>
      <w:r w:rsidRPr="00313E82">
        <w:rPr>
          <w:lang w:val="en-US"/>
        </w:rPr>
        <w:t xml:space="preserve">, thus an operational definition of the basic decision making approach is needed. The approach propagated by INSAG on (integrated) risk-informed decision making </w:t>
      </w:r>
      <w:r w:rsidR="00745FE4" w:rsidRPr="00313E82">
        <w:rPr>
          <w:lang w:val="en-US"/>
        </w:rPr>
        <w:t xml:space="preserve">(IRIDM) </w:t>
      </w:r>
      <w:r w:rsidRPr="00313E82">
        <w:rPr>
          <w:lang w:val="en-US"/>
        </w:rPr>
        <w:t xml:space="preserve">in INSAG-25 is identified as this foundation </w:t>
      </w:r>
      <w:r w:rsidR="009E768B" w:rsidRPr="007E0C24">
        <w:rPr>
          <w:lang w:val="en-US"/>
        </w:rPr>
        <w:fldChar w:fldCharType="begin"/>
      </w:r>
      <w:r w:rsidRPr="00313E82">
        <w:rPr>
          <w:lang w:val="en-US"/>
        </w:rPr>
        <w:instrText xml:space="preserve"> REF _Ref396309694 \r \h </w:instrText>
      </w:r>
      <w:r w:rsidR="009E768B" w:rsidRPr="007E0C24">
        <w:rPr>
          <w:lang w:val="en-US"/>
        </w:rPr>
      </w:r>
      <w:r w:rsidR="009E768B" w:rsidRPr="007E0C24">
        <w:rPr>
          <w:lang w:val="en-US"/>
        </w:rPr>
        <w:fldChar w:fldCharType="separate"/>
      </w:r>
      <w:r w:rsidR="00B772CA">
        <w:rPr>
          <w:lang w:val="en-US"/>
        </w:rPr>
        <w:t>[6]</w:t>
      </w:r>
      <w:r w:rsidR="009E768B" w:rsidRPr="007E0C24">
        <w:rPr>
          <w:lang w:val="en-US"/>
        </w:rPr>
        <w:fldChar w:fldCharType="end"/>
      </w:r>
      <w:r w:rsidRPr="00313E82">
        <w:rPr>
          <w:lang w:val="en-US"/>
        </w:rPr>
        <w:t>.</w:t>
      </w:r>
      <w:r w:rsidR="00D32D86" w:rsidRPr="00313E82">
        <w:rPr>
          <w:lang w:val="en-US"/>
        </w:rPr>
        <w:t xml:space="preserve"> It is in general terms consistent with approaches by regulatory authorities on decision</w:t>
      </w:r>
      <w:r w:rsidR="005B3375" w:rsidRPr="00313E82">
        <w:rPr>
          <w:lang w:val="en-US"/>
        </w:rPr>
        <w:t>s</w:t>
      </w:r>
      <w:r w:rsidR="00D32D86" w:rsidRPr="00313E82">
        <w:rPr>
          <w:lang w:val="en-US"/>
        </w:rPr>
        <w:t xml:space="preserve"> for nuclear facilities in using information from Level 1 and Level 2 PSA</w:t>
      </w:r>
      <w:r w:rsidR="002161CA" w:rsidRPr="00313E82">
        <w:rPr>
          <w:lang w:val="en-US"/>
        </w:rPr>
        <w:t xml:space="preserve"> </w:t>
      </w:r>
      <w:r w:rsidR="009E768B" w:rsidRPr="007E0C24">
        <w:rPr>
          <w:lang w:val="en-US"/>
        </w:rPr>
        <w:fldChar w:fldCharType="begin"/>
      </w:r>
      <w:r w:rsidR="002161CA" w:rsidRPr="00313E82">
        <w:rPr>
          <w:lang w:val="en-US"/>
        </w:rPr>
        <w:instrText xml:space="preserve"> REF _Ref396308540 \r \h </w:instrText>
      </w:r>
      <w:r w:rsidR="009E768B" w:rsidRPr="007E0C24">
        <w:rPr>
          <w:lang w:val="en-US"/>
        </w:rPr>
      </w:r>
      <w:r w:rsidR="009E768B" w:rsidRPr="007E0C24">
        <w:rPr>
          <w:lang w:val="en-US"/>
        </w:rPr>
        <w:fldChar w:fldCharType="separate"/>
      </w:r>
      <w:r w:rsidR="00B772CA">
        <w:rPr>
          <w:lang w:val="en-US"/>
        </w:rPr>
        <w:t>[7]</w:t>
      </w:r>
      <w:r w:rsidR="009E768B" w:rsidRPr="007E0C24">
        <w:rPr>
          <w:lang w:val="en-US"/>
        </w:rPr>
        <w:fldChar w:fldCharType="end"/>
      </w:r>
      <w:r w:rsidR="002161CA" w:rsidRPr="00313E82">
        <w:rPr>
          <w:lang w:val="en-US"/>
        </w:rPr>
        <w:t>,</w:t>
      </w:r>
      <w:r w:rsidR="00D32D86" w:rsidRPr="00313E82">
        <w:rPr>
          <w:lang w:val="en-US"/>
        </w:rPr>
        <w:t xml:space="preserve"> </w:t>
      </w:r>
      <w:r w:rsidR="009E768B" w:rsidRPr="007E0C24">
        <w:rPr>
          <w:lang w:val="en-US"/>
        </w:rPr>
        <w:fldChar w:fldCharType="begin"/>
      </w:r>
      <w:r w:rsidR="00D32D86" w:rsidRPr="00313E82">
        <w:rPr>
          <w:lang w:val="en-US"/>
        </w:rPr>
        <w:instrText xml:space="preserve"> REF _Ref396310289 \r \h </w:instrText>
      </w:r>
      <w:r w:rsidR="009E768B" w:rsidRPr="007E0C24">
        <w:rPr>
          <w:lang w:val="en-US"/>
        </w:rPr>
      </w:r>
      <w:r w:rsidR="009E768B" w:rsidRPr="007E0C24">
        <w:rPr>
          <w:lang w:val="en-US"/>
        </w:rPr>
        <w:fldChar w:fldCharType="separate"/>
      </w:r>
      <w:r w:rsidR="00B772CA">
        <w:rPr>
          <w:lang w:val="en-US"/>
        </w:rPr>
        <w:t>[8]</w:t>
      </w:r>
      <w:r w:rsidR="009E768B" w:rsidRPr="007E0C24">
        <w:rPr>
          <w:lang w:val="en-US"/>
        </w:rPr>
        <w:fldChar w:fldCharType="end"/>
      </w:r>
      <w:r w:rsidR="00D32D86" w:rsidRPr="00313E82">
        <w:rPr>
          <w:lang w:val="en-US"/>
        </w:rPr>
        <w:t xml:space="preserve">, </w:t>
      </w:r>
      <w:r w:rsidR="009E768B" w:rsidRPr="007E0C24">
        <w:rPr>
          <w:lang w:val="en-US"/>
        </w:rPr>
        <w:fldChar w:fldCharType="begin"/>
      </w:r>
      <w:r w:rsidR="00D32D86" w:rsidRPr="00313E82">
        <w:rPr>
          <w:lang w:val="en-US"/>
        </w:rPr>
        <w:instrText xml:space="preserve"> REF _Ref396310290 \r \h </w:instrText>
      </w:r>
      <w:r w:rsidR="009E768B" w:rsidRPr="007E0C24">
        <w:rPr>
          <w:lang w:val="en-US"/>
        </w:rPr>
      </w:r>
      <w:r w:rsidR="009E768B" w:rsidRPr="007E0C24">
        <w:rPr>
          <w:lang w:val="en-US"/>
        </w:rPr>
        <w:fldChar w:fldCharType="separate"/>
      </w:r>
      <w:r w:rsidR="00B772CA">
        <w:rPr>
          <w:lang w:val="en-US"/>
        </w:rPr>
        <w:t>[10]</w:t>
      </w:r>
      <w:r w:rsidR="009E768B" w:rsidRPr="007E0C24">
        <w:rPr>
          <w:lang w:val="en-US"/>
        </w:rPr>
        <w:fldChar w:fldCharType="end"/>
      </w:r>
      <w:r w:rsidR="00D32D86" w:rsidRPr="00313E82">
        <w:rPr>
          <w:lang w:val="en-US"/>
        </w:rPr>
        <w:t xml:space="preserve">, </w:t>
      </w:r>
      <w:r w:rsidR="009E768B" w:rsidRPr="007E0C24">
        <w:rPr>
          <w:lang w:val="en-US"/>
        </w:rPr>
        <w:fldChar w:fldCharType="begin"/>
      </w:r>
      <w:r w:rsidR="00D32D86" w:rsidRPr="00313E82">
        <w:rPr>
          <w:lang w:val="en-US"/>
        </w:rPr>
        <w:instrText xml:space="preserve"> REF _Ref396310295 \r \h </w:instrText>
      </w:r>
      <w:r w:rsidR="009E768B" w:rsidRPr="007E0C24">
        <w:rPr>
          <w:lang w:val="en-US"/>
        </w:rPr>
      </w:r>
      <w:r w:rsidR="009E768B" w:rsidRPr="007E0C24">
        <w:rPr>
          <w:lang w:val="en-US"/>
        </w:rPr>
        <w:fldChar w:fldCharType="separate"/>
      </w:r>
      <w:r w:rsidR="00B772CA">
        <w:rPr>
          <w:lang w:val="en-US"/>
        </w:rPr>
        <w:t>[11]</w:t>
      </w:r>
      <w:r w:rsidR="009E768B" w:rsidRPr="007E0C24">
        <w:rPr>
          <w:lang w:val="en-US"/>
        </w:rPr>
        <w:fldChar w:fldCharType="end"/>
      </w:r>
      <w:r w:rsidR="00D32D86" w:rsidRPr="00313E82">
        <w:rPr>
          <w:lang w:val="en-US"/>
        </w:rPr>
        <w:t xml:space="preserve">, </w:t>
      </w:r>
      <w:r w:rsidR="009E768B" w:rsidRPr="007E0C24">
        <w:rPr>
          <w:lang w:val="en-US"/>
        </w:rPr>
        <w:fldChar w:fldCharType="begin"/>
      </w:r>
      <w:r w:rsidR="00D32D86" w:rsidRPr="00313E82">
        <w:rPr>
          <w:lang w:val="en-US"/>
        </w:rPr>
        <w:instrText xml:space="preserve"> REF _Ref396310330 \r \h </w:instrText>
      </w:r>
      <w:r w:rsidR="009E768B" w:rsidRPr="007E0C24">
        <w:rPr>
          <w:lang w:val="en-US"/>
        </w:rPr>
      </w:r>
      <w:r w:rsidR="009E768B" w:rsidRPr="007E0C24">
        <w:rPr>
          <w:lang w:val="en-US"/>
        </w:rPr>
        <w:fldChar w:fldCharType="separate"/>
      </w:r>
      <w:r w:rsidR="00B772CA">
        <w:rPr>
          <w:lang w:val="en-US"/>
        </w:rPr>
        <w:t>[13]</w:t>
      </w:r>
      <w:r w:rsidR="009E768B" w:rsidRPr="007E0C24">
        <w:rPr>
          <w:lang w:val="en-US"/>
        </w:rPr>
        <w:fldChar w:fldCharType="end"/>
      </w:r>
      <w:r w:rsidR="005B3375" w:rsidRPr="00313E82">
        <w:rPr>
          <w:lang w:val="en-US"/>
        </w:rPr>
        <w:t xml:space="preserve">, </w:t>
      </w:r>
      <w:r w:rsidR="009E768B" w:rsidRPr="007E0C24">
        <w:rPr>
          <w:lang w:val="en-US"/>
        </w:rPr>
        <w:fldChar w:fldCharType="begin"/>
      </w:r>
      <w:r w:rsidR="005B3375" w:rsidRPr="00313E82">
        <w:rPr>
          <w:lang w:val="en-US"/>
        </w:rPr>
        <w:instrText xml:space="preserve"> REF _Ref396313022 \r \h </w:instrText>
      </w:r>
      <w:r w:rsidR="009E768B" w:rsidRPr="007E0C24">
        <w:rPr>
          <w:lang w:val="en-US"/>
        </w:rPr>
      </w:r>
      <w:r w:rsidR="009E768B" w:rsidRPr="007E0C24">
        <w:rPr>
          <w:lang w:val="en-US"/>
        </w:rPr>
        <w:fldChar w:fldCharType="separate"/>
      </w:r>
      <w:r w:rsidR="00B772CA">
        <w:rPr>
          <w:lang w:val="en-US"/>
        </w:rPr>
        <w:t>[55]</w:t>
      </w:r>
      <w:r w:rsidR="009E768B" w:rsidRPr="007E0C24">
        <w:rPr>
          <w:lang w:val="en-US"/>
        </w:rPr>
        <w:fldChar w:fldCharType="end"/>
      </w:r>
      <w:r w:rsidRPr="00313E82">
        <w:rPr>
          <w:lang w:val="en-US"/>
        </w:rPr>
        <w:t xml:space="preserve"> </w:t>
      </w:r>
      <w:r w:rsidR="00D32D86" w:rsidRPr="00313E82">
        <w:rPr>
          <w:lang w:val="en-US"/>
        </w:rPr>
        <w:t xml:space="preserve">and is in line with </w:t>
      </w:r>
      <w:r w:rsidR="00DB29A8" w:rsidRPr="00313E82">
        <w:rPr>
          <w:lang w:val="en-US"/>
        </w:rPr>
        <w:t xml:space="preserve">WENRA </w:t>
      </w:r>
      <w:r w:rsidR="009E768B" w:rsidRPr="007E0C24">
        <w:rPr>
          <w:lang w:val="en-US"/>
        </w:rPr>
        <w:fldChar w:fldCharType="begin"/>
      </w:r>
      <w:r w:rsidR="00DB29A8" w:rsidRPr="00313E82">
        <w:rPr>
          <w:lang w:val="en-US"/>
        </w:rPr>
        <w:instrText xml:space="preserve"> REF _Ref417475151 \r \h </w:instrText>
      </w:r>
      <w:r w:rsidR="009E768B" w:rsidRPr="007E0C24">
        <w:rPr>
          <w:lang w:val="en-US"/>
        </w:rPr>
      </w:r>
      <w:r w:rsidR="009E768B" w:rsidRPr="007E0C24">
        <w:rPr>
          <w:lang w:val="en-US"/>
        </w:rPr>
        <w:fldChar w:fldCharType="separate"/>
      </w:r>
      <w:r w:rsidR="00B772CA">
        <w:rPr>
          <w:lang w:val="en-US"/>
        </w:rPr>
        <w:t>[72]</w:t>
      </w:r>
      <w:r w:rsidR="009E768B" w:rsidRPr="007E0C24">
        <w:rPr>
          <w:lang w:val="en-US"/>
        </w:rPr>
        <w:fldChar w:fldCharType="end"/>
      </w:r>
      <w:r w:rsidR="00DB29A8" w:rsidRPr="00313E82">
        <w:rPr>
          <w:lang w:val="en-US"/>
        </w:rPr>
        <w:t xml:space="preserve">, </w:t>
      </w:r>
      <w:r w:rsidR="009E768B" w:rsidRPr="007E0C24">
        <w:rPr>
          <w:lang w:val="en-US"/>
        </w:rPr>
        <w:fldChar w:fldCharType="begin"/>
      </w:r>
      <w:r w:rsidR="00DB29A8" w:rsidRPr="00313E82">
        <w:rPr>
          <w:lang w:val="en-US"/>
        </w:rPr>
        <w:instrText xml:space="preserve"> REF _Ref417475152 \r \h </w:instrText>
      </w:r>
      <w:r w:rsidR="009E768B" w:rsidRPr="007E0C24">
        <w:rPr>
          <w:lang w:val="en-US"/>
        </w:rPr>
      </w:r>
      <w:r w:rsidR="009E768B" w:rsidRPr="007E0C24">
        <w:rPr>
          <w:lang w:val="en-US"/>
        </w:rPr>
        <w:fldChar w:fldCharType="separate"/>
      </w:r>
      <w:r w:rsidR="00B772CA">
        <w:rPr>
          <w:lang w:val="en-US"/>
        </w:rPr>
        <w:t>[73]</w:t>
      </w:r>
      <w:r w:rsidR="009E768B" w:rsidRPr="007E0C24">
        <w:rPr>
          <w:lang w:val="en-US"/>
        </w:rPr>
        <w:fldChar w:fldCharType="end"/>
      </w:r>
      <w:r w:rsidR="00DB29A8" w:rsidRPr="00313E82">
        <w:rPr>
          <w:lang w:val="en-US"/>
        </w:rPr>
        <w:t xml:space="preserve"> and</w:t>
      </w:r>
      <w:r w:rsidR="00D32D86" w:rsidRPr="00313E82">
        <w:rPr>
          <w:lang w:val="en-US"/>
        </w:rPr>
        <w:t xml:space="preserve"> IAEA requirements on the use of PSA information in safety assessment and decision making </w:t>
      </w:r>
      <w:r w:rsidR="009E768B" w:rsidRPr="007E0C24">
        <w:rPr>
          <w:lang w:val="en-US"/>
        </w:rPr>
        <w:fldChar w:fldCharType="begin"/>
      </w:r>
      <w:r w:rsidR="00D32D86" w:rsidRPr="00313E82">
        <w:rPr>
          <w:lang w:val="en-US"/>
        </w:rPr>
        <w:instrText xml:space="preserve"> REF _Ref392691756 \r \h </w:instrText>
      </w:r>
      <w:r w:rsidR="009E768B" w:rsidRPr="007E0C24">
        <w:rPr>
          <w:lang w:val="en-US"/>
        </w:rPr>
      </w:r>
      <w:r w:rsidR="009E768B" w:rsidRPr="007E0C24">
        <w:rPr>
          <w:lang w:val="en-US"/>
        </w:rPr>
        <w:fldChar w:fldCharType="separate"/>
      </w:r>
      <w:r w:rsidR="00B772CA">
        <w:rPr>
          <w:lang w:val="en-US"/>
        </w:rPr>
        <w:t>[1]</w:t>
      </w:r>
      <w:r w:rsidR="009E768B" w:rsidRPr="007E0C24">
        <w:rPr>
          <w:lang w:val="en-US"/>
        </w:rPr>
        <w:fldChar w:fldCharType="end"/>
      </w:r>
      <w:r w:rsidR="005B3375" w:rsidRPr="00313E82">
        <w:rPr>
          <w:lang w:val="en-US"/>
        </w:rPr>
        <w:t xml:space="preserve">, </w:t>
      </w:r>
      <w:r w:rsidR="009E768B" w:rsidRPr="007E0C24">
        <w:rPr>
          <w:lang w:val="en-US"/>
        </w:rPr>
        <w:fldChar w:fldCharType="begin"/>
      </w:r>
      <w:r w:rsidR="00D32D86" w:rsidRPr="00313E82">
        <w:rPr>
          <w:lang w:val="en-US"/>
        </w:rPr>
        <w:instrText xml:space="preserve"> REF _Ref384386913 \r \h </w:instrText>
      </w:r>
      <w:r w:rsidR="009E768B" w:rsidRPr="007E0C24">
        <w:rPr>
          <w:lang w:val="en-US"/>
        </w:rPr>
      </w:r>
      <w:r w:rsidR="009E768B" w:rsidRPr="007E0C24">
        <w:rPr>
          <w:lang w:val="en-US"/>
        </w:rPr>
        <w:fldChar w:fldCharType="separate"/>
      </w:r>
      <w:r w:rsidR="00B772CA">
        <w:rPr>
          <w:lang w:val="en-US"/>
        </w:rPr>
        <w:t>[4]</w:t>
      </w:r>
      <w:r w:rsidR="009E768B" w:rsidRPr="007E0C24">
        <w:rPr>
          <w:lang w:val="en-US"/>
        </w:rPr>
        <w:fldChar w:fldCharType="end"/>
      </w:r>
      <w:r w:rsidR="005B3375" w:rsidRPr="00313E82">
        <w:rPr>
          <w:lang w:val="en-US"/>
        </w:rPr>
        <w:t xml:space="preserve">, </w:t>
      </w:r>
      <w:r w:rsidR="009E768B" w:rsidRPr="007E0C24">
        <w:rPr>
          <w:lang w:val="en-US"/>
        </w:rPr>
        <w:fldChar w:fldCharType="begin"/>
      </w:r>
      <w:r w:rsidR="00D32D86" w:rsidRPr="00313E82">
        <w:rPr>
          <w:lang w:val="en-US"/>
        </w:rPr>
        <w:instrText xml:space="preserve"> REF _Ref393115557 \r \h </w:instrText>
      </w:r>
      <w:r w:rsidR="009E768B" w:rsidRPr="007E0C24">
        <w:rPr>
          <w:lang w:val="en-US"/>
        </w:rPr>
      </w:r>
      <w:r w:rsidR="009E768B" w:rsidRPr="007E0C24">
        <w:rPr>
          <w:lang w:val="en-US"/>
        </w:rPr>
        <w:fldChar w:fldCharType="separate"/>
      </w:r>
      <w:r w:rsidR="00B772CA">
        <w:rPr>
          <w:lang w:val="en-US"/>
        </w:rPr>
        <w:t>[5]</w:t>
      </w:r>
      <w:r w:rsidR="009E768B" w:rsidRPr="007E0C24">
        <w:rPr>
          <w:lang w:val="en-US"/>
        </w:rPr>
        <w:fldChar w:fldCharType="end"/>
      </w:r>
      <w:r w:rsidR="002161CA" w:rsidRPr="00313E82">
        <w:rPr>
          <w:lang w:val="en-US"/>
        </w:rPr>
        <w:t xml:space="preserve">, </w:t>
      </w:r>
      <w:r w:rsidR="009E768B" w:rsidRPr="007E0C24">
        <w:rPr>
          <w:lang w:val="en-US"/>
        </w:rPr>
        <w:fldChar w:fldCharType="begin"/>
      </w:r>
      <w:r w:rsidR="002161CA" w:rsidRPr="00313E82">
        <w:rPr>
          <w:lang w:val="en-US"/>
        </w:rPr>
        <w:instrText xml:space="preserve"> REF _Ref396313233 \r \h </w:instrText>
      </w:r>
      <w:r w:rsidR="009E768B" w:rsidRPr="007E0C24">
        <w:rPr>
          <w:lang w:val="en-US"/>
        </w:rPr>
      </w:r>
      <w:r w:rsidR="009E768B" w:rsidRPr="007E0C24">
        <w:rPr>
          <w:lang w:val="en-US"/>
        </w:rPr>
        <w:fldChar w:fldCharType="separate"/>
      </w:r>
      <w:r w:rsidR="00B772CA">
        <w:rPr>
          <w:lang w:val="en-US"/>
        </w:rPr>
        <w:t>[56]</w:t>
      </w:r>
      <w:r w:rsidR="009E768B" w:rsidRPr="007E0C24">
        <w:rPr>
          <w:lang w:val="en-US"/>
        </w:rPr>
        <w:fldChar w:fldCharType="end"/>
      </w:r>
      <w:r w:rsidR="002161CA" w:rsidRPr="00313E82">
        <w:rPr>
          <w:lang w:val="en-US"/>
        </w:rPr>
        <w:t xml:space="preserve">. </w:t>
      </w:r>
    </w:p>
    <w:p w:rsidR="00505BFB" w:rsidRPr="00313E82" w:rsidRDefault="00505BFB" w:rsidP="00C14D66">
      <w:pPr>
        <w:rPr>
          <w:lang w:val="en-US"/>
        </w:rPr>
      </w:pPr>
    </w:p>
    <w:p w:rsidR="00B96BD0" w:rsidRPr="00313E82" w:rsidRDefault="00B96BD0" w:rsidP="00C14D66">
      <w:pPr>
        <w:rPr>
          <w:lang w:val="en-US"/>
        </w:rPr>
      </w:pPr>
      <w:r w:rsidRPr="00313E82">
        <w:rPr>
          <w:lang w:val="en-US"/>
        </w:rPr>
        <w:t>In summary, INSAG defines IRIDM as a process (broadly following a PDCA</w:t>
      </w:r>
      <w:r w:rsidR="0067110B" w:rsidRPr="00313E82">
        <w:rPr>
          <w:rStyle w:val="Appelnotedebasdep"/>
          <w:lang w:val="en-US"/>
        </w:rPr>
        <w:footnoteReference w:id="2"/>
      </w:r>
      <w:r w:rsidRPr="00313E82">
        <w:rPr>
          <w:lang w:val="en-US"/>
        </w:rPr>
        <w:t xml:space="preserve"> approach </w:t>
      </w:r>
      <w:r w:rsidR="009E768B" w:rsidRPr="007E0C24">
        <w:rPr>
          <w:lang w:val="en-US"/>
        </w:rPr>
        <w:fldChar w:fldCharType="begin"/>
      </w:r>
      <w:r w:rsidR="003811B6" w:rsidRPr="00313E82">
        <w:rPr>
          <w:lang w:val="en-US"/>
        </w:rPr>
        <w:instrText xml:space="preserve"> REF _Ref396314739 \r \h </w:instrText>
      </w:r>
      <w:r w:rsidR="009E768B" w:rsidRPr="007E0C24">
        <w:rPr>
          <w:lang w:val="en-US"/>
        </w:rPr>
      </w:r>
      <w:r w:rsidR="009E768B" w:rsidRPr="007E0C24">
        <w:rPr>
          <w:lang w:val="en-US"/>
        </w:rPr>
        <w:fldChar w:fldCharType="separate"/>
      </w:r>
      <w:r w:rsidR="00B772CA">
        <w:rPr>
          <w:lang w:val="en-US"/>
        </w:rPr>
        <w:t>[57]</w:t>
      </w:r>
      <w:r w:rsidR="009E768B" w:rsidRPr="007E0C24">
        <w:rPr>
          <w:lang w:val="en-US"/>
        </w:rPr>
        <w:fldChar w:fldCharType="end"/>
      </w:r>
      <w:r w:rsidR="003811B6" w:rsidRPr="00313E82">
        <w:rPr>
          <w:lang w:val="en-US"/>
        </w:rPr>
        <w:t xml:space="preserve">) where for an issue first decision options are defined. For those, a systematic assessment of potentially relevant aspects (mostly: safety assessments) is performed. The results are evaluated and used for an “integrated decision” i.e. taking into account all relevant factors. Thereafter, the decision is implemented, the implementation is monitored and corrective actions are derived if needed, thus closing the PDCA loop (cf. </w:t>
      </w:r>
      <w:r w:rsidR="009E768B" w:rsidRPr="007E0C24">
        <w:rPr>
          <w:lang w:val="en-US"/>
        </w:rPr>
        <w:fldChar w:fldCharType="begin"/>
      </w:r>
      <w:r w:rsidR="003811B6" w:rsidRPr="00313E82">
        <w:rPr>
          <w:lang w:val="en-US"/>
        </w:rPr>
        <w:instrText xml:space="preserve"> REF _Ref396314965 \h </w:instrText>
      </w:r>
      <w:r w:rsidR="009E768B" w:rsidRPr="007E0C24">
        <w:rPr>
          <w:lang w:val="en-US"/>
        </w:rPr>
      </w:r>
      <w:r w:rsidR="009E768B" w:rsidRPr="007E0C24">
        <w:rPr>
          <w:lang w:val="en-US"/>
        </w:rPr>
        <w:fldChar w:fldCharType="separate"/>
      </w:r>
      <w:r w:rsidR="00B772CA">
        <w:rPr>
          <w:lang w:val="en-US"/>
        </w:rPr>
        <w:t xml:space="preserve">Table </w:t>
      </w:r>
      <w:r w:rsidR="00B772CA">
        <w:rPr>
          <w:noProof/>
          <w:lang w:val="en-US"/>
        </w:rPr>
        <w:t>1</w:t>
      </w:r>
      <w:r w:rsidR="009E768B" w:rsidRPr="007E0C24">
        <w:rPr>
          <w:lang w:val="en-US"/>
        </w:rPr>
        <w:fldChar w:fldCharType="end"/>
      </w:r>
      <w:r w:rsidR="003811B6" w:rsidRPr="00313E82">
        <w:rPr>
          <w:lang w:val="en-US"/>
        </w:rPr>
        <w:t>)</w:t>
      </w:r>
    </w:p>
    <w:p w:rsidR="00505BFB" w:rsidRPr="00313E82" w:rsidRDefault="00505BFB" w:rsidP="00C14D66">
      <w:pPr>
        <w:rPr>
          <w:lang w:val="en-US"/>
        </w:rPr>
      </w:pPr>
      <w:r w:rsidRPr="004D7C87">
        <w:rPr>
          <w:noProof/>
        </w:rPr>
        <w:lastRenderedPageBreak/>
        <w:drawing>
          <wp:inline distT="0" distB="0" distL="0" distR="0" wp14:anchorId="6DCC02DE" wp14:editId="4696DE8E">
            <wp:extent cx="5619750" cy="356331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849" t="30377" r="20345" b="15592"/>
                    <a:stretch/>
                  </pic:blipFill>
                  <pic:spPr bwMode="auto">
                    <a:xfrm>
                      <a:off x="0" y="0"/>
                      <a:ext cx="5617327" cy="3561775"/>
                    </a:xfrm>
                    <a:prstGeom prst="rect">
                      <a:avLst/>
                    </a:prstGeom>
                    <a:ln>
                      <a:noFill/>
                    </a:ln>
                    <a:extLst>
                      <a:ext uri="{53640926-AAD7-44D8-BBD7-CCE9431645EC}">
                        <a14:shadowObscured xmlns:a14="http://schemas.microsoft.com/office/drawing/2010/main"/>
                      </a:ext>
                    </a:extLst>
                  </pic:spPr>
                </pic:pic>
              </a:graphicData>
            </a:graphic>
          </wp:inline>
        </w:drawing>
      </w:r>
    </w:p>
    <w:p w:rsidR="00505BFB" w:rsidRPr="00313E82" w:rsidRDefault="00636B67" w:rsidP="00667C6C">
      <w:pPr>
        <w:pStyle w:val="Lgende"/>
        <w:rPr>
          <w:lang w:val="en-US"/>
        </w:rPr>
      </w:pPr>
      <w:bookmarkStart w:id="47" w:name="_Ref396314965"/>
      <w:bookmarkStart w:id="48" w:name="_Toc474428897"/>
      <w:r>
        <w:rPr>
          <w:lang w:val="en-US"/>
        </w:rPr>
        <w:t>Table</w:t>
      </w:r>
      <w:r w:rsidR="00D76BD4">
        <w:rPr>
          <w:lang w:val="en-US"/>
        </w:rPr>
        <w:t xml:space="preserve"> </w:t>
      </w:r>
      <w:r w:rsidR="009E768B">
        <w:rPr>
          <w:lang w:val="en-US"/>
        </w:rPr>
        <w:fldChar w:fldCharType="begin"/>
      </w:r>
      <w:r>
        <w:rPr>
          <w:lang w:val="en-US"/>
        </w:rPr>
        <w:instrText xml:space="preserve"> SEQ Table \* ARABIC </w:instrText>
      </w:r>
      <w:r w:rsidR="009E768B">
        <w:rPr>
          <w:lang w:val="en-US"/>
        </w:rPr>
        <w:fldChar w:fldCharType="separate"/>
      </w:r>
      <w:r w:rsidR="00B772CA">
        <w:rPr>
          <w:noProof/>
          <w:lang w:val="en-US"/>
        </w:rPr>
        <w:t>1</w:t>
      </w:r>
      <w:r w:rsidR="009E768B">
        <w:rPr>
          <w:lang w:val="en-US"/>
        </w:rPr>
        <w:fldChar w:fldCharType="end"/>
      </w:r>
      <w:bookmarkEnd w:id="47"/>
      <w:r w:rsidR="00557A1D">
        <w:rPr>
          <w:lang w:val="en-US"/>
        </w:rPr>
        <w:t xml:space="preserve">: </w:t>
      </w:r>
      <w:r w:rsidR="00B96BD0" w:rsidRPr="00313E82">
        <w:rPr>
          <w:lang w:val="en-US"/>
        </w:rPr>
        <w:t>Key elements of IRIDM approach</w:t>
      </w:r>
      <w:r w:rsidR="003811B6" w:rsidRPr="00313E82">
        <w:rPr>
          <w:lang w:val="en-US"/>
        </w:rPr>
        <w:t xml:space="preserve"> from INSAG-25</w:t>
      </w:r>
      <w:r w:rsidR="00B96BD0" w:rsidRPr="00313E82">
        <w:rPr>
          <w:lang w:val="en-US"/>
        </w:rPr>
        <w:t xml:space="preserve"> </w:t>
      </w:r>
      <w:r w:rsidR="009E768B" w:rsidRPr="007E0C24">
        <w:rPr>
          <w:lang w:val="en-US"/>
        </w:rPr>
        <w:fldChar w:fldCharType="begin"/>
      </w:r>
      <w:r w:rsidR="00B96BD0" w:rsidRPr="00313E82">
        <w:rPr>
          <w:lang w:val="en-US"/>
        </w:rPr>
        <w:instrText xml:space="preserve"> REF _Ref396309694 \r \h </w:instrText>
      </w:r>
      <w:r w:rsidR="009E768B" w:rsidRPr="007E0C24">
        <w:rPr>
          <w:lang w:val="en-US"/>
        </w:rPr>
      </w:r>
      <w:r w:rsidR="009E768B" w:rsidRPr="007E0C24">
        <w:rPr>
          <w:lang w:val="en-US"/>
        </w:rPr>
        <w:fldChar w:fldCharType="separate"/>
      </w:r>
      <w:r w:rsidR="00B772CA">
        <w:rPr>
          <w:lang w:val="en-US"/>
        </w:rPr>
        <w:t>[6]</w:t>
      </w:r>
      <w:r w:rsidR="009E768B" w:rsidRPr="007E0C24">
        <w:rPr>
          <w:lang w:val="en-US"/>
        </w:rPr>
        <w:fldChar w:fldCharType="end"/>
      </w:r>
      <w:r w:rsidR="00B96BD0" w:rsidRPr="00313E82">
        <w:rPr>
          <w:lang w:val="en-US"/>
        </w:rPr>
        <w:t xml:space="preserve"> , p. 6</w:t>
      </w:r>
      <w:bookmarkEnd w:id="48"/>
    </w:p>
    <w:p w:rsidR="007D4D38" w:rsidRPr="00313E82" w:rsidRDefault="007D4D38" w:rsidP="00901FEC">
      <w:pPr>
        <w:rPr>
          <w:highlight w:val="yellow"/>
          <w:lang w:val="en-US"/>
        </w:rPr>
      </w:pPr>
    </w:p>
    <w:p w:rsidR="0021697F" w:rsidRPr="00313E82" w:rsidRDefault="003811B6" w:rsidP="00901FEC">
      <w:pPr>
        <w:rPr>
          <w:lang w:val="en-US"/>
        </w:rPr>
      </w:pPr>
      <w:r w:rsidRPr="00313E82">
        <w:rPr>
          <w:lang w:val="en-US"/>
        </w:rPr>
        <w:t xml:space="preserve">Moreover, INSAG-25 recommends using a risk-informed approach for all safety related decisions on nuclear installations, if such an approach is merited. Following GSR Part 4 </w:t>
      </w:r>
      <w:r w:rsidR="009E768B" w:rsidRPr="007E0C24">
        <w:rPr>
          <w:lang w:val="en-US"/>
        </w:rPr>
        <w:fldChar w:fldCharType="begin"/>
      </w:r>
      <w:r w:rsidRPr="00313E82">
        <w:rPr>
          <w:lang w:val="en-US"/>
        </w:rPr>
        <w:instrText xml:space="preserve"> REF _Ref396313233 \r \h </w:instrText>
      </w:r>
      <w:r w:rsidR="009E768B" w:rsidRPr="007E0C24">
        <w:rPr>
          <w:lang w:val="en-US"/>
        </w:rPr>
      </w:r>
      <w:r w:rsidR="009E768B" w:rsidRPr="007E0C24">
        <w:rPr>
          <w:lang w:val="en-US"/>
        </w:rPr>
        <w:fldChar w:fldCharType="separate"/>
      </w:r>
      <w:r w:rsidR="00B772CA">
        <w:rPr>
          <w:lang w:val="en-US"/>
        </w:rPr>
        <w:t>[56]</w:t>
      </w:r>
      <w:r w:rsidR="009E768B" w:rsidRPr="007E0C24">
        <w:rPr>
          <w:lang w:val="en-US"/>
        </w:rPr>
        <w:fldChar w:fldCharType="end"/>
      </w:r>
      <w:r w:rsidRPr="00313E82">
        <w:rPr>
          <w:lang w:val="en-US"/>
        </w:rPr>
        <w:t xml:space="preserve">, this is consistent with a graded approach to safety assessment. If a decision can be made using a less systematic and less onerous approach, </w:t>
      </w:r>
      <w:r w:rsidR="00CC5B34" w:rsidRPr="00313E82">
        <w:rPr>
          <w:lang w:val="en-US"/>
        </w:rPr>
        <w:t xml:space="preserve">it is not necessary to do (lots of) unnecessary assessments and investigations. Nonetheless, for any organizations following a quality and safety management approach, the generic decision process would contain these elements. </w:t>
      </w:r>
    </w:p>
    <w:p w:rsidR="003811B6" w:rsidRPr="00313E82" w:rsidRDefault="00CC5B34" w:rsidP="00901FEC">
      <w:pPr>
        <w:rPr>
          <w:lang w:val="en-US"/>
        </w:rPr>
      </w:pPr>
      <w:r w:rsidRPr="00313E82">
        <w:rPr>
          <w:lang w:val="en-US"/>
        </w:rPr>
        <w:t xml:space="preserve">With regard to this report, the INSAG approach defines the scope of </w:t>
      </w:r>
      <w:r w:rsidR="00493B85">
        <w:rPr>
          <w:lang w:val="en-US"/>
        </w:rPr>
        <w:t xml:space="preserve">the </w:t>
      </w:r>
      <w:r w:rsidRPr="00313E82">
        <w:rPr>
          <w:lang w:val="en-US"/>
        </w:rPr>
        <w:t xml:space="preserve">applications for which results </w:t>
      </w:r>
      <w:r w:rsidR="0021697F" w:rsidRPr="00313E82">
        <w:rPr>
          <w:lang w:val="en-US"/>
        </w:rPr>
        <w:t>of an extended PSA for nuclear power plants could be used</w:t>
      </w:r>
      <w:r w:rsidR="00300AD5" w:rsidRPr="00313E82">
        <w:rPr>
          <w:lang w:val="en-US"/>
        </w:rPr>
        <w:t xml:space="preserve"> in</w:t>
      </w:r>
      <w:r w:rsidR="0021697F" w:rsidRPr="00313E82">
        <w:rPr>
          <w:lang w:val="en-US"/>
        </w:rPr>
        <w:t xml:space="preserve"> decisions related to the safety of an NPP.</w:t>
      </w:r>
    </w:p>
    <w:p w:rsidR="0021697F" w:rsidRPr="00313E82" w:rsidRDefault="003B2E49" w:rsidP="00901FEC">
      <w:pPr>
        <w:rPr>
          <w:lang w:val="en-US"/>
        </w:rPr>
      </w:pPr>
      <w:r w:rsidRPr="00313E82">
        <w:rPr>
          <w:lang w:val="en-US"/>
        </w:rPr>
        <w:t xml:space="preserve">Importantly, INSAG-25 does not recommend a specific approach for arriving at a decision, i.e. on how different aspects should be balanced against each other. From the theoretical background on decision making, there are several approaches for this task like “value at risk” </w:t>
      </w:r>
      <w:r w:rsidR="009E768B" w:rsidRPr="007E0C24">
        <w:rPr>
          <w:lang w:val="en-US"/>
        </w:rPr>
        <w:fldChar w:fldCharType="begin"/>
      </w:r>
      <w:r w:rsidRPr="00313E82">
        <w:rPr>
          <w:lang w:val="en-US"/>
        </w:rPr>
        <w:instrText xml:space="preserve"> REF _Ref396308491 \r \h </w:instrText>
      </w:r>
      <w:r w:rsidR="009E768B" w:rsidRPr="007E0C24">
        <w:rPr>
          <w:lang w:val="en-US"/>
        </w:rPr>
      </w:r>
      <w:r w:rsidR="009E768B" w:rsidRPr="007E0C24">
        <w:rPr>
          <w:lang w:val="en-US"/>
        </w:rPr>
        <w:fldChar w:fldCharType="separate"/>
      </w:r>
      <w:r w:rsidR="00B772CA">
        <w:rPr>
          <w:lang w:val="en-US"/>
        </w:rPr>
        <w:t>[47]</w:t>
      </w:r>
      <w:r w:rsidR="009E768B" w:rsidRPr="007E0C24">
        <w:rPr>
          <w:lang w:val="en-US"/>
        </w:rPr>
        <w:fldChar w:fldCharType="end"/>
      </w:r>
      <w:r w:rsidRPr="00313E82">
        <w:rPr>
          <w:lang w:val="en-US"/>
        </w:rPr>
        <w:t xml:space="preserve">, </w:t>
      </w:r>
      <w:r w:rsidR="009E768B" w:rsidRPr="007E0C24">
        <w:rPr>
          <w:lang w:val="en-US"/>
        </w:rPr>
        <w:fldChar w:fldCharType="begin"/>
      </w:r>
      <w:r w:rsidRPr="00313E82">
        <w:rPr>
          <w:lang w:val="en-US"/>
        </w:rPr>
        <w:instrText xml:space="preserve"> REF _Ref396210584 \r \h </w:instrText>
      </w:r>
      <w:r w:rsidR="009E768B" w:rsidRPr="007E0C24">
        <w:rPr>
          <w:lang w:val="en-US"/>
        </w:rPr>
      </w:r>
      <w:r w:rsidR="009E768B" w:rsidRPr="007E0C24">
        <w:rPr>
          <w:lang w:val="en-US"/>
        </w:rPr>
        <w:fldChar w:fldCharType="separate"/>
      </w:r>
      <w:r w:rsidR="00B772CA">
        <w:rPr>
          <w:lang w:val="en-US"/>
        </w:rPr>
        <w:t>[52]</w:t>
      </w:r>
      <w:r w:rsidR="009E768B" w:rsidRPr="007E0C24">
        <w:rPr>
          <w:lang w:val="en-US"/>
        </w:rPr>
        <w:fldChar w:fldCharType="end"/>
      </w:r>
      <w:r w:rsidRPr="00313E82">
        <w:rPr>
          <w:lang w:val="en-US"/>
        </w:rPr>
        <w:t xml:space="preserve">, </w:t>
      </w:r>
      <w:r w:rsidR="00876260" w:rsidRPr="00313E82">
        <w:rPr>
          <w:lang w:val="en-US"/>
        </w:rPr>
        <w:t xml:space="preserve">“loss of life” </w:t>
      </w:r>
      <w:r w:rsidR="009E768B" w:rsidRPr="007E0C24">
        <w:rPr>
          <w:lang w:val="en-US"/>
        </w:rPr>
        <w:fldChar w:fldCharType="begin"/>
      </w:r>
      <w:r w:rsidR="00876260" w:rsidRPr="00313E82">
        <w:rPr>
          <w:lang w:val="en-US"/>
        </w:rPr>
        <w:instrText xml:space="preserve"> REF _Ref396318277 \r \h </w:instrText>
      </w:r>
      <w:r w:rsidR="009E768B" w:rsidRPr="007E0C24">
        <w:rPr>
          <w:lang w:val="en-US"/>
        </w:rPr>
      </w:r>
      <w:r w:rsidR="009E768B" w:rsidRPr="007E0C24">
        <w:rPr>
          <w:lang w:val="en-US"/>
        </w:rPr>
        <w:fldChar w:fldCharType="separate"/>
      </w:r>
      <w:r w:rsidR="00B772CA">
        <w:rPr>
          <w:lang w:val="en-US"/>
        </w:rPr>
        <w:t>[33]</w:t>
      </w:r>
      <w:r w:rsidR="009E768B" w:rsidRPr="007E0C24">
        <w:rPr>
          <w:lang w:val="en-US"/>
        </w:rPr>
        <w:fldChar w:fldCharType="end"/>
      </w:r>
      <w:r w:rsidR="00876260" w:rsidRPr="00313E82">
        <w:rPr>
          <w:lang w:val="en-US"/>
        </w:rPr>
        <w:t xml:space="preserve">, </w:t>
      </w:r>
      <w:r w:rsidR="009E768B" w:rsidRPr="007E0C24">
        <w:rPr>
          <w:lang w:val="en-US"/>
        </w:rPr>
        <w:fldChar w:fldCharType="begin"/>
      </w:r>
      <w:r w:rsidR="00876260" w:rsidRPr="00313E82">
        <w:rPr>
          <w:lang w:val="en-US"/>
        </w:rPr>
        <w:instrText xml:space="preserve"> REF _Ref396318244 \r \h </w:instrText>
      </w:r>
      <w:r w:rsidR="009E768B" w:rsidRPr="007E0C24">
        <w:rPr>
          <w:lang w:val="en-US"/>
        </w:rPr>
      </w:r>
      <w:r w:rsidR="009E768B" w:rsidRPr="007E0C24">
        <w:rPr>
          <w:lang w:val="en-US"/>
        </w:rPr>
        <w:fldChar w:fldCharType="separate"/>
      </w:r>
      <w:r w:rsidR="00B772CA">
        <w:rPr>
          <w:lang w:val="en-US"/>
        </w:rPr>
        <w:t>[34]</w:t>
      </w:r>
      <w:r w:rsidR="009E768B" w:rsidRPr="007E0C24">
        <w:rPr>
          <w:lang w:val="en-US"/>
        </w:rPr>
        <w:fldChar w:fldCharType="end"/>
      </w:r>
      <w:r w:rsidR="00876260" w:rsidRPr="00313E82">
        <w:rPr>
          <w:lang w:val="en-US"/>
        </w:rPr>
        <w:t xml:space="preserve">, </w:t>
      </w:r>
      <w:r w:rsidRPr="00313E82">
        <w:rPr>
          <w:lang w:val="en-US"/>
        </w:rPr>
        <w:t>expected utility</w:t>
      </w:r>
      <w:r w:rsidR="006C298F" w:rsidRPr="00313E82">
        <w:rPr>
          <w:lang w:val="en-US"/>
        </w:rPr>
        <w:t xml:space="preserve"> or multi-att</w:t>
      </w:r>
      <w:r w:rsidR="009F442D" w:rsidRPr="00313E82">
        <w:rPr>
          <w:lang w:val="en-US"/>
        </w:rPr>
        <w:t>r</w:t>
      </w:r>
      <w:r w:rsidR="006C298F" w:rsidRPr="00313E82">
        <w:rPr>
          <w:lang w:val="en-US"/>
        </w:rPr>
        <w:t xml:space="preserve">ibute utility theory (MAUT) </w:t>
      </w:r>
      <w:r w:rsidR="009E768B" w:rsidRPr="007E0C24">
        <w:rPr>
          <w:lang w:val="en-US"/>
        </w:rPr>
        <w:fldChar w:fldCharType="begin"/>
      </w:r>
      <w:r w:rsidR="006C298F" w:rsidRPr="00313E82">
        <w:rPr>
          <w:lang w:val="en-US"/>
        </w:rPr>
        <w:instrText xml:space="preserve"> REF _Ref396320164 \r \h </w:instrText>
      </w:r>
      <w:r w:rsidR="009E768B" w:rsidRPr="007E0C24">
        <w:rPr>
          <w:lang w:val="en-US"/>
        </w:rPr>
      </w:r>
      <w:r w:rsidR="009E768B" w:rsidRPr="007E0C24">
        <w:rPr>
          <w:lang w:val="en-US"/>
        </w:rPr>
        <w:fldChar w:fldCharType="separate"/>
      </w:r>
      <w:r w:rsidR="00B772CA">
        <w:rPr>
          <w:lang w:val="en-US"/>
        </w:rPr>
        <w:t>[59]</w:t>
      </w:r>
      <w:r w:rsidR="009E768B" w:rsidRPr="007E0C24">
        <w:rPr>
          <w:lang w:val="en-US"/>
        </w:rPr>
        <w:fldChar w:fldCharType="end"/>
      </w:r>
      <w:r w:rsidR="006C298F" w:rsidRPr="00313E82">
        <w:rPr>
          <w:lang w:val="en-US"/>
        </w:rPr>
        <w:t xml:space="preserve">, </w:t>
      </w:r>
      <w:r w:rsidR="009E768B" w:rsidRPr="007E0C24">
        <w:rPr>
          <w:lang w:val="en-US"/>
        </w:rPr>
        <w:fldChar w:fldCharType="begin"/>
      </w:r>
      <w:r w:rsidR="006C298F" w:rsidRPr="00313E82">
        <w:rPr>
          <w:lang w:val="en-US"/>
        </w:rPr>
        <w:instrText xml:space="preserve"> REF _Ref396320169 \r \h </w:instrText>
      </w:r>
      <w:r w:rsidR="009E768B" w:rsidRPr="007E0C24">
        <w:rPr>
          <w:lang w:val="en-US"/>
        </w:rPr>
      </w:r>
      <w:r w:rsidR="009E768B" w:rsidRPr="007E0C24">
        <w:rPr>
          <w:lang w:val="en-US"/>
        </w:rPr>
        <w:fldChar w:fldCharType="separate"/>
      </w:r>
      <w:r w:rsidR="00B772CA">
        <w:rPr>
          <w:lang w:val="en-US"/>
        </w:rPr>
        <w:t>[45]</w:t>
      </w:r>
      <w:r w:rsidR="009E768B" w:rsidRPr="007E0C24">
        <w:rPr>
          <w:lang w:val="en-US"/>
        </w:rPr>
        <w:fldChar w:fldCharType="end"/>
      </w:r>
      <w:r w:rsidR="006C298F" w:rsidRPr="00313E82">
        <w:rPr>
          <w:lang w:val="en-US"/>
        </w:rPr>
        <w:t>,</w:t>
      </w:r>
      <w:r w:rsidRPr="00313E82">
        <w:rPr>
          <w:lang w:val="en-US"/>
        </w:rPr>
        <w:t xml:space="preserve"> </w:t>
      </w:r>
      <w:r w:rsidR="009E768B" w:rsidRPr="007E0C24">
        <w:rPr>
          <w:lang w:val="en-US"/>
        </w:rPr>
        <w:fldChar w:fldCharType="begin"/>
      </w:r>
      <w:r w:rsidR="00AF3A1E" w:rsidRPr="00313E82">
        <w:rPr>
          <w:lang w:val="en-US"/>
        </w:rPr>
        <w:instrText xml:space="preserve"> REF _Ref396308664 \r \h </w:instrText>
      </w:r>
      <w:r w:rsidR="009E768B" w:rsidRPr="007E0C24">
        <w:rPr>
          <w:lang w:val="en-US"/>
        </w:rPr>
      </w:r>
      <w:r w:rsidR="009E768B" w:rsidRPr="007E0C24">
        <w:rPr>
          <w:lang w:val="en-US"/>
        </w:rPr>
        <w:fldChar w:fldCharType="separate"/>
      </w:r>
      <w:r w:rsidR="00B772CA">
        <w:rPr>
          <w:lang w:val="en-US"/>
        </w:rPr>
        <w:t>[51]</w:t>
      </w:r>
      <w:r w:rsidR="009E768B" w:rsidRPr="007E0C24">
        <w:rPr>
          <w:lang w:val="en-US"/>
        </w:rPr>
        <w:fldChar w:fldCharType="end"/>
      </w:r>
      <w:r w:rsidR="00AF3A1E" w:rsidRPr="00313E82">
        <w:rPr>
          <w:lang w:val="en-US"/>
        </w:rPr>
        <w:t xml:space="preserve">, prospect theory </w:t>
      </w:r>
      <w:r w:rsidR="009E768B" w:rsidRPr="007E0C24">
        <w:rPr>
          <w:lang w:val="en-US"/>
        </w:rPr>
        <w:fldChar w:fldCharType="begin"/>
      </w:r>
      <w:r w:rsidR="00AF3A1E" w:rsidRPr="00313E82">
        <w:rPr>
          <w:lang w:val="en-US"/>
        </w:rPr>
        <w:instrText xml:space="preserve"> REF _Ref396308664 \r \h </w:instrText>
      </w:r>
      <w:r w:rsidR="009E768B" w:rsidRPr="007E0C24">
        <w:rPr>
          <w:lang w:val="en-US"/>
        </w:rPr>
      </w:r>
      <w:r w:rsidR="009E768B" w:rsidRPr="007E0C24">
        <w:rPr>
          <w:lang w:val="en-US"/>
        </w:rPr>
        <w:fldChar w:fldCharType="separate"/>
      </w:r>
      <w:r w:rsidR="00B772CA">
        <w:rPr>
          <w:lang w:val="en-US"/>
        </w:rPr>
        <w:t>[51]</w:t>
      </w:r>
      <w:r w:rsidR="009E768B" w:rsidRPr="007E0C24">
        <w:rPr>
          <w:lang w:val="en-US"/>
        </w:rPr>
        <w:fldChar w:fldCharType="end"/>
      </w:r>
      <w:r w:rsidR="00AF3A1E" w:rsidRPr="00313E82">
        <w:rPr>
          <w:lang w:val="en-US"/>
        </w:rPr>
        <w:t>, risk m</w:t>
      </w:r>
      <w:r w:rsidR="005B58C7" w:rsidRPr="00313E82">
        <w:rPr>
          <w:lang w:val="en-US"/>
        </w:rPr>
        <w:t>a</w:t>
      </w:r>
      <w:r w:rsidR="00AF3A1E" w:rsidRPr="00313E82">
        <w:rPr>
          <w:lang w:val="en-US"/>
        </w:rPr>
        <w:t xml:space="preserve">trices </w:t>
      </w:r>
      <w:r w:rsidR="009E768B" w:rsidRPr="007E0C24">
        <w:rPr>
          <w:lang w:val="en-US"/>
        </w:rPr>
        <w:fldChar w:fldCharType="begin"/>
      </w:r>
      <w:r w:rsidR="00AF3A1E" w:rsidRPr="00313E82">
        <w:rPr>
          <w:lang w:val="en-US"/>
        </w:rPr>
        <w:instrText xml:space="preserve"> REF _Ref396318946 \r \h </w:instrText>
      </w:r>
      <w:r w:rsidR="009E768B" w:rsidRPr="007E0C24">
        <w:rPr>
          <w:lang w:val="en-US"/>
        </w:rPr>
      </w:r>
      <w:r w:rsidR="009E768B" w:rsidRPr="007E0C24">
        <w:rPr>
          <w:lang w:val="en-US"/>
        </w:rPr>
        <w:fldChar w:fldCharType="separate"/>
      </w:r>
      <w:r w:rsidR="00B772CA">
        <w:rPr>
          <w:lang w:val="en-US"/>
        </w:rPr>
        <w:t>[27]</w:t>
      </w:r>
      <w:r w:rsidR="009E768B" w:rsidRPr="007E0C24">
        <w:rPr>
          <w:lang w:val="en-US"/>
        </w:rPr>
        <w:fldChar w:fldCharType="end"/>
      </w:r>
      <w:r w:rsidR="00AF3A1E" w:rsidRPr="00313E82">
        <w:rPr>
          <w:lang w:val="en-US"/>
        </w:rPr>
        <w:t xml:space="preserve">, </w:t>
      </w:r>
      <w:r w:rsidR="009E768B" w:rsidRPr="007E0C24">
        <w:rPr>
          <w:lang w:val="en-US"/>
        </w:rPr>
        <w:fldChar w:fldCharType="begin"/>
      </w:r>
      <w:r w:rsidR="00AF3A1E" w:rsidRPr="00313E82">
        <w:rPr>
          <w:lang w:val="en-US"/>
        </w:rPr>
        <w:instrText xml:space="preserve"> REF _Ref396318977 \r \h </w:instrText>
      </w:r>
      <w:r w:rsidR="009E768B" w:rsidRPr="007E0C24">
        <w:rPr>
          <w:lang w:val="en-US"/>
        </w:rPr>
      </w:r>
      <w:r w:rsidR="009E768B" w:rsidRPr="007E0C24">
        <w:rPr>
          <w:lang w:val="en-US"/>
        </w:rPr>
        <w:fldChar w:fldCharType="separate"/>
      </w:r>
      <w:r w:rsidR="00B772CA">
        <w:rPr>
          <w:lang w:val="en-US"/>
        </w:rPr>
        <w:t>[23]</w:t>
      </w:r>
      <w:r w:rsidR="009E768B" w:rsidRPr="007E0C24">
        <w:rPr>
          <w:lang w:val="en-US"/>
        </w:rPr>
        <w:fldChar w:fldCharType="end"/>
      </w:r>
      <w:r w:rsidR="006C298F" w:rsidRPr="00313E82">
        <w:rPr>
          <w:lang w:val="en-US"/>
        </w:rPr>
        <w:t xml:space="preserve">, </w:t>
      </w:r>
      <w:r w:rsidR="009E768B" w:rsidRPr="007E0C24">
        <w:rPr>
          <w:lang w:val="en-US"/>
        </w:rPr>
        <w:fldChar w:fldCharType="begin"/>
      </w:r>
      <w:r w:rsidR="00AC59E6" w:rsidRPr="00313E82">
        <w:rPr>
          <w:lang w:val="en-US"/>
        </w:rPr>
        <w:instrText xml:space="preserve"> REF _Ref396320169 \r \h </w:instrText>
      </w:r>
      <w:r w:rsidR="009E768B" w:rsidRPr="007E0C24">
        <w:rPr>
          <w:lang w:val="en-US"/>
        </w:rPr>
      </w:r>
      <w:r w:rsidR="009E768B" w:rsidRPr="007E0C24">
        <w:rPr>
          <w:lang w:val="en-US"/>
        </w:rPr>
        <w:fldChar w:fldCharType="separate"/>
      </w:r>
      <w:r w:rsidR="00B772CA">
        <w:rPr>
          <w:lang w:val="en-US"/>
        </w:rPr>
        <w:t>[45]</w:t>
      </w:r>
      <w:r w:rsidR="009E768B" w:rsidRPr="007E0C24">
        <w:rPr>
          <w:lang w:val="en-US"/>
        </w:rPr>
        <w:fldChar w:fldCharType="end"/>
      </w:r>
      <w:r w:rsidR="00AC59E6" w:rsidRPr="00313E82">
        <w:rPr>
          <w:lang w:val="en-US"/>
        </w:rPr>
        <w:t xml:space="preserve">, </w:t>
      </w:r>
      <w:r w:rsidR="006C298F" w:rsidRPr="00313E82">
        <w:rPr>
          <w:lang w:val="en-US"/>
        </w:rPr>
        <w:t xml:space="preserve">etc. The choice of </w:t>
      </w:r>
      <w:r w:rsidR="00DB29A8" w:rsidRPr="00313E82">
        <w:rPr>
          <w:lang w:val="en-US"/>
        </w:rPr>
        <w:t xml:space="preserve">one </w:t>
      </w:r>
      <w:r w:rsidR="006C298F" w:rsidRPr="00313E82">
        <w:rPr>
          <w:lang w:val="en-US"/>
        </w:rPr>
        <w:t xml:space="preserve">appropriate risk </w:t>
      </w:r>
      <w:r w:rsidR="00A9765B" w:rsidRPr="00313E82">
        <w:rPr>
          <w:lang w:val="en-US"/>
        </w:rPr>
        <w:t xml:space="preserve">measure or a set of risk measures </w:t>
      </w:r>
      <w:r w:rsidR="006C298F" w:rsidRPr="00313E82">
        <w:rPr>
          <w:lang w:val="en-US"/>
        </w:rPr>
        <w:t xml:space="preserve">depends on the decision making approach </w:t>
      </w:r>
      <w:r w:rsidR="009E768B" w:rsidRPr="007E0C24">
        <w:rPr>
          <w:lang w:val="en-US"/>
        </w:rPr>
        <w:fldChar w:fldCharType="begin"/>
      </w:r>
      <w:r w:rsidR="006C298F" w:rsidRPr="00313E82">
        <w:rPr>
          <w:lang w:val="en-US"/>
        </w:rPr>
        <w:instrText xml:space="preserve"> REF _Ref396320286 \r \h </w:instrText>
      </w:r>
      <w:r w:rsidR="009E768B" w:rsidRPr="007E0C24">
        <w:rPr>
          <w:lang w:val="en-US"/>
        </w:rPr>
      </w:r>
      <w:r w:rsidR="009E768B" w:rsidRPr="007E0C24">
        <w:rPr>
          <w:lang w:val="en-US"/>
        </w:rPr>
        <w:fldChar w:fldCharType="separate"/>
      </w:r>
      <w:r w:rsidR="00B772CA">
        <w:rPr>
          <w:lang w:val="en-US"/>
        </w:rPr>
        <w:t>[32]</w:t>
      </w:r>
      <w:r w:rsidR="009E768B" w:rsidRPr="007E0C24">
        <w:rPr>
          <w:lang w:val="en-US"/>
        </w:rPr>
        <w:fldChar w:fldCharType="end"/>
      </w:r>
      <w:r w:rsidR="001A348C" w:rsidRPr="00313E82">
        <w:rPr>
          <w:lang w:val="en-US"/>
        </w:rPr>
        <w:t xml:space="preserve"> as well as on the issue to be decided</w:t>
      </w:r>
      <w:r w:rsidR="006C298F" w:rsidRPr="00313E82">
        <w:rPr>
          <w:lang w:val="en-US"/>
        </w:rPr>
        <w:t xml:space="preserve">. For the purpose of this report, certain assumptions on risk </w:t>
      </w:r>
      <w:r w:rsidR="00DB29A8" w:rsidRPr="00313E82">
        <w:rPr>
          <w:lang w:val="en-US"/>
        </w:rPr>
        <w:t xml:space="preserve">measures </w:t>
      </w:r>
      <w:r w:rsidR="00306258" w:rsidRPr="00313E82">
        <w:rPr>
          <w:lang w:val="en-US"/>
        </w:rPr>
        <w:t xml:space="preserve">for decision making </w:t>
      </w:r>
      <w:r w:rsidR="006C298F" w:rsidRPr="00313E82">
        <w:rPr>
          <w:lang w:val="en-US"/>
        </w:rPr>
        <w:t>have to be made.</w:t>
      </w:r>
    </w:p>
    <w:p w:rsidR="00DB29A8" w:rsidRPr="00313E82" w:rsidRDefault="005B58C7" w:rsidP="00901FEC">
      <w:pPr>
        <w:rPr>
          <w:lang w:val="en-US"/>
        </w:rPr>
      </w:pPr>
      <w:r w:rsidRPr="00313E82">
        <w:rPr>
          <w:lang w:val="en-US"/>
        </w:rPr>
        <w:t xml:space="preserve">First, the general approach by INSAG-25 clearly aims at a multi-attribute decision making approach. This can include the use of several risk </w:t>
      </w:r>
      <w:r w:rsidR="00B61D27" w:rsidRPr="00313E82">
        <w:rPr>
          <w:lang w:val="en-US"/>
        </w:rPr>
        <w:t>measures</w:t>
      </w:r>
      <w:r w:rsidRPr="00313E82">
        <w:rPr>
          <w:lang w:val="en-US"/>
        </w:rPr>
        <w:t xml:space="preserve"> as appropriate. </w:t>
      </w:r>
      <w:r w:rsidR="00A2657B" w:rsidRPr="00313E82">
        <w:rPr>
          <w:lang w:val="en-US"/>
        </w:rPr>
        <w:t xml:space="preserve">Consequently, this report should discuss risk </w:t>
      </w:r>
      <w:r w:rsidR="00DB29A8" w:rsidRPr="00313E82">
        <w:rPr>
          <w:lang w:val="en-US"/>
        </w:rPr>
        <w:t xml:space="preserve">measures </w:t>
      </w:r>
      <w:r w:rsidR="00A2657B" w:rsidRPr="00313E82">
        <w:rPr>
          <w:lang w:val="en-US"/>
        </w:rPr>
        <w:t>regarding their suitability</w:t>
      </w:r>
      <w:r w:rsidR="00E364F9" w:rsidRPr="00313E82">
        <w:rPr>
          <w:lang w:val="en-US"/>
        </w:rPr>
        <w:t xml:space="preserve">. </w:t>
      </w:r>
    </w:p>
    <w:p w:rsidR="00A2657B" w:rsidRPr="00552F4E" w:rsidRDefault="00A2657B" w:rsidP="00901FEC">
      <w:pPr>
        <w:rPr>
          <w:szCs w:val="18"/>
          <w:lang w:val="en-US"/>
        </w:rPr>
      </w:pPr>
      <w:r w:rsidRPr="00B76953">
        <w:rPr>
          <w:lang w:val="en-US"/>
        </w:rPr>
        <w:t xml:space="preserve">Second, </w:t>
      </w:r>
      <w:r w:rsidR="00B61D27" w:rsidRPr="00B76953">
        <w:rPr>
          <w:lang w:val="en-US"/>
        </w:rPr>
        <w:t xml:space="preserve">since we assume a multi-attribute approach, there is no need to aggregate all different risk measures into one overall risk measure (i.e. effectively a utility or disutility function). </w:t>
      </w:r>
      <w:r w:rsidR="006F7187" w:rsidRPr="00B76953">
        <w:rPr>
          <w:lang w:val="en-US"/>
        </w:rPr>
        <w:t xml:space="preserve">Thus, </w:t>
      </w:r>
      <w:r w:rsidR="00DB29A8" w:rsidRPr="00B76953">
        <w:rPr>
          <w:lang w:val="en-US"/>
        </w:rPr>
        <w:t xml:space="preserve">there is no need for recommending </w:t>
      </w:r>
      <w:r w:rsidR="006F7187" w:rsidRPr="00B76953">
        <w:rPr>
          <w:lang w:val="en-US"/>
        </w:rPr>
        <w:t>one overarching, consistent risk measure</w:t>
      </w:r>
      <w:r w:rsidR="00DB29A8" w:rsidRPr="00B76953">
        <w:rPr>
          <w:lang w:val="en-US"/>
        </w:rPr>
        <w:t>, which aggregates over different risk measures</w:t>
      </w:r>
      <w:r w:rsidR="006F7187" w:rsidRPr="00B76953">
        <w:rPr>
          <w:lang w:val="en-US"/>
        </w:rPr>
        <w:t xml:space="preserve">. </w:t>
      </w:r>
      <w:r w:rsidR="00B61D27" w:rsidRPr="00B76953">
        <w:rPr>
          <w:lang w:val="en-US"/>
        </w:rPr>
        <w:t xml:space="preserve">Nonetheless, the issue of </w:t>
      </w:r>
      <w:r w:rsidR="00B61D27" w:rsidRPr="00552F4E">
        <w:rPr>
          <w:szCs w:val="18"/>
          <w:lang w:val="en-US"/>
        </w:rPr>
        <w:lastRenderedPageBreak/>
        <w:t xml:space="preserve">suitable risk measures for aggregating risk from similar risk </w:t>
      </w:r>
      <w:r w:rsidR="00DB29A8" w:rsidRPr="00552F4E">
        <w:rPr>
          <w:szCs w:val="18"/>
          <w:lang w:val="en-US"/>
        </w:rPr>
        <w:t xml:space="preserve">measures </w:t>
      </w:r>
      <w:r w:rsidR="00B61D27" w:rsidRPr="00552F4E">
        <w:rPr>
          <w:szCs w:val="18"/>
          <w:lang w:val="en-US"/>
        </w:rPr>
        <w:t>(e.g. Level 2 PSA release categories) should be investigated.</w:t>
      </w:r>
    </w:p>
    <w:p w:rsidR="00E364F9" w:rsidRPr="00552F4E" w:rsidRDefault="006F7187" w:rsidP="00E364F9">
      <w:pPr>
        <w:pStyle w:val="Commentaire"/>
        <w:rPr>
          <w:sz w:val="18"/>
          <w:szCs w:val="18"/>
          <w:lang w:val="en-US"/>
        </w:rPr>
      </w:pPr>
      <w:r w:rsidRPr="00552F4E">
        <w:rPr>
          <w:sz w:val="18"/>
          <w:szCs w:val="18"/>
          <w:lang w:val="en-US"/>
        </w:rPr>
        <w:t xml:space="preserve">Third, the risk </w:t>
      </w:r>
      <w:r w:rsidR="00DB29A8" w:rsidRPr="00552F4E">
        <w:rPr>
          <w:sz w:val="18"/>
          <w:szCs w:val="18"/>
          <w:lang w:val="en-US"/>
        </w:rPr>
        <w:t xml:space="preserve">measures </w:t>
      </w:r>
      <w:r w:rsidRPr="00552F4E">
        <w:rPr>
          <w:sz w:val="18"/>
          <w:szCs w:val="18"/>
          <w:lang w:val="en-US"/>
        </w:rPr>
        <w:t>investigated in this report should be closely related to the Level 1</w:t>
      </w:r>
      <w:r w:rsidR="00A9765B" w:rsidRPr="00552F4E">
        <w:rPr>
          <w:sz w:val="18"/>
          <w:szCs w:val="18"/>
          <w:lang w:val="en-US"/>
        </w:rPr>
        <w:t xml:space="preserve"> and </w:t>
      </w:r>
      <w:r w:rsidRPr="00552F4E">
        <w:rPr>
          <w:sz w:val="18"/>
          <w:szCs w:val="18"/>
          <w:lang w:val="en-US"/>
        </w:rPr>
        <w:t xml:space="preserve">Level 2 </w:t>
      </w:r>
      <w:r w:rsidR="00116A1D" w:rsidRPr="00552F4E">
        <w:rPr>
          <w:sz w:val="18"/>
          <w:szCs w:val="18"/>
          <w:lang w:val="en-US"/>
        </w:rPr>
        <w:t xml:space="preserve">PSA </w:t>
      </w:r>
      <w:r w:rsidRPr="00552F4E">
        <w:rPr>
          <w:sz w:val="18"/>
          <w:szCs w:val="18"/>
          <w:lang w:val="en-US"/>
        </w:rPr>
        <w:t>for NPP and the properties and characteristics of risk actually included into these models.</w:t>
      </w:r>
      <w:r w:rsidR="00A9765B" w:rsidRPr="00552F4E">
        <w:rPr>
          <w:sz w:val="18"/>
          <w:szCs w:val="18"/>
          <w:lang w:val="en-US"/>
        </w:rPr>
        <w:t xml:space="preserve"> Level 3 PSA risk </w:t>
      </w:r>
      <w:r w:rsidR="00DB29A8" w:rsidRPr="00552F4E">
        <w:rPr>
          <w:sz w:val="18"/>
          <w:szCs w:val="18"/>
          <w:lang w:val="en-US"/>
        </w:rPr>
        <w:t xml:space="preserve">measures and risk metrics </w:t>
      </w:r>
      <w:r w:rsidR="00A9765B" w:rsidRPr="00552F4E">
        <w:rPr>
          <w:sz w:val="18"/>
          <w:szCs w:val="18"/>
          <w:lang w:val="en-US"/>
        </w:rPr>
        <w:t>will not be discussed systematically in this report</w:t>
      </w:r>
      <w:r w:rsidR="00A9765B" w:rsidRPr="00552F4E">
        <w:rPr>
          <w:sz w:val="18"/>
          <w:szCs w:val="18"/>
          <w:vertAlign w:val="superscript"/>
          <w:lang w:val="en-US"/>
        </w:rPr>
        <w:footnoteReference w:id="3"/>
      </w:r>
      <w:r w:rsidR="00F512C9" w:rsidRPr="00552F4E">
        <w:rPr>
          <w:sz w:val="18"/>
          <w:szCs w:val="18"/>
          <w:lang w:val="en-US"/>
        </w:rPr>
        <w:t xml:space="preserve"> but </w:t>
      </w:r>
      <w:r w:rsidR="00E364F9" w:rsidRPr="00552F4E">
        <w:rPr>
          <w:sz w:val="18"/>
          <w:szCs w:val="18"/>
          <w:lang w:val="en-US"/>
        </w:rPr>
        <w:t xml:space="preserve">Level 2+ </w:t>
      </w:r>
      <w:r w:rsidR="00DB29A8" w:rsidRPr="00552F4E">
        <w:rPr>
          <w:sz w:val="18"/>
          <w:szCs w:val="18"/>
          <w:lang w:val="en-US"/>
        </w:rPr>
        <w:t xml:space="preserve">risk measures will be </w:t>
      </w:r>
      <w:r w:rsidR="00E364F9" w:rsidRPr="00552F4E">
        <w:rPr>
          <w:sz w:val="18"/>
          <w:szCs w:val="18"/>
          <w:lang w:val="en-US"/>
        </w:rPr>
        <w:t>covered</w:t>
      </w:r>
      <w:r w:rsidR="00DB29A8" w:rsidRPr="00552F4E">
        <w:rPr>
          <w:sz w:val="18"/>
          <w:szCs w:val="18"/>
          <w:lang w:val="en-US"/>
        </w:rPr>
        <w:t xml:space="preserve">. </w:t>
      </w:r>
      <w:r w:rsidR="00E364F9" w:rsidRPr="00552F4E">
        <w:rPr>
          <w:sz w:val="18"/>
          <w:szCs w:val="18"/>
          <w:lang w:val="en-US"/>
        </w:rPr>
        <w:t>Level 2</w:t>
      </w:r>
      <w:r w:rsidR="00DB29A8" w:rsidRPr="00552F4E">
        <w:rPr>
          <w:sz w:val="18"/>
          <w:szCs w:val="18"/>
          <w:lang w:val="en-US"/>
        </w:rPr>
        <w:t>+</w:t>
      </w:r>
      <w:r w:rsidR="00E364F9" w:rsidRPr="00552F4E">
        <w:rPr>
          <w:sz w:val="18"/>
          <w:szCs w:val="18"/>
          <w:lang w:val="en-US"/>
        </w:rPr>
        <w:t xml:space="preserve"> PSA </w:t>
      </w:r>
      <w:r w:rsidR="00DB29A8" w:rsidRPr="00552F4E">
        <w:rPr>
          <w:sz w:val="18"/>
          <w:szCs w:val="18"/>
          <w:lang w:val="en-US"/>
        </w:rPr>
        <w:t xml:space="preserve">is understood as a Level 2 PSA </w:t>
      </w:r>
      <w:r w:rsidR="00E364F9" w:rsidRPr="00552F4E">
        <w:rPr>
          <w:sz w:val="18"/>
          <w:szCs w:val="18"/>
          <w:lang w:val="en-US"/>
        </w:rPr>
        <w:t xml:space="preserve">with a simple model extension </w:t>
      </w:r>
      <w:r w:rsidR="00F512C9" w:rsidRPr="00552F4E">
        <w:rPr>
          <w:sz w:val="18"/>
          <w:szCs w:val="18"/>
          <w:lang w:val="en-US"/>
        </w:rPr>
        <w:t>for releases</w:t>
      </w:r>
      <w:r w:rsidR="00DB29A8" w:rsidRPr="00552F4E">
        <w:rPr>
          <w:sz w:val="18"/>
          <w:szCs w:val="18"/>
          <w:lang w:val="en-US"/>
        </w:rPr>
        <w:t xml:space="preserve"> to the environment of the plant (Level 3</w:t>
      </w:r>
      <w:r w:rsidR="00306258" w:rsidRPr="00552F4E">
        <w:rPr>
          <w:sz w:val="18"/>
          <w:szCs w:val="18"/>
          <w:lang w:val="en-US"/>
        </w:rPr>
        <w:t xml:space="preserve"> PSA</w:t>
      </w:r>
      <w:r w:rsidR="00DB29A8" w:rsidRPr="00552F4E">
        <w:rPr>
          <w:sz w:val="18"/>
          <w:szCs w:val="18"/>
          <w:lang w:val="en-US"/>
        </w:rPr>
        <w:t>)</w:t>
      </w:r>
      <w:r w:rsidR="00F512C9" w:rsidRPr="00552F4E">
        <w:rPr>
          <w:sz w:val="18"/>
          <w:szCs w:val="18"/>
          <w:lang w:val="en-US"/>
        </w:rPr>
        <w:t xml:space="preserve">. </w:t>
      </w:r>
    </w:p>
    <w:p w:rsidR="003811B6" w:rsidRPr="00313E82" w:rsidRDefault="006F7187" w:rsidP="00901FEC">
      <w:pPr>
        <w:rPr>
          <w:lang w:val="en-US"/>
        </w:rPr>
      </w:pPr>
      <w:r w:rsidRPr="00552F4E">
        <w:rPr>
          <w:szCs w:val="18"/>
          <w:lang w:val="en-US"/>
        </w:rPr>
        <w:t>Extended definitions of risk (i.e. “stakeholder acceptance” and similar non-technical approaches) are out of scope of this report. It focuses on</w:t>
      </w:r>
      <w:r w:rsidRPr="00313E82">
        <w:rPr>
          <w:lang w:val="en-US"/>
        </w:rPr>
        <w:t xml:space="preserve"> those risk metrics and measures that are used by practitioner</w:t>
      </w:r>
      <w:r w:rsidR="00DB29A8" w:rsidRPr="00313E82">
        <w:rPr>
          <w:lang w:val="en-US"/>
        </w:rPr>
        <w:t>s</w:t>
      </w:r>
      <w:r w:rsidRPr="00313E82">
        <w:rPr>
          <w:lang w:val="en-US"/>
        </w:rPr>
        <w:t xml:space="preserve"> and reviewer</w:t>
      </w:r>
      <w:r w:rsidR="00DB29A8" w:rsidRPr="00313E82">
        <w:rPr>
          <w:lang w:val="en-US"/>
        </w:rPr>
        <w:t>s</w:t>
      </w:r>
      <w:r w:rsidR="006C298F" w:rsidRPr="00313E82">
        <w:rPr>
          <w:lang w:val="en-US"/>
        </w:rPr>
        <w:t xml:space="preserve"> </w:t>
      </w:r>
      <w:r w:rsidRPr="00313E82">
        <w:rPr>
          <w:lang w:val="en-US"/>
        </w:rPr>
        <w:t xml:space="preserve">of PSA for NPP for evaluating PSA results and for communication with the PSA community and with </w:t>
      </w:r>
      <w:r w:rsidRPr="00741D3C">
        <w:rPr>
          <w:lang w:val="en-US"/>
        </w:rPr>
        <w:t>regulators. Still, the suitability of risk metrics/measures for communicating with non-expert stakeholders and the general public should be addressed</w:t>
      </w:r>
      <w:r w:rsidR="00DB29A8" w:rsidRPr="00741D3C">
        <w:rPr>
          <w:lang w:val="en-US"/>
        </w:rPr>
        <w:t xml:space="preserve"> as appropriate</w:t>
      </w:r>
      <w:r w:rsidRPr="00741D3C">
        <w:rPr>
          <w:lang w:val="en-US"/>
        </w:rPr>
        <w:t>.</w:t>
      </w:r>
      <w:r w:rsidRPr="00313E82">
        <w:rPr>
          <w:lang w:val="en-US"/>
        </w:rPr>
        <w:t xml:space="preserve"> </w:t>
      </w:r>
    </w:p>
    <w:p w:rsidR="003811B6" w:rsidRPr="00313E82" w:rsidRDefault="004620BE" w:rsidP="00901FEC">
      <w:pPr>
        <w:rPr>
          <w:lang w:val="en-US"/>
        </w:rPr>
      </w:pPr>
      <w:r w:rsidRPr="00313E82">
        <w:rPr>
          <w:lang w:val="en-US"/>
        </w:rPr>
        <w:t>Fo</w:t>
      </w:r>
      <w:r w:rsidR="00DA53E9" w:rsidRPr="00313E82">
        <w:rPr>
          <w:lang w:val="en-US"/>
        </w:rPr>
        <w:t>u</w:t>
      </w:r>
      <w:r w:rsidRPr="00313E82">
        <w:rPr>
          <w:lang w:val="en-US"/>
        </w:rPr>
        <w:t xml:space="preserve">rth, the issue of risk aversion and risk-taking during decision making is out of scope of this report. The decision making process shall be assumed to be </w:t>
      </w:r>
      <w:r w:rsidR="00AE4996" w:rsidRPr="00313E82">
        <w:rPr>
          <w:lang w:val="en-US"/>
        </w:rPr>
        <w:t>“</w:t>
      </w:r>
      <w:r w:rsidRPr="00313E82">
        <w:rPr>
          <w:lang w:val="en-US"/>
        </w:rPr>
        <w:t>risk-neutral</w:t>
      </w:r>
      <w:r w:rsidR="00AE4996" w:rsidRPr="00313E82">
        <w:rPr>
          <w:lang w:val="en-US"/>
        </w:rPr>
        <w:t>”</w:t>
      </w:r>
      <w:r w:rsidRPr="00313E82">
        <w:rPr>
          <w:lang w:val="en-US"/>
        </w:rPr>
        <w:t xml:space="preserve">. </w:t>
      </w:r>
      <w:r w:rsidR="00AE4996" w:rsidRPr="00313E82">
        <w:rPr>
          <w:lang w:val="en-US"/>
        </w:rPr>
        <w:t>However, since we do not require that a unique utility function exists and has specific properties (von Neumann-</w:t>
      </w:r>
      <w:r w:rsidR="00AE4996" w:rsidRPr="00C94556">
        <w:rPr>
          <w:lang w:val="en-US"/>
        </w:rPr>
        <w:t xml:space="preserve">Morgenstern axioms) </w:t>
      </w:r>
      <w:r w:rsidR="009E768B" w:rsidRPr="00C94556">
        <w:rPr>
          <w:lang w:val="en-US"/>
        </w:rPr>
        <w:fldChar w:fldCharType="begin"/>
      </w:r>
      <w:r w:rsidR="00AE4996" w:rsidRPr="00C94556">
        <w:rPr>
          <w:lang w:val="en-US"/>
        </w:rPr>
        <w:instrText xml:space="preserve"> REF _Ref397529008 \r \h </w:instrText>
      </w:r>
      <w:r w:rsidR="009E768B" w:rsidRPr="00C94556">
        <w:rPr>
          <w:lang w:val="en-US"/>
        </w:rPr>
      </w:r>
      <w:r w:rsidR="009E768B" w:rsidRPr="00C94556">
        <w:rPr>
          <w:lang w:val="en-US"/>
        </w:rPr>
        <w:fldChar w:fldCharType="separate"/>
      </w:r>
      <w:r w:rsidR="00B772CA">
        <w:rPr>
          <w:lang w:val="en-US"/>
        </w:rPr>
        <w:t>[14]</w:t>
      </w:r>
      <w:r w:rsidR="009E768B" w:rsidRPr="00C94556">
        <w:rPr>
          <w:lang w:val="en-US"/>
        </w:rPr>
        <w:fldChar w:fldCharType="end"/>
      </w:r>
      <w:r w:rsidR="00AE4996" w:rsidRPr="00C94556">
        <w:rPr>
          <w:lang w:val="en-US"/>
        </w:rPr>
        <w:t xml:space="preserve">, </w:t>
      </w:r>
      <w:r w:rsidR="009E768B" w:rsidRPr="00C94556">
        <w:rPr>
          <w:lang w:val="en-US"/>
        </w:rPr>
        <w:fldChar w:fldCharType="begin"/>
      </w:r>
      <w:r w:rsidR="00AE4996" w:rsidRPr="00C94556">
        <w:rPr>
          <w:lang w:val="en-US"/>
        </w:rPr>
        <w:instrText xml:space="preserve"> REF _Ref396320286 \r \h </w:instrText>
      </w:r>
      <w:r w:rsidR="009E768B" w:rsidRPr="00C94556">
        <w:rPr>
          <w:lang w:val="en-US"/>
        </w:rPr>
      </w:r>
      <w:r w:rsidR="009E768B" w:rsidRPr="00C94556">
        <w:rPr>
          <w:lang w:val="en-US"/>
        </w:rPr>
        <w:fldChar w:fldCharType="separate"/>
      </w:r>
      <w:r w:rsidR="00B772CA">
        <w:rPr>
          <w:lang w:val="en-US"/>
        </w:rPr>
        <w:t>[32]</w:t>
      </w:r>
      <w:r w:rsidR="009E768B" w:rsidRPr="00C94556">
        <w:rPr>
          <w:lang w:val="en-US"/>
        </w:rPr>
        <w:fldChar w:fldCharType="end"/>
      </w:r>
      <w:r w:rsidR="00AE4996" w:rsidRPr="00C94556">
        <w:rPr>
          <w:lang w:val="en-US"/>
        </w:rPr>
        <w:t xml:space="preserve">, a working interpretation of risk neutrality will be derived. </w:t>
      </w:r>
      <w:r w:rsidRPr="00C94556">
        <w:rPr>
          <w:lang w:val="en-US"/>
        </w:rPr>
        <w:t>With</w:t>
      </w:r>
      <w:r w:rsidRPr="00313E82">
        <w:rPr>
          <w:lang w:val="en-US"/>
        </w:rPr>
        <w:t xml:space="preserve"> respect to risk metrics/risk measures this </w:t>
      </w:r>
      <w:r w:rsidR="00AE4996" w:rsidRPr="00313E82">
        <w:rPr>
          <w:lang w:val="en-US"/>
        </w:rPr>
        <w:t>at least includes</w:t>
      </w:r>
      <w:r w:rsidRPr="00313E82">
        <w:rPr>
          <w:lang w:val="en-US"/>
        </w:rPr>
        <w:t xml:space="preserve"> the requirement that risk metrics/risk measures recommended in this report should not be defined to be explicitly risk averse or risk accepting. </w:t>
      </w:r>
    </w:p>
    <w:p w:rsidR="00116A1D" w:rsidRPr="00313E82" w:rsidRDefault="00116A1D" w:rsidP="00901FEC">
      <w:pPr>
        <w:rPr>
          <w:lang w:val="en-US"/>
        </w:rPr>
      </w:pPr>
    </w:p>
    <w:p w:rsidR="00B2097A" w:rsidRPr="00313E82" w:rsidRDefault="00B2097A" w:rsidP="00B2097A">
      <w:pPr>
        <w:pStyle w:val="Titre2"/>
        <w:rPr>
          <w:lang w:val="en-US"/>
        </w:rPr>
      </w:pPr>
      <w:bookmarkStart w:id="49" w:name="_Toc474430102"/>
      <w:r w:rsidRPr="00313E82">
        <w:rPr>
          <w:lang w:val="en-US"/>
        </w:rPr>
        <w:t>Structure of the Report</w:t>
      </w:r>
      <w:bookmarkEnd w:id="49"/>
    </w:p>
    <w:p w:rsidR="00FC095F" w:rsidRPr="00313E82" w:rsidRDefault="00FC095F" w:rsidP="00FC095F">
      <w:pPr>
        <w:rPr>
          <w:lang w:val="en-US"/>
        </w:rPr>
      </w:pPr>
      <w:r w:rsidRPr="00313E82">
        <w:rPr>
          <w:lang w:val="en-US"/>
        </w:rPr>
        <w:t xml:space="preserve">Section </w:t>
      </w:r>
      <w:r w:rsidR="009E768B">
        <w:rPr>
          <w:lang w:val="en-US"/>
        </w:rPr>
        <w:fldChar w:fldCharType="begin"/>
      </w:r>
      <w:r w:rsidR="00741D3C">
        <w:rPr>
          <w:lang w:val="en-US"/>
        </w:rPr>
        <w:instrText xml:space="preserve"> REF _Ref293303431 \r \h </w:instrText>
      </w:r>
      <w:r w:rsidR="009E768B">
        <w:rPr>
          <w:lang w:val="en-US"/>
        </w:rPr>
      </w:r>
      <w:r w:rsidR="009E768B">
        <w:rPr>
          <w:lang w:val="en-US"/>
        </w:rPr>
        <w:fldChar w:fldCharType="separate"/>
      </w:r>
      <w:r w:rsidR="00B772CA">
        <w:rPr>
          <w:lang w:val="en-US"/>
        </w:rPr>
        <w:t>2</w:t>
      </w:r>
      <w:r w:rsidR="009E768B">
        <w:rPr>
          <w:lang w:val="en-US"/>
        </w:rPr>
        <w:fldChar w:fldCharType="end"/>
      </w:r>
      <w:r w:rsidRPr="00313E82">
        <w:rPr>
          <w:lang w:val="en-US"/>
        </w:rPr>
        <w:t xml:space="preserve"> provides an overview of the current status of risk metrics</w:t>
      </w:r>
      <w:r w:rsidR="00D22F41" w:rsidRPr="00313E82">
        <w:rPr>
          <w:lang w:val="en-US"/>
        </w:rPr>
        <w:t>/measures</w:t>
      </w:r>
      <w:r w:rsidRPr="00313E82">
        <w:rPr>
          <w:lang w:val="en-US"/>
        </w:rPr>
        <w:t xml:space="preserve"> for Level 1</w:t>
      </w:r>
      <w:r w:rsidR="00741D3C">
        <w:rPr>
          <w:lang w:val="en-US"/>
        </w:rPr>
        <w:t xml:space="preserve"> PSA.</w:t>
      </w:r>
      <w:r w:rsidR="00FE428D">
        <w:rPr>
          <w:lang w:val="en-US"/>
        </w:rPr>
        <w:t xml:space="preserve"> </w:t>
      </w:r>
      <w:r w:rsidR="00D22F41" w:rsidRPr="00313E82">
        <w:rPr>
          <w:lang w:val="en-US"/>
        </w:rPr>
        <w:t xml:space="preserve">Section </w:t>
      </w:r>
      <w:r w:rsidR="009E768B" w:rsidRPr="007E0C24">
        <w:rPr>
          <w:lang w:val="en-US"/>
        </w:rPr>
        <w:fldChar w:fldCharType="begin"/>
      </w:r>
      <w:r w:rsidR="00D22F41" w:rsidRPr="00313E82">
        <w:rPr>
          <w:lang w:val="en-US"/>
        </w:rPr>
        <w:instrText xml:space="preserve"> REF _Ref293303455 \r \h </w:instrText>
      </w:r>
      <w:r w:rsidR="009E768B" w:rsidRPr="007E0C24">
        <w:rPr>
          <w:lang w:val="en-US"/>
        </w:rPr>
      </w:r>
      <w:r w:rsidR="009E768B" w:rsidRPr="007E0C24">
        <w:rPr>
          <w:lang w:val="en-US"/>
        </w:rPr>
        <w:fldChar w:fldCharType="separate"/>
      </w:r>
      <w:r w:rsidR="00B772CA">
        <w:rPr>
          <w:lang w:val="en-US"/>
        </w:rPr>
        <w:t>3</w:t>
      </w:r>
      <w:r w:rsidR="009E768B" w:rsidRPr="007E0C24">
        <w:rPr>
          <w:lang w:val="en-US"/>
        </w:rPr>
        <w:fldChar w:fldCharType="end"/>
      </w:r>
      <w:r w:rsidR="00741D3C">
        <w:rPr>
          <w:lang w:val="en-US"/>
        </w:rPr>
        <w:t xml:space="preserve"> </w:t>
      </w:r>
      <w:r w:rsidR="00741D3C" w:rsidRPr="00313E82">
        <w:rPr>
          <w:lang w:val="en-US"/>
        </w:rPr>
        <w:t xml:space="preserve">provides an overview of the risk metrics/measures for Level </w:t>
      </w:r>
      <w:r w:rsidR="00741D3C">
        <w:rPr>
          <w:lang w:val="en-US"/>
        </w:rPr>
        <w:t>2</w:t>
      </w:r>
      <w:r w:rsidR="00D22F41" w:rsidRPr="00313E82">
        <w:rPr>
          <w:lang w:val="en-US"/>
        </w:rPr>
        <w:t xml:space="preserve"> </w:t>
      </w:r>
      <w:r w:rsidRPr="00313E82">
        <w:rPr>
          <w:lang w:val="en-US"/>
        </w:rPr>
        <w:t xml:space="preserve">PSA. </w:t>
      </w:r>
      <w:r w:rsidR="0004665E">
        <w:rPr>
          <w:lang w:val="en-US"/>
        </w:rPr>
        <w:t xml:space="preserve">Section </w:t>
      </w:r>
      <w:r w:rsidR="009E768B">
        <w:rPr>
          <w:lang w:val="en-US"/>
        </w:rPr>
        <w:fldChar w:fldCharType="begin"/>
      </w:r>
      <w:r w:rsidR="0004665E">
        <w:rPr>
          <w:lang w:val="en-US"/>
        </w:rPr>
        <w:instrText xml:space="preserve"> REF _Ref323543427 \r \h </w:instrText>
      </w:r>
      <w:r w:rsidR="009E768B">
        <w:rPr>
          <w:lang w:val="en-US"/>
        </w:rPr>
      </w:r>
      <w:r w:rsidR="009E768B">
        <w:rPr>
          <w:lang w:val="en-US"/>
        </w:rPr>
        <w:fldChar w:fldCharType="separate"/>
      </w:r>
      <w:r w:rsidR="00B772CA">
        <w:rPr>
          <w:lang w:val="en-US"/>
        </w:rPr>
        <w:t>4</w:t>
      </w:r>
      <w:r w:rsidR="009E768B">
        <w:rPr>
          <w:lang w:val="en-US"/>
        </w:rPr>
        <w:fldChar w:fldCharType="end"/>
      </w:r>
      <w:r w:rsidR="0004665E">
        <w:rPr>
          <w:lang w:val="en-US"/>
        </w:rPr>
        <w:t xml:space="preserve"> discusses multi-sources risk metrics and </w:t>
      </w:r>
      <w:r w:rsidR="00FE428D">
        <w:rPr>
          <w:lang w:val="en-US"/>
        </w:rPr>
        <w:t xml:space="preserve">Section </w:t>
      </w:r>
      <w:r w:rsidR="009E768B">
        <w:rPr>
          <w:lang w:val="en-US"/>
        </w:rPr>
        <w:fldChar w:fldCharType="begin"/>
      </w:r>
      <w:r w:rsidR="0004665E">
        <w:rPr>
          <w:lang w:val="en-US"/>
        </w:rPr>
        <w:instrText xml:space="preserve"> REF _Ref413933830 \r \h </w:instrText>
      </w:r>
      <w:r w:rsidR="009E768B">
        <w:rPr>
          <w:lang w:val="en-US"/>
        </w:rPr>
      </w:r>
      <w:r w:rsidR="009E768B">
        <w:rPr>
          <w:lang w:val="en-US"/>
        </w:rPr>
        <w:fldChar w:fldCharType="separate"/>
      </w:r>
      <w:r w:rsidR="00B772CA">
        <w:rPr>
          <w:lang w:val="en-US"/>
        </w:rPr>
        <w:t>5</w:t>
      </w:r>
      <w:r w:rsidR="009E768B">
        <w:rPr>
          <w:lang w:val="en-US"/>
        </w:rPr>
        <w:fldChar w:fldCharType="end"/>
      </w:r>
      <w:r w:rsidR="0004665E">
        <w:rPr>
          <w:lang w:val="en-US"/>
        </w:rPr>
        <w:t xml:space="preserve"> </w:t>
      </w:r>
      <w:r w:rsidR="00D22F41" w:rsidRPr="00313E82">
        <w:rPr>
          <w:lang w:val="en-US"/>
        </w:rPr>
        <w:t xml:space="preserve">presents some recommendations on risk measures </w:t>
      </w:r>
      <w:r w:rsidRPr="00313E82">
        <w:rPr>
          <w:lang w:val="en-US"/>
        </w:rPr>
        <w:t>for an extended PSA</w:t>
      </w:r>
      <w:r w:rsidR="00D22F41" w:rsidRPr="00313E82">
        <w:rPr>
          <w:lang w:val="en-US"/>
        </w:rPr>
        <w:t xml:space="preserve"> and </w:t>
      </w:r>
      <w:r w:rsidR="0004665E">
        <w:rPr>
          <w:lang w:val="en-US"/>
        </w:rPr>
        <w:t xml:space="preserve">Section </w:t>
      </w:r>
      <w:r w:rsidR="009E768B">
        <w:rPr>
          <w:lang w:val="en-US"/>
        </w:rPr>
        <w:fldChar w:fldCharType="begin"/>
      </w:r>
      <w:r w:rsidR="0004665E">
        <w:rPr>
          <w:lang w:val="en-US"/>
        </w:rPr>
        <w:instrText xml:space="preserve"> REF _Ref393116316 \r \h </w:instrText>
      </w:r>
      <w:r w:rsidR="009E768B">
        <w:rPr>
          <w:lang w:val="en-US"/>
        </w:rPr>
      </w:r>
      <w:r w:rsidR="009E768B">
        <w:rPr>
          <w:lang w:val="en-US"/>
        </w:rPr>
        <w:fldChar w:fldCharType="separate"/>
      </w:r>
      <w:r w:rsidR="00B772CA">
        <w:rPr>
          <w:lang w:val="en-US"/>
        </w:rPr>
        <w:t>6</w:t>
      </w:r>
      <w:r w:rsidR="009E768B">
        <w:rPr>
          <w:lang w:val="en-US"/>
        </w:rPr>
        <w:fldChar w:fldCharType="end"/>
      </w:r>
      <w:r w:rsidR="0004665E">
        <w:rPr>
          <w:lang w:val="en-US"/>
        </w:rPr>
        <w:t xml:space="preserve"> </w:t>
      </w:r>
      <w:r w:rsidR="00DF0385" w:rsidRPr="00313E82">
        <w:rPr>
          <w:lang w:val="en-US"/>
        </w:rPr>
        <w:t xml:space="preserve">presents the main </w:t>
      </w:r>
      <w:r w:rsidR="00D22F41" w:rsidRPr="00313E82">
        <w:rPr>
          <w:lang w:val="en-US"/>
        </w:rPr>
        <w:t xml:space="preserve">conclusions </w:t>
      </w:r>
      <w:r w:rsidR="00DF0385" w:rsidRPr="00313E82">
        <w:rPr>
          <w:lang w:val="en-US"/>
        </w:rPr>
        <w:t>of the report.</w:t>
      </w:r>
    </w:p>
    <w:p w:rsidR="00853537" w:rsidRPr="00313E82" w:rsidRDefault="0076680B" w:rsidP="00C94556">
      <w:pPr>
        <w:pStyle w:val="Titre1"/>
        <w:rPr>
          <w:rFonts w:eastAsia="Batang"/>
          <w:lang w:val="en-US"/>
        </w:rPr>
      </w:pPr>
      <w:bookmarkStart w:id="50" w:name="_Ref293303431"/>
      <w:bookmarkStart w:id="51" w:name="_Toc474430103"/>
      <w:r w:rsidRPr="00313E82">
        <w:rPr>
          <w:rFonts w:eastAsia="Batang"/>
          <w:lang w:val="en-US"/>
        </w:rPr>
        <w:t xml:space="preserve">Risk </w:t>
      </w:r>
      <w:r w:rsidR="00197EFE" w:rsidRPr="00313E82">
        <w:rPr>
          <w:rFonts w:eastAsia="Batang"/>
          <w:lang w:val="en-US"/>
        </w:rPr>
        <w:t>Metrics</w:t>
      </w:r>
      <w:r w:rsidR="00D042C6" w:rsidRPr="00313E82">
        <w:rPr>
          <w:rFonts w:eastAsia="Batang"/>
          <w:lang w:val="en-US"/>
        </w:rPr>
        <w:t xml:space="preserve"> </w:t>
      </w:r>
      <w:r w:rsidRPr="00313E82">
        <w:rPr>
          <w:rFonts w:eastAsia="Batang"/>
          <w:lang w:val="en-US"/>
        </w:rPr>
        <w:t>for Level 1 PSA</w:t>
      </w:r>
      <w:bookmarkEnd w:id="50"/>
      <w:bookmarkEnd w:id="51"/>
    </w:p>
    <w:p w:rsidR="00397F91" w:rsidRPr="00313E82" w:rsidRDefault="0013449E">
      <w:pPr>
        <w:rPr>
          <w:rFonts w:eastAsia="Batang"/>
          <w:lang w:val="en-US"/>
        </w:rPr>
      </w:pPr>
      <w:r w:rsidRPr="00313E82">
        <w:rPr>
          <w:rFonts w:eastAsia="Batang"/>
          <w:lang w:val="en-US"/>
        </w:rPr>
        <w:t xml:space="preserve">In this section, risk measures for PSA Level 1 are presented and discussed. The basic approach </w:t>
      </w:r>
      <w:r w:rsidR="00FD144D" w:rsidRPr="00313E82">
        <w:rPr>
          <w:rFonts w:eastAsia="Batang"/>
          <w:lang w:val="en-US"/>
        </w:rPr>
        <w:t>is</w:t>
      </w:r>
      <w:r w:rsidRPr="00313E82">
        <w:rPr>
          <w:rFonts w:eastAsia="Batang"/>
          <w:lang w:val="en-US"/>
        </w:rPr>
        <w:t xml:space="preserve"> to present first direct risk metrics and the related risk measure. Then, </w:t>
      </w:r>
      <w:r w:rsidR="00FD144D" w:rsidRPr="00313E82">
        <w:rPr>
          <w:rFonts w:eastAsia="Batang"/>
          <w:lang w:val="en-US"/>
        </w:rPr>
        <w:t>secondary</w:t>
      </w:r>
      <w:r w:rsidR="00FD144D" w:rsidRPr="00313E82">
        <w:rPr>
          <w:rStyle w:val="Appelnotedebasdep"/>
          <w:rFonts w:eastAsia="Batang"/>
          <w:lang w:val="en-US"/>
        </w:rPr>
        <w:footnoteReference w:id="4"/>
      </w:r>
      <w:r w:rsidRPr="00313E82">
        <w:rPr>
          <w:rFonts w:eastAsia="Batang"/>
          <w:lang w:val="en-US"/>
        </w:rPr>
        <w:t xml:space="preserve"> risk measures</w:t>
      </w:r>
      <w:r w:rsidR="00FD144D" w:rsidRPr="00313E82">
        <w:rPr>
          <w:rFonts w:eastAsia="Batang"/>
          <w:lang w:val="en-US"/>
        </w:rPr>
        <w:t xml:space="preserve"> related to the direct risk measures are investigated. </w:t>
      </w:r>
    </w:p>
    <w:p w:rsidR="00F15B81" w:rsidRPr="00313E82" w:rsidRDefault="00F15B81">
      <w:pPr>
        <w:rPr>
          <w:rFonts w:eastAsia="Batang"/>
          <w:lang w:val="en-US"/>
        </w:rPr>
      </w:pPr>
      <w:r w:rsidRPr="00313E82">
        <w:rPr>
          <w:rFonts w:eastAsia="Batang"/>
          <w:lang w:val="en-US"/>
        </w:rPr>
        <w:t xml:space="preserve">Since the same concepts presented in the following subsections can be applied to all direct (and some secondary) risk measures, the basic definition of the measure and its typical fields of application will be given at some length </w:t>
      </w:r>
      <w:r w:rsidRPr="00313E82">
        <w:rPr>
          <w:rFonts w:eastAsia="Batang"/>
          <w:lang w:val="en-US"/>
        </w:rPr>
        <w:lastRenderedPageBreak/>
        <w:t>for the case of CDF</w:t>
      </w:r>
      <w:r w:rsidR="00CB5723" w:rsidRPr="00313E82">
        <w:rPr>
          <w:rFonts w:eastAsia="Batang"/>
          <w:lang w:val="en-US"/>
        </w:rPr>
        <w:t xml:space="preserve"> (Section</w:t>
      </w:r>
      <w:r w:rsidR="00AE75F7" w:rsidRPr="00313E82">
        <w:rPr>
          <w:rFonts w:eastAsia="Batang"/>
          <w:lang w:val="en-US"/>
        </w:rPr>
        <w:t xml:space="preserve"> </w:t>
      </w:r>
      <w:r w:rsidR="009E768B" w:rsidRPr="007E0C24">
        <w:rPr>
          <w:rFonts w:eastAsia="Batang"/>
          <w:lang w:val="en-US"/>
        </w:rPr>
        <w:fldChar w:fldCharType="begin"/>
      </w:r>
      <w:r w:rsidR="00AE75F7"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00AE75F7" w:rsidRPr="00313E82">
        <w:rPr>
          <w:rFonts w:eastAsia="Batang"/>
          <w:lang w:val="en-US"/>
        </w:rPr>
        <w:t>)</w:t>
      </w:r>
      <w:r w:rsidRPr="00313E82">
        <w:rPr>
          <w:rFonts w:eastAsia="Batang"/>
          <w:lang w:val="en-US"/>
        </w:rPr>
        <w:t>. For other direct risk measures, only relevant differences or issues for special consideration will be mentioned.</w:t>
      </w:r>
    </w:p>
    <w:p w:rsidR="00397F91" w:rsidRPr="00313E82" w:rsidRDefault="00B00AFB">
      <w:pPr>
        <w:rPr>
          <w:rFonts w:eastAsia="Batang"/>
          <w:lang w:val="en-US"/>
        </w:rPr>
      </w:pPr>
      <w:r w:rsidRPr="00313E82">
        <w:rPr>
          <w:rFonts w:eastAsia="Batang"/>
          <w:lang w:val="en-US"/>
        </w:rPr>
        <w:t xml:space="preserve">All risk measures may be used as time average and/or time dependent variants. Specifics and differences of these variants are illustrated on Core Damage Frequency in </w:t>
      </w:r>
      <w:r w:rsidR="00355F26">
        <w:rPr>
          <w:rFonts w:eastAsia="Batang"/>
          <w:lang w:val="en-US"/>
        </w:rPr>
        <w:t>Section</w:t>
      </w:r>
      <w:r w:rsidR="00355F26" w:rsidRPr="00313E82">
        <w:rPr>
          <w:rFonts w:eastAsia="Batang"/>
          <w:lang w:val="en-US"/>
        </w:rPr>
        <w:t xml:space="preserve"> </w:t>
      </w:r>
      <w:r w:rsidR="009E768B" w:rsidRPr="007E0C24">
        <w:rPr>
          <w:rFonts w:eastAsia="Batang"/>
          <w:lang w:val="en-US"/>
        </w:rPr>
        <w:fldChar w:fldCharType="begin"/>
      </w:r>
      <w:r w:rsidR="008D4459"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xml:space="preserve"> (time average) and </w:t>
      </w:r>
      <w:r w:rsidR="00355F26">
        <w:rPr>
          <w:rFonts w:eastAsia="Batang"/>
          <w:lang w:val="en-US"/>
        </w:rPr>
        <w:t>Section</w:t>
      </w:r>
      <w:r w:rsidR="00355F26" w:rsidRPr="00313E82">
        <w:rPr>
          <w:rFonts w:eastAsia="Batang"/>
          <w:lang w:val="en-US"/>
        </w:rPr>
        <w:t xml:space="preserve"> </w:t>
      </w:r>
      <w:r w:rsidR="009E768B" w:rsidRPr="007E0C24">
        <w:rPr>
          <w:rFonts w:eastAsia="Batang"/>
          <w:lang w:val="en-US"/>
        </w:rPr>
        <w:fldChar w:fldCharType="begin"/>
      </w:r>
      <w:r w:rsidR="006A35D4" w:rsidRPr="00313E82">
        <w:rPr>
          <w:rFonts w:eastAsia="Batang"/>
          <w:lang w:val="en-US"/>
        </w:rPr>
        <w:instrText xml:space="preserve"> REF _Ref414021020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2.2</w:t>
      </w:r>
      <w:r w:rsidR="009E768B" w:rsidRPr="007E0C24">
        <w:rPr>
          <w:rFonts w:eastAsia="Batang"/>
          <w:lang w:val="en-US"/>
        </w:rPr>
        <w:fldChar w:fldCharType="end"/>
      </w:r>
      <w:r w:rsidRPr="00313E82">
        <w:rPr>
          <w:rFonts w:eastAsia="Batang"/>
          <w:lang w:val="en-US"/>
        </w:rPr>
        <w:t xml:space="preserve"> (time dependent).</w:t>
      </w:r>
    </w:p>
    <w:p w:rsidR="00FD144D" w:rsidRPr="00313E82" w:rsidRDefault="00FD144D">
      <w:pPr>
        <w:rPr>
          <w:rFonts w:eastAsia="Batang"/>
          <w:lang w:val="en-US"/>
        </w:rPr>
      </w:pPr>
      <w:r w:rsidRPr="00313E82">
        <w:rPr>
          <w:rFonts w:eastAsia="Batang"/>
          <w:lang w:val="en-US"/>
        </w:rPr>
        <w:t>For each risk measure, the following issues are considered.</w:t>
      </w:r>
    </w:p>
    <w:p w:rsidR="0013449E" w:rsidRPr="00313E82" w:rsidRDefault="00FD144D" w:rsidP="00D873A7">
      <w:pPr>
        <w:pStyle w:val="Paragraphedeliste"/>
        <w:numPr>
          <w:ilvl w:val="0"/>
          <w:numId w:val="21"/>
        </w:numPr>
        <w:rPr>
          <w:rFonts w:eastAsia="Batang"/>
          <w:lang w:val="en-US"/>
        </w:rPr>
      </w:pPr>
      <w:r w:rsidRPr="00313E82">
        <w:rPr>
          <w:rFonts w:eastAsia="Batang"/>
          <w:lang w:val="en-US"/>
        </w:rPr>
        <w:t xml:space="preserve">Definition(s) of the risk measure. </w:t>
      </w:r>
    </w:p>
    <w:p w:rsidR="00FD144D" w:rsidRPr="00313E82" w:rsidRDefault="00FD144D" w:rsidP="003651CB">
      <w:pPr>
        <w:pStyle w:val="Paragraphedeliste"/>
        <w:numPr>
          <w:ilvl w:val="0"/>
          <w:numId w:val="21"/>
        </w:numPr>
        <w:rPr>
          <w:rFonts w:eastAsia="Batang"/>
          <w:lang w:val="en-US"/>
        </w:rPr>
      </w:pPr>
      <w:r w:rsidRPr="00313E82">
        <w:rPr>
          <w:rFonts w:eastAsia="Batang"/>
          <w:lang w:val="en-US"/>
        </w:rPr>
        <w:t>Areas of application in PSA for NPPs</w:t>
      </w:r>
      <w:r w:rsidR="00CB5723" w:rsidRPr="00313E82">
        <w:rPr>
          <w:rFonts w:eastAsia="Batang"/>
          <w:lang w:val="en-US"/>
        </w:rPr>
        <w:t>.</w:t>
      </w:r>
    </w:p>
    <w:p w:rsidR="00FD144D" w:rsidRPr="00313E82" w:rsidRDefault="00FD144D" w:rsidP="00741D3C">
      <w:pPr>
        <w:pStyle w:val="Paragraphedeliste"/>
        <w:numPr>
          <w:ilvl w:val="0"/>
          <w:numId w:val="21"/>
        </w:numPr>
        <w:rPr>
          <w:rFonts w:eastAsia="Batang"/>
          <w:lang w:val="en-US"/>
        </w:rPr>
      </w:pPr>
      <w:r w:rsidRPr="00313E82">
        <w:rPr>
          <w:rFonts w:eastAsia="Batang"/>
          <w:lang w:val="en-US"/>
        </w:rPr>
        <w:t xml:space="preserve">Discussion of validity, reliability, consistency of the risk measures, its risk aggregation properties, and its understandability to the PSA community (cf. section </w:t>
      </w:r>
      <w:r w:rsidR="009E768B" w:rsidRPr="007E0C24">
        <w:rPr>
          <w:rFonts w:eastAsia="Batang"/>
          <w:lang w:val="en-US"/>
        </w:rPr>
        <w:fldChar w:fldCharType="begin"/>
      </w:r>
      <w:r w:rsidRPr="00313E82">
        <w:rPr>
          <w:rFonts w:eastAsia="Batang"/>
          <w:lang w:val="en-US"/>
        </w:rPr>
        <w:instrText xml:space="preserve"> REF _Ref413920411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1.4</w:t>
      </w:r>
      <w:r w:rsidR="009E768B" w:rsidRPr="007E0C24">
        <w:rPr>
          <w:rFonts w:eastAsia="Batang"/>
          <w:lang w:val="en-US"/>
        </w:rPr>
        <w:fldChar w:fldCharType="end"/>
      </w:r>
      <w:r w:rsidRPr="00313E82">
        <w:rPr>
          <w:rFonts w:eastAsia="Batang"/>
          <w:lang w:val="en-US"/>
        </w:rPr>
        <w:t>)</w:t>
      </w:r>
      <w:r w:rsidR="00CB5723" w:rsidRPr="00313E82">
        <w:rPr>
          <w:rFonts w:eastAsia="Batang"/>
          <w:lang w:val="en-US"/>
        </w:rPr>
        <w:t>.</w:t>
      </w:r>
    </w:p>
    <w:p w:rsidR="00CB5723" w:rsidRPr="00313E82" w:rsidRDefault="00CB5723" w:rsidP="00D873A7">
      <w:pPr>
        <w:pStyle w:val="Paragraphedeliste"/>
        <w:numPr>
          <w:ilvl w:val="0"/>
          <w:numId w:val="21"/>
        </w:numPr>
        <w:rPr>
          <w:rFonts w:eastAsia="Batang"/>
          <w:lang w:val="en-US"/>
        </w:rPr>
      </w:pPr>
      <w:r w:rsidRPr="00313E82">
        <w:rPr>
          <w:rFonts w:eastAsia="Batang"/>
          <w:lang w:val="en-US"/>
        </w:rPr>
        <w:t>Limitations as per the risk assessment.</w:t>
      </w:r>
    </w:p>
    <w:p w:rsidR="00B44A7D" w:rsidRPr="00313E82" w:rsidRDefault="00B44A7D" w:rsidP="003651CB">
      <w:pPr>
        <w:pStyle w:val="Paragraphedeliste"/>
        <w:numPr>
          <w:ilvl w:val="0"/>
          <w:numId w:val="21"/>
        </w:numPr>
        <w:rPr>
          <w:rFonts w:eastAsia="Batang"/>
          <w:lang w:val="en-US"/>
        </w:rPr>
      </w:pPr>
      <w:r w:rsidRPr="00313E82">
        <w:rPr>
          <w:rFonts w:eastAsia="Batang"/>
          <w:lang w:val="en-US"/>
        </w:rPr>
        <w:t>Recommendations on a harmonized definition of the risk measure will be given, if applicable.</w:t>
      </w:r>
    </w:p>
    <w:p w:rsidR="00DC29FE" w:rsidRPr="00313E82" w:rsidRDefault="00DC29FE">
      <w:pPr>
        <w:rPr>
          <w:rFonts w:eastAsia="Batang"/>
          <w:lang w:val="en-US"/>
        </w:rPr>
      </w:pPr>
    </w:p>
    <w:p w:rsidR="005F43A6" w:rsidRPr="00313E82" w:rsidRDefault="00D148C9" w:rsidP="00741D3C">
      <w:pPr>
        <w:rPr>
          <w:rFonts w:eastAsia="Batang"/>
          <w:lang w:val="en-US"/>
        </w:rPr>
      </w:pPr>
      <w:r w:rsidRPr="00313E82">
        <w:rPr>
          <w:rFonts w:eastAsia="Batang"/>
          <w:lang w:val="en-US"/>
        </w:rPr>
        <w:t>The following sections on individual risk metrics take into account numerous publications related to that matter</w:t>
      </w:r>
      <w:r w:rsidR="00014125" w:rsidRPr="00313E82">
        <w:rPr>
          <w:rFonts w:eastAsia="Batang"/>
          <w:lang w:val="en-US"/>
        </w:rPr>
        <w:t>. The following are some of these references:</w:t>
      </w:r>
      <w:r w:rsidRPr="00313E82">
        <w:rPr>
          <w:rFonts w:eastAsia="Batang"/>
          <w:lang w:val="en-US"/>
        </w:rPr>
        <w:t xml:space="preserve"> </w:t>
      </w:r>
      <w:r w:rsidR="009E768B" w:rsidRPr="007E0C24">
        <w:rPr>
          <w:rFonts w:eastAsia="Batang"/>
          <w:lang w:val="en-US"/>
        </w:rPr>
        <w:fldChar w:fldCharType="begin"/>
      </w:r>
      <w:r w:rsidRPr="00313E82">
        <w:rPr>
          <w:rFonts w:eastAsia="Batang"/>
          <w:lang w:val="en-US"/>
        </w:rPr>
        <w:instrText xml:space="preserve"> REF _Ref399743302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[65]</w:t>
      </w:r>
      <w:r w:rsidR="009E768B" w:rsidRPr="007E0C24">
        <w:rPr>
          <w:rFonts w:eastAsia="Batang"/>
          <w:lang w:val="en-US"/>
        </w:rPr>
        <w:fldChar w:fldCharType="end"/>
      </w:r>
      <w:r w:rsidRPr="00313E82">
        <w:rPr>
          <w:rFonts w:eastAsia="Batang"/>
          <w:lang w:val="en-US"/>
        </w:rPr>
        <w:t xml:space="preserve">, </w:t>
      </w:r>
      <w:r w:rsidR="009E768B" w:rsidRPr="007E0C24">
        <w:rPr>
          <w:rFonts w:eastAsia="Batang"/>
          <w:lang w:val="en-US"/>
        </w:rPr>
        <w:fldChar w:fldCharType="begin"/>
      </w:r>
      <w:r w:rsidRPr="00313E82">
        <w:rPr>
          <w:rFonts w:eastAsia="Batang"/>
          <w:lang w:val="en-US"/>
        </w:rPr>
        <w:instrText xml:space="preserve"> REF _Ref399673357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[63]</w:t>
      </w:r>
      <w:r w:rsidR="009E768B" w:rsidRPr="007E0C24">
        <w:rPr>
          <w:rFonts w:eastAsia="Batang"/>
          <w:lang w:val="en-US"/>
        </w:rPr>
        <w:fldChar w:fldCharType="end"/>
      </w:r>
      <w:r w:rsidRPr="00313E82">
        <w:rPr>
          <w:rFonts w:eastAsia="Batang"/>
          <w:lang w:val="en-US"/>
        </w:rPr>
        <w:t xml:space="preserve">, </w:t>
      </w:r>
      <w:r w:rsidR="009E768B" w:rsidRPr="007E0C24">
        <w:rPr>
          <w:rFonts w:eastAsia="Batang"/>
          <w:lang w:val="en-US"/>
        </w:rPr>
        <w:fldChar w:fldCharType="begin"/>
      </w:r>
      <w:r w:rsidRPr="00313E82">
        <w:rPr>
          <w:rFonts w:eastAsia="Batang"/>
          <w:lang w:val="en-US"/>
        </w:rPr>
        <w:instrText xml:space="preserve"> REF _Ref413857632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[66]</w:t>
      </w:r>
      <w:r w:rsidR="009E768B" w:rsidRPr="007E0C24">
        <w:rPr>
          <w:rFonts w:eastAsia="Batang"/>
          <w:lang w:val="en-US"/>
        </w:rPr>
        <w:fldChar w:fldCharType="end"/>
      </w:r>
      <w:r w:rsidRPr="00313E82">
        <w:rPr>
          <w:rFonts w:eastAsia="Batang"/>
          <w:lang w:val="en-US"/>
        </w:rPr>
        <w:t xml:space="preserve">, </w:t>
      </w:r>
      <w:r w:rsidR="009E768B" w:rsidRPr="007E0C24">
        <w:rPr>
          <w:rFonts w:eastAsia="Batang"/>
          <w:lang w:val="en-US"/>
        </w:rPr>
        <w:fldChar w:fldCharType="begin"/>
      </w:r>
      <w:r w:rsidRPr="00313E82">
        <w:rPr>
          <w:rFonts w:eastAsia="Batang"/>
          <w:lang w:val="en-US"/>
        </w:rPr>
        <w:instrText xml:space="preserve"> REF _Ref414016455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[69]</w:t>
      </w:r>
      <w:r w:rsidR="009E768B" w:rsidRPr="007E0C24">
        <w:rPr>
          <w:rFonts w:eastAsia="Batang"/>
          <w:lang w:val="en-US"/>
        </w:rPr>
        <w:fldChar w:fldCharType="end"/>
      </w:r>
      <w:r w:rsidRPr="00313E82">
        <w:rPr>
          <w:rFonts w:eastAsia="Batang"/>
          <w:lang w:val="en-US"/>
        </w:rPr>
        <w:t xml:space="preserve">, </w:t>
      </w:r>
      <w:r w:rsidR="009E768B" w:rsidRPr="007E0C24">
        <w:rPr>
          <w:rFonts w:eastAsia="Batang"/>
          <w:lang w:val="en-US"/>
        </w:rPr>
        <w:fldChar w:fldCharType="begin"/>
      </w:r>
      <w:r w:rsidRPr="00313E82">
        <w:rPr>
          <w:rFonts w:eastAsia="Batang"/>
          <w:lang w:val="en-US"/>
        </w:rPr>
        <w:instrText xml:space="preserve"> REF _Ref397354130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[41]</w:t>
      </w:r>
      <w:r w:rsidR="009E768B" w:rsidRPr="007E0C24">
        <w:rPr>
          <w:rFonts w:eastAsia="Batang"/>
          <w:lang w:val="en-US"/>
        </w:rPr>
        <w:fldChar w:fldCharType="end"/>
      </w:r>
      <w:r w:rsidRPr="00313E82">
        <w:rPr>
          <w:rFonts w:eastAsia="Batang"/>
          <w:lang w:val="en-US"/>
        </w:rPr>
        <w:t xml:space="preserve">, </w:t>
      </w:r>
      <w:r w:rsidR="009E768B" w:rsidRPr="007E0C24">
        <w:rPr>
          <w:rFonts w:eastAsia="Batang"/>
          <w:lang w:val="en-US"/>
        </w:rPr>
        <w:fldChar w:fldCharType="begin"/>
      </w:r>
      <w:r w:rsidRPr="00313E82">
        <w:rPr>
          <w:rFonts w:eastAsia="Batang"/>
          <w:lang w:val="en-US"/>
        </w:rPr>
        <w:instrText xml:space="preserve"> REF _Ref414016465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[42]</w:t>
      </w:r>
      <w:r w:rsidR="009E768B" w:rsidRPr="007E0C24">
        <w:rPr>
          <w:rFonts w:eastAsia="Batang"/>
          <w:lang w:val="en-US"/>
        </w:rPr>
        <w:fldChar w:fldCharType="end"/>
      </w:r>
      <w:r w:rsidRPr="00313E82">
        <w:rPr>
          <w:rFonts w:eastAsia="Batang"/>
          <w:lang w:val="en-US"/>
        </w:rPr>
        <w:t xml:space="preserve">, </w:t>
      </w:r>
      <w:r w:rsidR="009E768B" w:rsidRPr="007E0C24">
        <w:rPr>
          <w:rFonts w:eastAsia="Batang"/>
          <w:lang w:val="en-US"/>
        </w:rPr>
        <w:fldChar w:fldCharType="begin"/>
      </w:r>
      <w:r w:rsidRPr="00313E82">
        <w:rPr>
          <w:rFonts w:eastAsia="Batang"/>
          <w:lang w:val="en-US"/>
        </w:rPr>
        <w:instrText xml:space="preserve"> REF _Ref396310330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[13]</w:t>
      </w:r>
      <w:r w:rsidR="009E768B" w:rsidRPr="007E0C24">
        <w:rPr>
          <w:rFonts w:eastAsia="Batang"/>
          <w:lang w:val="en-US"/>
        </w:rPr>
        <w:fldChar w:fldCharType="end"/>
      </w:r>
      <w:r w:rsidRPr="00313E82">
        <w:rPr>
          <w:rFonts w:eastAsia="Batang"/>
          <w:lang w:val="en-US"/>
        </w:rPr>
        <w:t xml:space="preserve">. </w:t>
      </w:r>
    </w:p>
    <w:p w:rsidR="003E6850" w:rsidRPr="00C94556" w:rsidRDefault="003E6850" w:rsidP="00C94556">
      <w:pPr>
        <w:pStyle w:val="Titre2"/>
        <w:rPr>
          <w:rFonts w:eastAsia="Batang"/>
          <w:lang w:val="en-US"/>
        </w:rPr>
      </w:pPr>
      <w:bookmarkStart w:id="52" w:name="_Ref413949061"/>
      <w:bookmarkStart w:id="53" w:name="_Ref418066270"/>
      <w:bookmarkStart w:id="54" w:name="_Toc474430104"/>
      <w:r w:rsidRPr="00C94556">
        <w:rPr>
          <w:rFonts w:eastAsia="Batang"/>
          <w:lang w:val="en-US"/>
        </w:rPr>
        <w:t>Core Damage Frequency</w:t>
      </w:r>
      <w:bookmarkEnd w:id="52"/>
      <w:r w:rsidR="00B70F9C" w:rsidRPr="00C94556">
        <w:rPr>
          <w:rFonts w:eastAsia="Batang"/>
          <w:lang w:val="en-US"/>
        </w:rPr>
        <w:t xml:space="preserve"> (CDF)</w:t>
      </w:r>
      <w:r w:rsidR="0042496C" w:rsidRPr="00C94556">
        <w:rPr>
          <w:rFonts w:eastAsia="Batang"/>
          <w:lang w:val="en-US"/>
        </w:rPr>
        <w:t>, time average</w:t>
      </w:r>
      <w:bookmarkEnd w:id="53"/>
      <w:bookmarkEnd w:id="54"/>
    </w:p>
    <w:p w:rsidR="003E6850" w:rsidRPr="00313E82" w:rsidRDefault="003E6850" w:rsidP="00C94556">
      <w:pPr>
        <w:pStyle w:val="Titre3"/>
        <w:rPr>
          <w:rFonts w:eastAsia="Batang"/>
          <w:lang w:val="en-US"/>
        </w:rPr>
      </w:pPr>
      <w:bookmarkStart w:id="55" w:name="_Toc474430105"/>
      <w:r w:rsidRPr="00313E82">
        <w:rPr>
          <w:rFonts w:eastAsia="Batang"/>
          <w:lang w:val="en-US"/>
        </w:rPr>
        <w:t>Definition of Risk Measure</w:t>
      </w:r>
      <w:bookmarkEnd w:id="55"/>
    </w:p>
    <w:p w:rsidR="00D133E6" w:rsidRPr="00313E82" w:rsidRDefault="003E6850">
      <w:pPr>
        <w:rPr>
          <w:rFonts w:eastAsia="Batang"/>
          <w:lang w:val="en-US"/>
        </w:rPr>
      </w:pPr>
      <w:r w:rsidRPr="00313E82">
        <w:rPr>
          <w:rFonts w:eastAsia="Batang"/>
          <w:u w:val="single"/>
          <w:lang w:val="en-US"/>
        </w:rPr>
        <w:t>Risk metric</w:t>
      </w:r>
      <w:r w:rsidRPr="00313E82">
        <w:rPr>
          <w:rFonts w:eastAsia="Batang"/>
          <w:lang w:val="en-US"/>
        </w:rPr>
        <w:t xml:space="preserve">: </w:t>
      </w:r>
    </w:p>
    <w:p w:rsidR="001812EF" w:rsidRPr="00313E82" w:rsidRDefault="003E6850" w:rsidP="00741D3C">
      <w:pPr>
        <w:rPr>
          <w:rFonts w:eastAsia="Batang"/>
          <w:lang w:val="en-US"/>
        </w:rPr>
      </w:pPr>
      <w:r w:rsidRPr="00313E82">
        <w:rPr>
          <w:rFonts w:eastAsia="Batang"/>
          <w:lang w:val="en-US"/>
        </w:rPr>
        <w:t>Core damage for PSA Level 1 is commonly understood to occur if there</w:t>
      </w:r>
      <w:r w:rsidR="007304CA" w:rsidRPr="00313E82">
        <w:rPr>
          <w:rFonts w:eastAsia="Batang"/>
          <w:lang w:val="en-US"/>
        </w:rPr>
        <w:t xml:space="preserve"> i</w:t>
      </w:r>
      <w:r w:rsidRPr="00313E82">
        <w:rPr>
          <w:rFonts w:eastAsia="Batang"/>
          <w:lang w:val="en-US"/>
        </w:rPr>
        <w:t>s a</w:t>
      </w:r>
      <w:r w:rsidR="001812EF" w:rsidRPr="00313E82">
        <w:rPr>
          <w:rFonts w:eastAsia="Batang"/>
          <w:lang w:val="en-US"/>
        </w:rPr>
        <w:t xml:space="preserve"> significant degradation of reactor core components (</w:t>
      </w:r>
      <w:r w:rsidR="0083140A" w:rsidRPr="00313E82">
        <w:rPr>
          <w:rFonts w:eastAsia="Batang"/>
          <w:lang w:val="en-US"/>
        </w:rPr>
        <w:t xml:space="preserve">like </w:t>
      </w:r>
      <w:r w:rsidR="001812EF" w:rsidRPr="00313E82">
        <w:rPr>
          <w:rFonts w:eastAsia="Batang"/>
          <w:lang w:val="en-US"/>
        </w:rPr>
        <w:t xml:space="preserve">fuel rod (cladding) or control rod). </w:t>
      </w:r>
      <w:r w:rsidR="0083140A" w:rsidRPr="00313E82">
        <w:rPr>
          <w:rFonts w:eastAsia="Batang"/>
          <w:lang w:val="en-US"/>
        </w:rPr>
        <w:t>The core damage metric is constitutive for the definition of PSA Level 1</w:t>
      </w:r>
      <w:r w:rsidR="00C25AD7" w:rsidRPr="00313E82">
        <w:rPr>
          <w:rFonts w:eastAsia="Batang"/>
          <w:lang w:val="en-US"/>
        </w:rPr>
        <w:t xml:space="preserve"> </w:t>
      </w:r>
      <w:r w:rsidR="009E768B" w:rsidRPr="007E0C24">
        <w:rPr>
          <w:rFonts w:eastAsia="Batang"/>
          <w:lang w:val="en-US"/>
        </w:rPr>
        <w:fldChar w:fldCharType="begin"/>
      </w:r>
      <w:r w:rsidR="00C25AD7" w:rsidRPr="00313E82">
        <w:rPr>
          <w:rFonts w:eastAsia="Batang"/>
          <w:lang w:val="en-US"/>
        </w:rPr>
        <w:instrText xml:space="preserve"> REF _Ref384386913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[4]</w:t>
      </w:r>
      <w:r w:rsidR="009E768B" w:rsidRPr="007E0C24">
        <w:rPr>
          <w:rFonts w:eastAsia="Batang"/>
          <w:lang w:val="en-US"/>
        </w:rPr>
        <w:fldChar w:fldCharType="end"/>
      </w:r>
      <w:r w:rsidR="00C25AD7" w:rsidRPr="00313E82">
        <w:rPr>
          <w:rFonts w:eastAsia="Batang"/>
          <w:lang w:val="en-US"/>
        </w:rPr>
        <w:t xml:space="preserve">, </w:t>
      </w:r>
      <w:r w:rsidR="009E768B" w:rsidRPr="007E0C24">
        <w:rPr>
          <w:rFonts w:eastAsia="Batang"/>
          <w:lang w:val="en-US"/>
        </w:rPr>
        <w:fldChar w:fldCharType="begin"/>
      </w:r>
      <w:r w:rsidR="00C25AD7" w:rsidRPr="00313E82">
        <w:rPr>
          <w:rFonts w:eastAsia="Batang"/>
          <w:lang w:val="en-US"/>
        </w:rPr>
        <w:instrText xml:space="preserve"> REF _Ref393115557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[5]</w:t>
      </w:r>
      <w:r w:rsidR="009E768B" w:rsidRPr="007E0C24">
        <w:rPr>
          <w:rFonts w:eastAsia="Batang"/>
          <w:lang w:val="en-US"/>
        </w:rPr>
        <w:fldChar w:fldCharType="end"/>
      </w:r>
      <w:r w:rsidR="0083140A" w:rsidRPr="00313E82">
        <w:rPr>
          <w:rFonts w:eastAsia="Batang"/>
          <w:lang w:val="en-US"/>
        </w:rPr>
        <w:t>, because the dividing line between Level 1 and Level 2 is usually set at the onset of a significant degradation of reactor core components</w:t>
      </w:r>
      <w:r w:rsidR="00DB6FB2" w:rsidRPr="00313E82">
        <w:rPr>
          <w:rFonts w:eastAsia="Batang"/>
          <w:lang w:val="en-US"/>
        </w:rPr>
        <w:t xml:space="preserve"> (with release of fission products outside of the reactor core)</w:t>
      </w:r>
      <w:r w:rsidR="0083140A" w:rsidRPr="00313E82">
        <w:rPr>
          <w:rFonts w:eastAsia="Batang"/>
          <w:lang w:val="en-US"/>
        </w:rPr>
        <w:t xml:space="preserve">. </w:t>
      </w:r>
      <w:r w:rsidR="001812EF" w:rsidRPr="00313E82">
        <w:rPr>
          <w:rFonts w:eastAsia="Batang"/>
          <w:lang w:val="en-US"/>
        </w:rPr>
        <w:t>There is</w:t>
      </w:r>
      <w:r w:rsidR="00DB29A8" w:rsidRPr="00313E82">
        <w:rPr>
          <w:rFonts w:eastAsia="Batang"/>
          <w:lang w:val="en-US"/>
        </w:rPr>
        <w:t>,</w:t>
      </w:r>
      <w:r w:rsidR="001812EF" w:rsidRPr="00313E82">
        <w:rPr>
          <w:rFonts w:eastAsia="Batang"/>
          <w:lang w:val="en-US"/>
        </w:rPr>
        <w:t xml:space="preserve"> however</w:t>
      </w:r>
      <w:r w:rsidR="00DB29A8" w:rsidRPr="00313E82">
        <w:rPr>
          <w:rFonts w:eastAsia="Batang"/>
          <w:lang w:val="en-US"/>
        </w:rPr>
        <w:t>,</w:t>
      </w:r>
      <w:r w:rsidR="001812EF" w:rsidRPr="00313E82">
        <w:rPr>
          <w:rFonts w:eastAsia="Batang"/>
          <w:lang w:val="en-US"/>
        </w:rPr>
        <w:t xml:space="preserve"> a wide range of specific definitions</w:t>
      </w:r>
      <w:r w:rsidR="0083140A" w:rsidRPr="00313E82">
        <w:rPr>
          <w:rFonts w:eastAsia="Batang"/>
          <w:lang w:val="en-US"/>
        </w:rPr>
        <w:t xml:space="preserve"> for the core damage metric</w:t>
      </w:r>
      <w:r w:rsidR="00C25AD7" w:rsidRPr="00313E82">
        <w:rPr>
          <w:rFonts w:eastAsia="Batang"/>
          <w:lang w:val="en-US"/>
        </w:rPr>
        <w:t xml:space="preserve"> </w:t>
      </w:r>
      <w:r w:rsidR="00DB6FB2" w:rsidRPr="00313E82">
        <w:rPr>
          <w:rFonts w:eastAsia="Batang"/>
          <w:lang w:val="en-US"/>
        </w:rPr>
        <w:t xml:space="preserve">depending of the PSA Level 1 objectives and the NPP design </w:t>
      </w:r>
      <w:r w:rsidR="009E768B" w:rsidRPr="007E0C24">
        <w:rPr>
          <w:rFonts w:eastAsia="Batang"/>
          <w:lang w:val="en-US"/>
        </w:rPr>
        <w:fldChar w:fldCharType="begin"/>
      </w:r>
      <w:r w:rsidR="00C25AD7" w:rsidRPr="00313E82">
        <w:rPr>
          <w:rFonts w:eastAsia="Batang"/>
          <w:lang w:val="en-US"/>
        </w:rPr>
        <w:instrText xml:space="preserve"> REF _Ref414016455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[69]</w:t>
      </w:r>
      <w:r w:rsidR="009E768B" w:rsidRPr="007E0C24">
        <w:rPr>
          <w:rFonts w:eastAsia="Batang"/>
          <w:lang w:val="en-US"/>
        </w:rPr>
        <w:fldChar w:fldCharType="end"/>
      </w:r>
      <w:r w:rsidR="00C25AD7" w:rsidRPr="00313E82">
        <w:rPr>
          <w:rFonts w:eastAsia="Batang"/>
          <w:lang w:val="en-US"/>
        </w:rPr>
        <w:t xml:space="preserve">, </w:t>
      </w:r>
      <w:r w:rsidR="009E768B" w:rsidRPr="007E0C24">
        <w:rPr>
          <w:rFonts w:eastAsia="Batang"/>
          <w:lang w:val="en-US"/>
        </w:rPr>
        <w:fldChar w:fldCharType="begin"/>
      </w:r>
      <w:r w:rsidR="00C25AD7" w:rsidRPr="00313E82">
        <w:rPr>
          <w:rFonts w:eastAsia="Batang"/>
          <w:lang w:val="en-US"/>
        </w:rPr>
        <w:instrText xml:space="preserve"> REF _Ref396310330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[13]</w:t>
      </w:r>
      <w:r w:rsidR="009E768B" w:rsidRPr="007E0C24">
        <w:rPr>
          <w:rFonts w:eastAsia="Batang"/>
          <w:lang w:val="en-US"/>
        </w:rPr>
        <w:fldChar w:fldCharType="end"/>
      </w:r>
      <w:r w:rsidR="001812EF" w:rsidRPr="00313E82">
        <w:rPr>
          <w:rFonts w:eastAsia="Batang"/>
          <w:lang w:val="en-US"/>
        </w:rPr>
        <w:t>, e.g.</w:t>
      </w:r>
    </w:p>
    <w:p w:rsidR="0042496C" w:rsidRPr="00313E82" w:rsidRDefault="004910B9" w:rsidP="003651CB">
      <w:pPr>
        <w:pStyle w:val="Paragraphedeliste"/>
        <w:numPr>
          <w:ilvl w:val="0"/>
          <w:numId w:val="22"/>
        </w:numPr>
        <w:rPr>
          <w:rFonts w:eastAsia="Batang"/>
          <w:lang w:val="en-US"/>
        </w:rPr>
      </w:pPr>
      <w:r w:rsidRPr="00C94556">
        <w:rPr>
          <w:lang w:val="en-US"/>
        </w:rPr>
        <w:t>Maximum fuel element cladding temperature</w:t>
      </w:r>
      <w:r w:rsidRPr="00313E82">
        <w:rPr>
          <w:rFonts w:eastAsia="Batang"/>
          <w:lang w:val="en-US"/>
        </w:rPr>
        <w:t xml:space="preserve"> </w:t>
      </w:r>
      <w:r w:rsidR="0042496C" w:rsidRPr="00313E82">
        <w:rPr>
          <w:rFonts w:eastAsia="Batang"/>
          <w:lang w:val="en-US"/>
        </w:rPr>
        <w:t>above 1204 °C</w:t>
      </w:r>
      <w:r w:rsidR="00617093" w:rsidRPr="00313E82">
        <w:rPr>
          <w:rFonts w:eastAsia="Batang"/>
          <w:lang w:val="en-US"/>
        </w:rPr>
        <w:t>,</w:t>
      </w:r>
      <w:r w:rsidR="0042496C" w:rsidRPr="00313E82">
        <w:rPr>
          <w:rFonts w:eastAsia="Batang"/>
          <w:lang w:val="en-US"/>
        </w:rPr>
        <w:t xml:space="preserve"> </w:t>
      </w:r>
    </w:p>
    <w:p w:rsidR="00617093" w:rsidRPr="00313E82" w:rsidRDefault="00617093" w:rsidP="009E13CC">
      <w:pPr>
        <w:pStyle w:val="Paragraphedeliste"/>
        <w:numPr>
          <w:ilvl w:val="0"/>
          <w:numId w:val="22"/>
        </w:numPr>
        <w:rPr>
          <w:rFonts w:eastAsia="Batang"/>
          <w:lang w:val="en-US"/>
        </w:rPr>
      </w:pPr>
      <w:r w:rsidRPr="00313E82">
        <w:rPr>
          <w:rFonts w:eastAsia="Batang"/>
          <w:lang w:val="en-US"/>
        </w:rPr>
        <w:t>Changes in core geometry are such that core cooling is no longer deemed successful,</w:t>
      </w:r>
    </w:p>
    <w:p w:rsidR="0042496C" w:rsidRPr="00313E82" w:rsidRDefault="00617093" w:rsidP="000C1ABB">
      <w:pPr>
        <w:pStyle w:val="Paragraphedeliste"/>
        <w:numPr>
          <w:ilvl w:val="0"/>
          <w:numId w:val="22"/>
        </w:numPr>
        <w:rPr>
          <w:rFonts w:eastAsia="Batang"/>
          <w:lang w:val="en-US"/>
        </w:rPr>
      </w:pPr>
      <w:r w:rsidRPr="00313E82">
        <w:rPr>
          <w:rFonts w:eastAsia="Batang"/>
          <w:lang w:val="en-US"/>
        </w:rPr>
        <w:t>U</w:t>
      </w:r>
      <w:r w:rsidR="0042496C" w:rsidRPr="00313E82">
        <w:rPr>
          <w:rFonts w:eastAsia="Batang"/>
          <w:lang w:val="en-US"/>
        </w:rPr>
        <w:t xml:space="preserve">ncovery of </w:t>
      </w:r>
      <w:r w:rsidRPr="00313E82">
        <w:rPr>
          <w:rFonts w:eastAsia="Batang"/>
          <w:lang w:val="en-US"/>
        </w:rPr>
        <w:t xml:space="preserve">the top of the </w:t>
      </w:r>
      <w:r w:rsidR="0042496C" w:rsidRPr="00313E82">
        <w:rPr>
          <w:rFonts w:eastAsia="Batang"/>
          <w:lang w:val="en-US"/>
        </w:rPr>
        <w:t>core</w:t>
      </w:r>
      <w:r w:rsidRPr="00313E82">
        <w:rPr>
          <w:rFonts w:eastAsia="Batang"/>
          <w:lang w:val="en-US"/>
        </w:rPr>
        <w:t xml:space="preserve"> except for short-term reflooding,</w:t>
      </w:r>
    </w:p>
    <w:p w:rsidR="00617093" w:rsidRPr="00313E82" w:rsidRDefault="00617093" w:rsidP="0077117F">
      <w:pPr>
        <w:pStyle w:val="Paragraphedeliste"/>
        <w:numPr>
          <w:ilvl w:val="0"/>
          <w:numId w:val="22"/>
        </w:numPr>
        <w:rPr>
          <w:rFonts w:eastAsia="Batang"/>
          <w:lang w:val="en-US"/>
        </w:rPr>
      </w:pPr>
      <w:r w:rsidRPr="00313E82">
        <w:rPr>
          <w:rFonts w:eastAsia="Batang"/>
          <w:lang w:val="en-US"/>
        </w:rPr>
        <w:t>Uncovery of top of active fuel</w:t>
      </w:r>
      <w:r w:rsidR="00032945">
        <w:rPr>
          <w:rFonts w:eastAsia="Batang"/>
          <w:lang w:val="en-US"/>
        </w:rPr>
        <w:t>,</w:t>
      </w:r>
    </w:p>
    <w:p w:rsidR="00617093" w:rsidRPr="00313E82" w:rsidRDefault="00617093" w:rsidP="008F58CE">
      <w:pPr>
        <w:pStyle w:val="Paragraphedeliste"/>
        <w:numPr>
          <w:ilvl w:val="0"/>
          <w:numId w:val="22"/>
        </w:numPr>
        <w:rPr>
          <w:rFonts w:eastAsia="Batang"/>
          <w:lang w:val="en-US"/>
        </w:rPr>
      </w:pPr>
      <w:r w:rsidRPr="00313E82">
        <w:rPr>
          <w:rFonts w:eastAsia="Batang"/>
          <w:lang w:val="en-US"/>
        </w:rPr>
        <w:t>Onset of heat-up of the reactor core due to anticipated prolonged oxidation involving a part of the core sufficient for causing a significant release,</w:t>
      </w:r>
    </w:p>
    <w:p w:rsidR="001812EF" w:rsidRPr="00313E82" w:rsidRDefault="0042496C" w:rsidP="00741D3C">
      <w:pPr>
        <w:pStyle w:val="Paragraphedeliste"/>
        <w:numPr>
          <w:ilvl w:val="0"/>
          <w:numId w:val="22"/>
        </w:numPr>
        <w:rPr>
          <w:rFonts w:eastAsia="Batang"/>
          <w:lang w:val="en-US"/>
        </w:rPr>
      </w:pPr>
      <w:r w:rsidRPr="00313E82">
        <w:rPr>
          <w:rFonts w:eastAsia="Batang"/>
          <w:lang w:val="en-US"/>
        </w:rPr>
        <w:t>Onset of melting of core material (fuel elements, control rods) in the reactor core or the fuel storage pool</w:t>
      </w:r>
      <w:r w:rsidR="007932C3" w:rsidRPr="00313E82">
        <w:rPr>
          <w:rFonts w:eastAsia="Batang"/>
          <w:lang w:val="en-US"/>
        </w:rPr>
        <w:t xml:space="preserve">, e.g. </w:t>
      </w:r>
      <w:r w:rsidR="009E768B" w:rsidRPr="007E0C24">
        <w:rPr>
          <w:rFonts w:eastAsia="Batang"/>
          <w:lang w:val="en-US"/>
        </w:rPr>
        <w:fldChar w:fldCharType="begin"/>
      </w:r>
      <w:r w:rsidR="00A6032A" w:rsidRPr="00313E82">
        <w:rPr>
          <w:rFonts w:eastAsia="Batang"/>
          <w:lang w:val="en-US"/>
        </w:rPr>
        <w:instrText xml:space="preserve"> REF _Ref418600965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[77]</w:t>
      </w:r>
      <w:r w:rsidR="009E768B" w:rsidRPr="007E0C24">
        <w:rPr>
          <w:rFonts w:eastAsia="Batang"/>
          <w:lang w:val="en-US"/>
        </w:rPr>
        <w:fldChar w:fldCharType="end"/>
      </w:r>
      <w:r w:rsidR="00A6032A" w:rsidRPr="00313E82">
        <w:rPr>
          <w:rFonts w:eastAsia="Batang"/>
          <w:lang w:val="en-US"/>
        </w:rPr>
        <w:t>,</w:t>
      </w:r>
    </w:p>
    <w:p w:rsidR="00414E13" w:rsidRPr="00313E82" w:rsidRDefault="00F51878" w:rsidP="00741D3C">
      <w:pPr>
        <w:pStyle w:val="Paragraphedeliste"/>
        <w:numPr>
          <w:ilvl w:val="0"/>
          <w:numId w:val="22"/>
        </w:numPr>
        <w:rPr>
          <w:rFonts w:eastAsia="Batang"/>
          <w:lang w:val="en-US"/>
        </w:rPr>
      </w:pPr>
      <w:r w:rsidRPr="00313E82">
        <w:rPr>
          <w:rFonts w:eastAsia="Batang"/>
          <w:lang w:val="en-US"/>
        </w:rPr>
        <w:t>“</w:t>
      </w:r>
      <w:r w:rsidR="00414E13" w:rsidRPr="00313E82">
        <w:rPr>
          <w:rFonts w:eastAsia="Batang"/>
          <w:lang w:val="en-US"/>
        </w:rPr>
        <w:t xml:space="preserve">Uncovery </w:t>
      </w:r>
      <w:r w:rsidRPr="00313E82">
        <w:rPr>
          <w:rFonts w:eastAsia="Batang"/>
          <w:lang w:val="en-US"/>
        </w:rPr>
        <w:t xml:space="preserve">and heatup of the reactor core and leading to a significant release of radioactive material from the core” </w:t>
      </w:r>
      <w:r w:rsidR="009E768B" w:rsidRPr="007E0C24">
        <w:rPr>
          <w:rFonts w:eastAsia="Batang"/>
          <w:lang w:val="en-US"/>
        </w:rPr>
        <w:fldChar w:fldCharType="begin"/>
      </w:r>
      <w:r w:rsidRPr="00313E82">
        <w:rPr>
          <w:rFonts w:eastAsia="Batang"/>
          <w:lang w:val="en-US"/>
        </w:rPr>
        <w:instrText xml:space="preserve"> REF _Ref418516140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[74]</w:t>
      </w:r>
      <w:r w:rsidR="009E768B" w:rsidRPr="007E0C24">
        <w:rPr>
          <w:rFonts w:eastAsia="Batang"/>
          <w:lang w:val="en-US"/>
        </w:rPr>
        <w:fldChar w:fldCharType="end"/>
      </w:r>
      <w:r w:rsidRPr="00313E82">
        <w:rPr>
          <w:rFonts w:eastAsia="Batang"/>
          <w:lang w:val="en-US"/>
        </w:rPr>
        <w:t>, p. 49., if the initiating event occurs during power operation,</w:t>
      </w:r>
    </w:p>
    <w:p w:rsidR="00A6455C" w:rsidRPr="00313E82" w:rsidRDefault="00A6455C" w:rsidP="00A6455C">
      <w:pPr>
        <w:pStyle w:val="Paragraphedeliste"/>
        <w:numPr>
          <w:ilvl w:val="0"/>
          <w:numId w:val="22"/>
        </w:numPr>
        <w:rPr>
          <w:rFonts w:eastAsia="Batang"/>
          <w:lang w:val="en-US"/>
        </w:rPr>
      </w:pPr>
      <w:r w:rsidRPr="00313E82">
        <w:rPr>
          <w:rFonts w:eastAsia="Batang"/>
          <w:lang w:val="en-US"/>
        </w:rPr>
        <w:t>Loss of structural integrity of more than one fuel channel (due to molten fuel) for CANDU reactors,</w:t>
      </w:r>
    </w:p>
    <w:p w:rsidR="0042496C" w:rsidRPr="00313E82" w:rsidRDefault="00617093" w:rsidP="00D873A7">
      <w:pPr>
        <w:pStyle w:val="Paragraphedeliste"/>
        <w:numPr>
          <w:ilvl w:val="0"/>
          <w:numId w:val="22"/>
        </w:numPr>
        <w:rPr>
          <w:rFonts w:eastAsia="Batang"/>
          <w:lang w:val="en-US"/>
        </w:rPr>
      </w:pPr>
      <w:r w:rsidRPr="00313E82">
        <w:rPr>
          <w:rFonts w:eastAsia="Batang"/>
          <w:lang w:val="en-US"/>
        </w:rPr>
        <w:t>etc</w:t>
      </w:r>
      <w:r w:rsidR="0042496C" w:rsidRPr="00313E82">
        <w:rPr>
          <w:rFonts w:eastAsia="Batang"/>
          <w:lang w:val="en-US"/>
        </w:rPr>
        <w:t>.</w:t>
      </w:r>
    </w:p>
    <w:p w:rsidR="001812EF" w:rsidRPr="00313E82" w:rsidRDefault="001812EF">
      <w:pPr>
        <w:rPr>
          <w:rFonts w:eastAsia="Batang"/>
          <w:lang w:val="en-US"/>
        </w:rPr>
      </w:pPr>
      <w:r w:rsidRPr="00313E82">
        <w:rPr>
          <w:rFonts w:eastAsia="Batang"/>
          <w:lang w:val="en-US"/>
        </w:rPr>
        <w:lastRenderedPageBreak/>
        <w:t>The risk metric is usually applied to (end-) states in the risk model (i.e. a consequence)</w:t>
      </w:r>
      <w:r w:rsidR="0083140A" w:rsidRPr="00313E82">
        <w:rPr>
          <w:rFonts w:eastAsia="Batang"/>
          <w:lang w:val="en-US"/>
        </w:rPr>
        <w:t xml:space="preserve">. Core damage is one of the constitutive attributes for the (uncontrolled) end-states in PSA Level 1. </w:t>
      </w:r>
    </w:p>
    <w:p w:rsidR="001812EF" w:rsidRPr="00313E82" w:rsidRDefault="001812EF">
      <w:pPr>
        <w:rPr>
          <w:rFonts w:eastAsia="Batang"/>
          <w:lang w:val="en-US"/>
        </w:rPr>
      </w:pPr>
      <w:r w:rsidRPr="00313E82">
        <w:rPr>
          <w:rFonts w:eastAsia="Batang"/>
          <w:lang w:val="en-US"/>
        </w:rPr>
        <w:t>There are different practices as to whether “core damage” applies only to fuel elements present in a reactor core or if it can, especially for aggregation, also include damages to fuel elements outside of a reactor core, in particular fuel losing overall cladding integrity in the spent fuel pool.</w:t>
      </w:r>
      <w:r w:rsidR="0042496C" w:rsidRPr="00313E82">
        <w:rPr>
          <w:rFonts w:eastAsia="Batang"/>
          <w:lang w:val="en-US"/>
        </w:rPr>
        <w:t xml:space="preserve"> For more discussion see below</w:t>
      </w:r>
      <w:r w:rsidR="00E942F0" w:rsidRPr="00313E82">
        <w:rPr>
          <w:rFonts w:eastAsia="Batang"/>
          <w:lang w:val="en-US"/>
        </w:rPr>
        <w:t>;</w:t>
      </w:r>
      <w:r w:rsidR="0042496C" w:rsidRPr="00313E82">
        <w:rPr>
          <w:rFonts w:eastAsia="Batang"/>
          <w:lang w:val="en-US"/>
        </w:rPr>
        <w:t xml:space="preserve"> for fuel damage frequency see section</w:t>
      </w:r>
      <w:r w:rsidR="00DA53E9" w:rsidRPr="00313E82">
        <w:rPr>
          <w:rFonts w:eastAsia="Batang"/>
          <w:lang w:val="en-US"/>
        </w:rPr>
        <w:t xml:space="preserve"> </w:t>
      </w:r>
      <w:r w:rsidR="009E768B" w:rsidRPr="007E0C24">
        <w:rPr>
          <w:rFonts w:eastAsia="Batang"/>
          <w:lang w:val="en-US"/>
        </w:rPr>
        <w:fldChar w:fldCharType="begin"/>
      </w:r>
      <w:r w:rsidR="00DA53E9" w:rsidRPr="00313E82">
        <w:rPr>
          <w:rFonts w:eastAsia="Batang"/>
          <w:lang w:val="en-US"/>
        </w:rPr>
        <w:instrText xml:space="preserve"> REF _Ref316897804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2.12</w:t>
      </w:r>
      <w:r w:rsidR="009E768B" w:rsidRPr="007E0C24">
        <w:rPr>
          <w:rFonts w:eastAsia="Batang"/>
          <w:lang w:val="en-US"/>
        </w:rPr>
        <w:fldChar w:fldCharType="end"/>
      </w:r>
      <w:r w:rsidR="00E942F0" w:rsidRPr="00313E82">
        <w:rPr>
          <w:rFonts w:eastAsia="Batang"/>
          <w:lang w:val="en-US"/>
        </w:rPr>
        <w:t>.</w:t>
      </w:r>
      <w:r w:rsidR="0042496C" w:rsidRPr="00313E82">
        <w:rPr>
          <w:rFonts w:eastAsia="Batang"/>
          <w:lang w:val="en-US"/>
        </w:rPr>
        <w:t xml:space="preserve"> </w:t>
      </w:r>
    </w:p>
    <w:p w:rsidR="00D133E6" w:rsidRPr="00313E82" w:rsidRDefault="00D133E6">
      <w:pPr>
        <w:rPr>
          <w:rFonts w:eastAsia="Batang"/>
          <w:u w:val="single"/>
          <w:lang w:val="en-US"/>
        </w:rPr>
      </w:pPr>
    </w:p>
    <w:p w:rsidR="00D133E6" w:rsidRPr="00313E82" w:rsidRDefault="003E6850">
      <w:pPr>
        <w:rPr>
          <w:rFonts w:eastAsia="Batang"/>
          <w:lang w:val="en-US"/>
        </w:rPr>
      </w:pPr>
      <w:r w:rsidRPr="00313E82">
        <w:rPr>
          <w:rFonts w:eastAsia="Batang"/>
          <w:u w:val="single"/>
          <w:lang w:val="en-US"/>
        </w:rPr>
        <w:t>Risk measure</w:t>
      </w:r>
      <w:r w:rsidRPr="00313E82">
        <w:rPr>
          <w:rFonts w:eastAsia="Batang"/>
          <w:lang w:val="en-US"/>
        </w:rPr>
        <w:t xml:space="preserve">: </w:t>
      </w:r>
    </w:p>
    <w:p w:rsidR="00095A89" w:rsidRPr="00313E82" w:rsidRDefault="003E6850">
      <w:pPr>
        <w:rPr>
          <w:rFonts w:eastAsia="Batang"/>
          <w:lang w:val="en-US"/>
        </w:rPr>
      </w:pPr>
      <w:r w:rsidRPr="00313E82">
        <w:rPr>
          <w:rFonts w:eastAsia="Batang"/>
          <w:lang w:val="en-US"/>
        </w:rPr>
        <w:t>The quantification for the risk metric “core damage” is always the direct frequency (or probability) of the sequence in the risk model</w:t>
      </w:r>
      <w:r w:rsidR="00C30CA7" w:rsidRPr="00313E82">
        <w:rPr>
          <w:rFonts w:eastAsia="Batang"/>
          <w:lang w:val="en-US"/>
        </w:rPr>
        <w:t xml:space="preserve">, i.e. it assigns </w:t>
      </w:r>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00C30CA7" w:rsidRPr="00313E82">
        <w:rPr>
          <w:rFonts w:eastAsia="Batang"/>
          <w:lang w:val="en-US"/>
        </w:rPr>
        <w:t xml:space="preserve"> to the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00027D37" w:rsidRPr="00313E82">
        <w:rPr>
          <w:rFonts w:eastAsia="Batang"/>
          <w:lang w:val="en-US"/>
        </w:rPr>
        <w:t xml:space="preserve"> (Where s</w:t>
      </w:r>
      <w:r w:rsidR="00027D37" w:rsidRPr="00313E82">
        <w:rPr>
          <w:rFonts w:eastAsia="Batang"/>
          <w:vertAlign w:val="subscript"/>
          <w:lang w:val="en-US"/>
        </w:rPr>
        <w:t>i</w:t>
      </w:r>
      <w:r w:rsidR="00027D37" w:rsidRPr="00313E82">
        <w:rPr>
          <w:rFonts w:eastAsia="Batang"/>
          <w:lang w:val="en-US"/>
        </w:rPr>
        <w:t xml:space="preserve"> is the “i” scenario with the “j” consequence c</w:t>
      </w:r>
      <w:r w:rsidR="00027D37" w:rsidRPr="00313E82">
        <w:rPr>
          <w:rFonts w:eastAsia="Batang"/>
          <w:vertAlign w:val="subscript"/>
          <w:lang w:val="en-US"/>
        </w:rPr>
        <w:t>j</w:t>
      </w:r>
      <w:r w:rsidR="00027D37" w:rsidRPr="00313E82">
        <w:rPr>
          <w:rFonts w:eastAsia="Batang"/>
          <w:lang w:val="en-US"/>
        </w:rPr>
        <w:t>)</w:t>
      </w:r>
      <w:r w:rsidRPr="00313E82">
        <w:rPr>
          <w:rFonts w:eastAsia="Batang"/>
          <w:lang w:val="en-US"/>
        </w:rPr>
        <w:t xml:space="preserve">. </w:t>
      </w:r>
      <w:r w:rsidR="00C30CA7" w:rsidRPr="00313E82">
        <w:rPr>
          <w:rFonts w:eastAsia="Batang"/>
          <w:lang w:val="en-US"/>
        </w:rPr>
        <w:t xml:space="preserve">For aggregating risks over sequences, </w:t>
      </w:r>
      <w:r w:rsidR="004A0882" w:rsidRPr="00313E82">
        <w:rPr>
          <w:rFonts w:eastAsia="Batang"/>
          <w:lang w:val="en-US"/>
        </w:rPr>
        <w:t>the probabilities for all sequences with core damage are “summed up”. Formally, the frequency</w:t>
      </w:r>
      <w:r w:rsidR="00A46D88" w:rsidRPr="00313E82">
        <w:rPr>
          <w:rFonts w:eastAsia="Batang"/>
          <w:lang w:val="en-US"/>
        </w:rPr>
        <w:t xml:space="preserve"> distribution</w:t>
      </w:r>
      <w:r w:rsidR="001812EF" w:rsidRPr="00313E82">
        <w:rPr>
          <w:rFonts w:eastAsia="Batang"/>
          <w:lang w:val="en-US"/>
        </w:rPr>
        <w:t xml:space="preserve"> </w:t>
      </w:r>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r>
          <w:rPr>
            <w:rFonts w:ascii="Cambria Math" w:eastAsia="Batang" w:hAnsi="Cambria Math"/>
            <w:lang w:val="en-US"/>
          </w:rPr>
          <m:t>φ</m:t>
        </m:r>
        <m:d>
          <m:dPr>
            <m:ctrlPr>
              <w:rPr>
                <w:rFonts w:ascii="Cambria Math" w:hAnsi="Cambria Math"/>
                <w:i/>
                <w:lang w:val="en-US"/>
              </w:rPr>
            </m:ctrlPr>
          </m:dPr>
          <m:e>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 ∀i </m:t>
                </m:r>
                <m:r>
                  <m:rPr>
                    <m:nor/>
                  </m:rPr>
                  <w:rPr>
                    <w:rFonts w:ascii="Cambria Math" w:hAnsi="Cambria Math"/>
                    <w:lang w:val="en-US"/>
                  </w:rPr>
                  <m:t>and</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e>
            </m:nary>
          </m:e>
        </m:d>
      </m:oMath>
      <w:r w:rsidR="004A0882" w:rsidRPr="00313E82">
        <w:rPr>
          <w:rFonts w:eastAsia="Batang"/>
          <w:lang w:val="en-US"/>
        </w:rPr>
        <w:t xml:space="preserve"> is computed. If all sequences are independent (i.e. there are no common minim</w:t>
      </w:r>
      <w:r w:rsidR="00A46D88" w:rsidRPr="00313E82">
        <w:rPr>
          <w:rFonts w:eastAsia="Batang"/>
          <w:lang w:val="en-US"/>
        </w:rPr>
        <w:t>al</w:t>
      </w:r>
      <w:r w:rsidR="004A0882" w:rsidRPr="00313E82">
        <w:rPr>
          <w:rFonts w:eastAsia="Batang"/>
          <w:lang w:val="en-US"/>
        </w:rPr>
        <w:t xml:space="preserve"> cuts between the sequences), then frequencies can simply be </w:t>
      </w:r>
      <w:r w:rsidR="00E942F0" w:rsidRPr="00313E82">
        <w:rPr>
          <w:rFonts w:eastAsia="Batang"/>
          <w:lang w:val="en-US"/>
        </w:rPr>
        <w:t>added up</w:t>
      </w:r>
      <w:r w:rsidR="004A0882" w:rsidRPr="00313E82">
        <w:rPr>
          <w:rFonts w:eastAsia="Batang"/>
          <w:lang w:val="en-US"/>
        </w:rPr>
        <w:t>.</w:t>
      </w:r>
    </w:p>
    <w:p w:rsidR="00560C9F" w:rsidRPr="00313E82" w:rsidRDefault="00095A89">
      <w:pPr>
        <w:rPr>
          <w:rFonts w:eastAsia="Batang"/>
          <w:lang w:val="en-US"/>
        </w:rPr>
      </w:pPr>
      <w:r w:rsidRPr="00313E82">
        <w:rPr>
          <w:rFonts w:eastAsia="Batang"/>
          <w:lang w:val="en-US"/>
        </w:rPr>
        <w:t>The time averaging for the risk measure is usually done over one reactor year of full power operation (/ ry), or for the duration of the operating state per year.</w:t>
      </w:r>
      <w:r w:rsidR="0083140A" w:rsidRPr="00313E82">
        <w:rPr>
          <w:rFonts w:eastAsia="Batang"/>
          <w:lang w:val="en-US"/>
        </w:rPr>
        <w:t xml:space="preserve"> See also Core Damage Frequency, time dependent (section </w:t>
      </w:r>
      <w:r w:rsidR="009E768B" w:rsidRPr="007E0C24">
        <w:rPr>
          <w:rFonts w:eastAsia="Batang"/>
          <w:lang w:val="en-US"/>
        </w:rPr>
        <w:fldChar w:fldCharType="begin"/>
      </w:r>
      <w:r w:rsidR="0083140A" w:rsidRPr="00313E82">
        <w:rPr>
          <w:rFonts w:eastAsia="Batang"/>
          <w:lang w:val="en-US"/>
        </w:rPr>
        <w:instrText xml:space="preserve"> REF _Ref414021020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2.2</w:t>
      </w:r>
      <w:r w:rsidR="009E768B" w:rsidRPr="007E0C24">
        <w:rPr>
          <w:rFonts w:eastAsia="Batang"/>
          <w:lang w:val="en-US"/>
        </w:rPr>
        <w:fldChar w:fldCharType="end"/>
      </w:r>
      <w:r w:rsidR="0083140A" w:rsidRPr="00313E82">
        <w:rPr>
          <w:rFonts w:eastAsia="Batang"/>
          <w:lang w:val="en-US"/>
        </w:rPr>
        <w:t>).</w:t>
      </w:r>
      <w:r w:rsidR="00E67AC5" w:rsidRPr="00313E82">
        <w:rPr>
          <w:rFonts w:eastAsia="Batang"/>
          <w:lang w:val="en-US"/>
        </w:rPr>
        <w:t xml:space="preserve"> The time-averaging is often based on approximations, e.g. by using respective estimations for basic event failure probabilities when quantifying minimum cut sets. </w:t>
      </w:r>
      <w:r w:rsidR="00886287" w:rsidRPr="00313E82">
        <w:rPr>
          <w:rFonts w:eastAsia="Batang"/>
          <w:lang w:val="en-US"/>
        </w:rPr>
        <w:t xml:space="preserve">Then, results for different reference times (per year, per reactor year, duration of operating state per year) can be converted into each other by multiplying with the relation between the respective time durations. Certain time-dependent effects are </w:t>
      </w:r>
      <w:r w:rsidR="00710F69">
        <w:rPr>
          <w:rFonts w:eastAsia="Batang"/>
          <w:lang w:val="en-US"/>
        </w:rPr>
        <w:t xml:space="preserve">however </w:t>
      </w:r>
      <w:r w:rsidR="00886287" w:rsidRPr="00313E82">
        <w:rPr>
          <w:rFonts w:eastAsia="Batang"/>
          <w:lang w:val="en-US"/>
        </w:rPr>
        <w:t>neglected</w:t>
      </w:r>
      <w:r w:rsidR="00710F69">
        <w:rPr>
          <w:rFonts w:eastAsia="Batang"/>
          <w:lang w:val="en-US"/>
        </w:rPr>
        <w:t xml:space="preserve"> but </w:t>
      </w:r>
      <w:r w:rsidR="00886287" w:rsidRPr="00313E82">
        <w:rPr>
          <w:rFonts w:eastAsia="Batang"/>
          <w:lang w:val="en-US"/>
        </w:rPr>
        <w:t>are captured in the time-dependent CDF measure. If these effects are essential, then the time-dependent CDF would have to be integrated over the reference time T</w:t>
      </w:r>
      <w:r w:rsidR="00886287" w:rsidRPr="00313E82">
        <w:rPr>
          <w:rFonts w:eastAsia="Batang"/>
          <w:vertAlign w:val="subscript"/>
          <w:lang w:val="en-US"/>
        </w:rPr>
        <w:t>av</w:t>
      </w:r>
      <w:r w:rsidR="00886287" w:rsidRPr="00313E82">
        <w:rPr>
          <w:rFonts w:eastAsia="Batang"/>
          <w:lang w:val="en-US"/>
        </w:rPr>
        <w:t xml:space="preserve"> (cf. section </w:t>
      </w:r>
      <w:r w:rsidR="009E768B" w:rsidRPr="007E0C24">
        <w:rPr>
          <w:rFonts w:eastAsia="Batang"/>
          <w:lang w:val="en-US"/>
        </w:rPr>
        <w:fldChar w:fldCharType="begin"/>
      </w:r>
      <w:r w:rsidR="00886287" w:rsidRPr="00313E82">
        <w:rPr>
          <w:rFonts w:eastAsia="Batang"/>
          <w:lang w:val="en-US"/>
        </w:rPr>
        <w:instrText xml:space="preserve"> REF _Ref414021020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2.2</w:t>
      </w:r>
      <w:r w:rsidR="009E768B" w:rsidRPr="007E0C24">
        <w:rPr>
          <w:rFonts w:eastAsia="Batang"/>
          <w:lang w:val="en-US"/>
        </w:rPr>
        <w:fldChar w:fldCharType="end"/>
      </w:r>
      <w:r w:rsidR="00886287" w:rsidRPr="00313E82">
        <w:rPr>
          <w:rFonts w:eastAsia="Batang"/>
          <w:lang w:val="en-US"/>
        </w:rPr>
        <w:t>).</w:t>
      </w:r>
      <w:r w:rsidR="00560C9F" w:rsidRPr="00313E82">
        <w:rPr>
          <w:rFonts w:eastAsia="Batang"/>
          <w:lang w:val="en-US"/>
        </w:rPr>
        <w:t xml:space="preserve"> </w:t>
      </w:r>
    </w:p>
    <w:p w:rsidR="0083140A" w:rsidRPr="00313E82" w:rsidRDefault="0043746A">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m:oMathPara>
    </w:p>
    <w:p w:rsidR="00D133E6" w:rsidRPr="00313E82" w:rsidRDefault="00D133E6">
      <w:pPr>
        <w:rPr>
          <w:rFonts w:eastAsia="Batang"/>
          <w:u w:val="single"/>
          <w:lang w:val="en-US"/>
        </w:rPr>
      </w:pPr>
    </w:p>
    <w:p w:rsidR="00D133E6" w:rsidRPr="00313E82" w:rsidRDefault="00095A89">
      <w:pPr>
        <w:rPr>
          <w:rFonts w:eastAsia="Batang"/>
          <w:u w:val="single"/>
          <w:lang w:val="en-US"/>
        </w:rPr>
      </w:pPr>
      <w:r w:rsidRPr="00313E82">
        <w:rPr>
          <w:rFonts w:eastAsia="Batang"/>
          <w:u w:val="single"/>
          <w:lang w:val="en-US"/>
        </w:rPr>
        <w:t xml:space="preserve">Use of uncertainty distributions: </w:t>
      </w:r>
    </w:p>
    <w:p w:rsidR="00886287" w:rsidRPr="00313E82" w:rsidRDefault="009425C8">
      <w:pPr>
        <w:rPr>
          <w:rFonts w:eastAsia="Batang"/>
          <w:lang w:val="en-US"/>
        </w:rPr>
      </w:pPr>
      <w:r w:rsidRPr="00313E82">
        <w:rPr>
          <w:rFonts w:eastAsia="Batang"/>
          <w:lang w:val="en-US"/>
        </w:rPr>
        <w:t xml:space="preserve">The CDF measure </w:t>
      </w:r>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 xml:space="preserve"> </m:t>
        </m:r>
      </m:oMath>
      <w:r w:rsidRPr="00313E82">
        <w:rPr>
          <w:rFonts w:eastAsia="Batang"/>
          <w:lang w:val="en-US"/>
        </w:rPr>
        <w:t>is initially computed with point values for likelihoods. These results are typically used in the heuristic determination of minimal cuts in PSA tools like CAFTA</w:t>
      </w:r>
      <w:r w:rsidR="004D2E3B">
        <w:rPr>
          <w:rFonts w:eastAsia="Batang"/>
          <w:lang w:val="en-US"/>
        </w:rPr>
        <w:t>®</w:t>
      </w:r>
      <w:r w:rsidRPr="00313E82">
        <w:rPr>
          <w:rFonts w:eastAsia="Batang"/>
          <w:lang w:val="en-US"/>
        </w:rPr>
        <w:t>, FinPSA</w:t>
      </w:r>
      <w:r w:rsidR="004D2E3B">
        <w:rPr>
          <w:rFonts w:eastAsia="Batang"/>
          <w:lang w:val="en-US"/>
        </w:rPr>
        <w:t>®</w:t>
      </w:r>
      <w:r w:rsidRPr="00313E82">
        <w:rPr>
          <w:rFonts w:eastAsia="Batang"/>
          <w:lang w:val="en-US"/>
        </w:rPr>
        <w:t>, or RiskSpectrum</w:t>
      </w:r>
      <w:r w:rsidR="004D2E3B">
        <w:rPr>
          <w:rFonts w:eastAsia="Batang"/>
          <w:lang w:val="en-US"/>
        </w:rPr>
        <w:t>®</w:t>
      </w:r>
      <w:r w:rsidRPr="00313E82">
        <w:rPr>
          <w:rFonts w:eastAsia="Batang"/>
          <w:lang w:val="en-US"/>
        </w:rPr>
        <w:t xml:space="preserve"> in cut-off algorithms. Point value CDF figures are then complemented with the uncertainty distribution </w:t>
      </w:r>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oMath>
      <w:r w:rsidRPr="00313E82">
        <w:rPr>
          <w:rFonts w:eastAsia="Batang"/>
          <w:lang w:val="en-US"/>
        </w:rPr>
        <w:t xml:space="preserve"> for the CDF with a Monte Carlo analysis based on the distributions for basic events </w:t>
      </w:r>
      <m:oMath>
        <m:r>
          <w:rPr>
            <w:rFonts w:ascii="Cambria Math" w:eastAsia="Batang" w:hAnsi="Cambria Math"/>
            <w:lang w:val="en-US"/>
          </w:rPr>
          <m:t>φ(l</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d>
        <m:r>
          <w:rPr>
            <w:rFonts w:ascii="Cambria Math" w:eastAsia="Batang" w:hAnsi="Cambria Math" w:hint="eastAsia"/>
            <w:lang w:val="en-US"/>
          </w:rPr>
          <m:t>)</m:t>
        </m:r>
      </m:oMath>
      <w:r w:rsidRPr="00313E82">
        <w:rPr>
          <w:rFonts w:eastAsia="Batang"/>
          <w:lang w:val="en-US"/>
        </w:rPr>
        <w:t xml:space="preserve">. The mean value as well as quantiles (5%, median, 95%) </w:t>
      </w:r>
      <w:r w:rsidR="00FC3F13">
        <w:rPr>
          <w:rFonts w:eastAsia="Batang"/>
          <w:lang w:val="en-US"/>
        </w:rPr>
        <w:t>is</w:t>
      </w:r>
      <w:r w:rsidR="00FC3F13" w:rsidRPr="00313E82">
        <w:rPr>
          <w:rFonts w:eastAsia="Batang"/>
          <w:lang w:val="en-US"/>
        </w:rPr>
        <w:t xml:space="preserve"> </w:t>
      </w:r>
      <w:r w:rsidRPr="00313E82">
        <w:rPr>
          <w:rFonts w:eastAsia="Batang"/>
          <w:lang w:val="en-US"/>
        </w:rPr>
        <w:t>often stated for PSA results.</w:t>
      </w:r>
      <w:r w:rsidR="00886287" w:rsidRPr="00313E82">
        <w:rPr>
          <w:rFonts w:eastAsia="Batang"/>
          <w:lang w:val="en-US"/>
        </w:rPr>
        <w:t xml:space="preserve"> </w:t>
      </w:r>
    </w:p>
    <w:p w:rsidR="003E6850" w:rsidRPr="00313E82" w:rsidRDefault="00886287">
      <w:pPr>
        <w:rPr>
          <w:rFonts w:eastAsia="Batang"/>
          <w:lang w:val="en-US"/>
        </w:rPr>
      </w:pPr>
      <w:r w:rsidRPr="00313E82">
        <w:rPr>
          <w:rFonts w:eastAsia="Batang"/>
          <w:lang w:val="en-US"/>
        </w:rPr>
        <w:t>Simultaneous averaging over time and over parameter uncertainties is often not supported by PSA programs and thus not performed for PSA results.</w:t>
      </w:r>
    </w:p>
    <w:p w:rsidR="003E6850" w:rsidRPr="00313E82" w:rsidRDefault="003E6850" w:rsidP="00C94556">
      <w:pPr>
        <w:pStyle w:val="Titre3"/>
        <w:rPr>
          <w:rFonts w:eastAsia="Batang"/>
          <w:lang w:val="en-US"/>
        </w:rPr>
      </w:pPr>
      <w:bookmarkStart w:id="56" w:name="_Toc452560340"/>
      <w:bookmarkStart w:id="57" w:name="_Toc452561273"/>
      <w:bookmarkStart w:id="58" w:name="_Toc452561489"/>
      <w:bookmarkStart w:id="59" w:name="_Ref301173941"/>
      <w:bookmarkStart w:id="60" w:name="_Toc474430106"/>
      <w:bookmarkEnd w:id="56"/>
      <w:bookmarkEnd w:id="57"/>
      <w:bookmarkEnd w:id="58"/>
      <w:r w:rsidRPr="00313E82">
        <w:rPr>
          <w:rFonts w:eastAsia="Batang"/>
          <w:lang w:val="en-US"/>
        </w:rPr>
        <w:t>Areas of application</w:t>
      </w:r>
      <w:bookmarkEnd w:id="59"/>
      <w:bookmarkEnd w:id="60"/>
    </w:p>
    <w:p w:rsidR="0083140A" w:rsidRPr="00313E82" w:rsidRDefault="00CE375F" w:rsidP="00741D3C">
      <w:pPr>
        <w:rPr>
          <w:rFonts w:eastAsia="Batang"/>
          <w:lang w:val="en-US"/>
        </w:rPr>
      </w:pPr>
      <w:r w:rsidRPr="00313E82">
        <w:rPr>
          <w:rFonts w:eastAsia="Batang"/>
          <w:lang w:val="en-US"/>
        </w:rPr>
        <w:t xml:space="preserve">Core damage frequency is the most common measure of risk since most nuclear power plants have undergone at least a Level 1 PSA and the methodology is well established. In many </w:t>
      </w:r>
      <w:r w:rsidR="00550229">
        <w:rPr>
          <w:rFonts w:eastAsia="Batang"/>
          <w:lang w:val="en-US"/>
        </w:rPr>
        <w:t>countries</w:t>
      </w:r>
      <w:r w:rsidRPr="00313E82">
        <w:rPr>
          <w:rFonts w:eastAsia="Batang"/>
          <w:lang w:val="en-US"/>
        </w:rPr>
        <w:t xml:space="preserve">, numerical values of this type are used either formally or informally as probabilistic safety goals or criteria </w:t>
      </w:r>
      <w:r w:rsidR="009E768B" w:rsidRPr="007E0C24">
        <w:rPr>
          <w:rFonts w:eastAsia="Batang"/>
          <w:lang w:val="en-US"/>
        </w:rPr>
        <w:fldChar w:fldCharType="begin"/>
      </w:r>
      <w:r w:rsidRPr="00313E82">
        <w:rPr>
          <w:rFonts w:eastAsia="Batang"/>
          <w:lang w:val="en-US"/>
        </w:rPr>
        <w:instrText xml:space="preserve"> REF _Ref384386913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[4]</w:t>
      </w:r>
      <w:r w:rsidR="009E768B" w:rsidRPr="007E0C24">
        <w:rPr>
          <w:rFonts w:eastAsia="Batang"/>
          <w:lang w:val="en-US"/>
        </w:rPr>
        <w:fldChar w:fldCharType="end"/>
      </w:r>
      <w:r w:rsidRPr="00313E82">
        <w:rPr>
          <w:rFonts w:eastAsia="Batang"/>
          <w:lang w:val="en-US"/>
        </w:rPr>
        <w:t xml:space="preserve">. CDF has been used for </w:t>
      </w:r>
      <w:r w:rsidR="0083140A" w:rsidRPr="00313E82">
        <w:rPr>
          <w:rFonts w:eastAsia="Batang"/>
          <w:lang w:val="en-US"/>
        </w:rPr>
        <w:t xml:space="preserve">PSA for </w:t>
      </w:r>
      <w:r w:rsidR="0083140A" w:rsidRPr="00313E82">
        <w:rPr>
          <w:rFonts w:eastAsia="Batang"/>
          <w:lang w:val="en-US"/>
        </w:rPr>
        <w:lastRenderedPageBreak/>
        <w:t xml:space="preserve">licensing, submissions to the regulator, oversight, </w:t>
      </w:r>
      <w:r w:rsidR="00812F45" w:rsidRPr="00313E82">
        <w:rPr>
          <w:rFonts w:eastAsia="Batang"/>
          <w:lang w:val="en-US"/>
        </w:rPr>
        <w:t xml:space="preserve">design alternatives, risk gap analysis, </w:t>
      </w:r>
      <w:r w:rsidR="0083140A" w:rsidRPr="00313E82">
        <w:rPr>
          <w:rFonts w:eastAsia="Batang"/>
          <w:lang w:val="en-US"/>
        </w:rPr>
        <w:t>Risk management</w:t>
      </w:r>
      <w:r w:rsidRPr="00313E82">
        <w:rPr>
          <w:rFonts w:eastAsia="Batang"/>
          <w:lang w:val="en-US"/>
        </w:rPr>
        <w:t xml:space="preserve"> and </w:t>
      </w:r>
      <w:r w:rsidR="0083140A" w:rsidRPr="00313E82">
        <w:rPr>
          <w:rFonts w:eastAsia="Batang"/>
          <w:lang w:val="en-US"/>
        </w:rPr>
        <w:t>Risk-informed decision making</w:t>
      </w:r>
      <w:r w:rsidRPr="00313E82">
        <w:rPr>
          <w:rFonts w:eastAsia="Batang"/>
          <w:lang w:val="en-US"/>
        </w:rPr>
        <w:t>.</w:t>
      </w:r>
    </w:p>
    <w:p w:rsidR="003E6850" w:rsidRPr="00313E82" w:rsidRDefault="003E6850" w:rsidP="00C94556">
      <w:pPr>
        <w:pStyle w:val="Titre3"/>
        <w:rPr>
          <w:rFonts w:eastAsia="Batang"/>
          <w:lang w:val="en-US"/>
        </w:rPr>
      </w:pPr>
      <w:bookmarkStart w:id="61" w:name="_Ref306869538"/>
      <w:bookmarkStart w:id="62" w:name="_Ref306869607"/>
      <w:bookmarkStart w:id="63" w:name="_Ref306873325"/>
      <w:bookmarkStart w:id="64" w:name="_Ref306873354"/>
      <w:bookmarkStart w:id="65" w:name="_Toc474430107"/>
      <w:r w:rsidRPr="00313E82">
        <w:rPr>
          <w:rFonts w:eastAsia="Batang"/>
          <w:lang w:val="en-US"/>
        </w:rPr>
        <w:t>Discussion</w:t>
      </w:r>
      <w:bookmarkEnd w:id="61"/>
      <w:bookmarkEnd w:id="62"/>
      <w:bookmarkEnd w:id="63"/>
      <w:bookmarkEnd w:id="64"/>
      <w:bookmarkEnd w:id="65"/>
    </w:p>
    <w:p w:rsidR="00B1664A" w:rsidRDefault="00C30CA7">
      <w:pPr>
        <w:ind w:left="284" w:hanging="284"/>
        <w:rPr>
          <w:rFonts w:eastAsia="Batang"/>
          <w:lang w:val="en-US"/>
        </w:rPr>
      </w:pPr>
      <w:r w:rsidRPr="00552F4E">
        <w:rPr>
          <w:rFonts w:eastAsia="Batang"/>
          <w:u w:val="single"/>
          <w:lang w:val="en-US"/>
        </w:rPr>
        <w:t>Validity</w:t>
      </w:r>
      <w:r w:rsidR="00E60880" w:rsidRPr="00313E82">
        <w:rPr>
          <w:rFonts w:eastAsia="Batang"/>
          <w:lang w:val="en-US"/>
        </w:rPr>
        <w:t xml:space="preserve">: </w:t>
      </w:r>
    </w:p>
    <w:p w:rsidR="00C30CA7" w:rsidRPr="00313E82" w:rsidRDefault="00E60880" w:rsidP="00B76953">
      <w:pPr>
        <w:ind w:left="568" w:hanging="284"/>
        <w:rPr>
          <w:rFonts w:eastAsia="Batang"/>
          <w:lang w:val="en-US"/>
        </w:rPr>
      </w:pPr>
      <w:r w:rsidRPr="00313E82">
        <w:rPr>
          <w:rFonts w:eastAsia="Batang"/>
          <w:lang w:val="en-US"/>
        </w:rPr>
        <w:t>Core damage is – once defined – a clearly described state in the risk model. Core damage states (and comparable other losses of fuel integrity) are a precondition for releases from a NPP that can challenge the fundamental safety objective. In that respect, core damage is a valid leading indicator and can provide relevant information to PSA specialists and decision makers.</w:t>
      </w:r>
      <w:r w:rsidR="00C25AD7" w:rsidRPr="00313E82">
        <w:rPr>
          <w:rFonts w:eastAsia="Batang"/>
          <w:lang w:val="en-US"/>
        </w:rPr>
        <w:t xml:space="preserve"> However, the CDF is unable to discriminate between scenarios likely leading to very large releases and scenarios likely leading only to small releases.</w:t>
      </w:r>
      <w:r w:rsidRPr="00313E82">
        <w:rPr>
          <w:rFonts w:eastAsia="Batang"/>
          <w:lang w:val="en-US"/>
        </w:rPr>
        <w:t xml:space="preserve"> Assigning the likelihood (distribution) to the sequence(s) ending in core damage is a clear and traceable quantification procedure. Averaging risk model results over time is a sensible and consistent way of defining a risk measure. In this regard, CDF</w:t>
      </w:r>
      <w:r w:rsidR="0057737E" w:rsidRPr="00313E82">
        <w:rPr>
          <w:rFonts w:eastAsia="Batang"/>
          <w:lang w:val="en-US"/>
        </w:rPr>
        <w:t xml:space="preserve"> is a valid risk measure for most purposes.</w:t>
      </w:r>
    </w:p>
    <w:p w:rsidR="00B1664A" w:rsidRPr="00667C6C" w:rsidRDefault="00C30CA7" w:rsidP="00741D3C">
      <w:pPr>
        <w:ind w:left="284" w:hanging="284"/>
        <w:rPr>
          <w:rFonts w:eastAsia="Batang"/>
          <w:u w:val="single"/>
          <w:lang w:val="en-US"/>
        </w:rPr>
      </w:pPr>
      <w:r w:rsidRPr="00667C6C">
        <w:rPr>
          <w:rFonts w:eastAsia="Batang"/>
          <w:u w:val="single"/>
          <w:lang w:val="en-US"/>
        </w:rPr>
        <w:t>Reliability:</w:t>
      </w:r>
      <w:r w:rsidR="0057737E" w:rsidRPr="00667C6C">
        <w:rPr>
          <w:rFonts w:eastAsia="Batang"/>
          <w:u w:val="single"/>
          <w:lang w:val="en-US"/>
        </w:rPr>
        <w:t xml:space="preserve"> </w:t>
      </w:r>
    </w:p>
    <w:p w:rsidR="00C30CA7" w:rsidRPr="00313E82" w:rsidRDefault="0057737E" w:rsidP="00262C82">
      <w:pPr>
        <w:ind w:left="568" w:hanging="284"/>
        <w:rPr>
          <w:rFonts w:eastAsia="Batang"/>
          <w:lang w:val="en-US"/>
        </w:rPr>
      </w:pPr>
      <w:r w:rsidRPr="00313E82">
        <w:rPr>
          <w:rFonts w:eastAsia="Batang"/>
          <w:lang w:val="en-US"/>
        </w:rPr>
        <w:t xml:space="preserve">There is no unique definition </w:t>
      </w:r>
      <w:r w:rsidR="00C25AD7" w:rsidRPr="00313E82">
        <w:rPr>
          <w:rFonts w:eastAsia="Batang"/>
          <w:lang w:val="en-US"/>
        </w:rPr>
        <w:t xml:space="preserve">available </w:t>
      </w:r>
      <w:r w:rsidRPr="00313E82">
        <w:rPr>
          <w:rFonts w:eastAsia="Batang"/>
          <w:lang w:val="en-US"/>
        </w:rPr>
        <w:t>for a core</w:t>
      </w:r>
      <w:r w:rsidR="00E02A08" w:rsidRPr="00313E82">
        <w:rPr>
          <w:rFonts w:eastAsia="Batang"/>
          <w:lang w:val="en-US"/>
        </w:rPr>
        <w:t xml:space="preserve"> damage state. It is a well-acknowledged fact that core damage states need to be defined separately for different fundamental reactor designs </w:t>
      </w:r>
      <w:r w:rsidR="009E768B" w:rsidRPr="007E0C24">
        <w:rPr>
          <w:rFonts w:eastAsia="Batang"/>
          <w:lang w:val="en-US"/>
        </w:rPr>
        <w:fldChar w:fldCharType="begin"/>
      </w:r>
      <w:r w:rsidR="00CE757C" w:rsidRPr="00313E82">
        <w:rPr>
          <w:rFonts w:eastAsia="Batang"/>
          <w:lang w:val="en-US"/>
        </w:rPr>
        <w:instrText xml:space="preserve"> REF _Ref414368201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[71]</w:t>
      </w:r>
      <w:r w:rsidR="009E768B" w:rsidRPr="007E0C24">
        <w:rPr>
          <w:rFonts w:eastAsia="Batang"/>
          <w:lang w:val="en-US"/>
        </w:rPr>
        <w:fldChar w:fldCharType="end"/>
      </w:r>
      <w:r w:rsidR="00CE757C" w:rsidRPr="00313E82">
        <w:rPr>
          <w:rFonts w:eastAsia="Batang"/>
          <w:lang w:val="en-US"/>
        </w:rPr>
        <w:t xml:space="preserve"> </w:t>
      </w:r>
      <w:r w:rsidR="00E02A08" w:rsidRPr="00313E82">
        <w:rPr>
          <w:rFonts w:eastAsia="Batang"/>
          <w:lang w:val="en-US"/>
        </w:rPr>
        <w:t xml:space="preserve">(e.g. LWR reactors, CANDU type reactors, fast breeder reactors, etc.). Even for LWR reactors, several slightly different definitions are in use. </w:t>
      </w:r>
      <w:r w:rsidR="00CA788A" w:rsidRPr="00313E82">
        <w:rPr>
          <w:rFonts w:eastAsia="Batang"/>
          <w:lang w:val="en-US"/>
        </w:rPr>
        <w:t xml:space="preserve">However, these differences for LWR reactor CDF measures are widely regarded as having only a minor impact on PSA results. </w:t>
      </w:r>
      <w:r w:rsidR="00E02A08" w:rsidRPr="00313E82">
        <w:rPr>
          <w:rFonts w:eastAsia="Batang"/>
          <w:lang w:val="en-US"/>
        </w:rPr>
        <w:t>The issue is further complicated by the problem that “core damage” i</w:t>
      </w:r>
      <w:r w:rsidR="00E32D16" w:rsidRPr="00313E82">
        <w:rPr>
          <w:rFonts w:eastAsia="Batang"/>
          <w:lang w:val="en-US"/>
        </w:rPr>
        <w:t xml:space="preserve">n </w:t>
      </w:r>
      <w:r w:rsidR="00E02A08" w:rsidRPr="00313E82">
        <w:rPr>
          <w:rFonts w:eastAsia="Batang"/>
          <w:lang w:val="en-US"/>
        </w:rPr>
        <w:t>some models encompasses fuel element damage in e.g. the fuel pool, or that “core damage” is restricted only to fuel damage during power operation.</w:t>
      </w:r>
      <w:r w:rsidR="00C25AD7" w:rsidRPr="00313E82">
        <w:rPr>
          <w:rFonts w:eastAsia="Batang"/>
          <w:lang w:val="en-US"/>
        </w:rPr>
        <w:tab/>
      </w:r>
      <w:r w:rsidR="00C25AD7" w:rsidRPr="00313E82">
        <w:rPr>
          <w:rFonts w:eastAsia="Batang"/>
          <w:lang w:val="en-US"/>
        </w:rPr>
        <w:br/>
        <w:t>For some non-LWR reactor types like some Gen IV designs, a core damage metric is hard to define in a meaningful way</w:t>
      </w:r>
      <w:r w:rsidR="00B91E61" w:rsidRPr="00B91E61">
        <w:rPr>
          <w:rFonts w:eastAsia="Batang"/>
          <w:lang w:val="en-US"/>
        </w:rPr>
        <w:t xml:space="preserve"> </w:t>
      </w:r>
      <w:r w:rsidR="00B91E61" w:rsidRPr="00313E82">
        <w:rPr>
          <w:rFonts w:eastAsia="Batang"/>
          <w:lang w:val="en-US"/>
        </w:rPr>
        <w:t>e.g. Gen IV reactors like a</w:t>
      </w:r>
      <w:r w:rsidR="00B91E61">
        <w:rPr>
          <w:rFonts w:eastAsia="Batang"/>
          <w:lang w:val="en-US"/>
        </w:rPr>
        <w:t xml:space="preserve"> molten salt reactor, </w:t>
      </w:r>
      <w:r w:rsidR="00B91E61" w:rsidRPr="00313E82">
        <w:rPr>
          <w:rFonts w:eastAsia="Batang"/>
          <w:lang w:val="en-US"/>
        </w:rPr>
        <w:t>“core damage” in the sense of “fuel starts to melt and leads to a severe accident” is not applicable</w:t>
      </w:r>
      <w:r w:rsidR="00C25AD7" w:rsidRPr="00313E82">
        <w:rPr>
          <w:rFonts w:eastAsia="Batang"/>
          <w:lang w:val="en-US"/>
        </w:rPr>
        <w:t>.</w:t>
      </w:r>
      <w:r w:rsidR="00CE757C" w:rsidRPr="00313E82">
        <w:rPr>
          <w:rFonts w:eastAsia="Batang"/>
          <w:lang w:val="en-US"/>
        </w:rPr>
        <w:tab/>
      </w:r>
      <w:r w:rsidR="00CE757C" w:rsidRPr="00313E82">
        <w:rPr>
          <w:rFonts w:eastAsia="Batang"/>
          <w:lang w:val="en-US"/>
        </w:rPr>
        <w:br/>
        <w:t xml:space="preserve">However, if the core damage metric has been clearly established, it allows for – in principle – reproducible PSA modelling of the accident sequence analysis. Observed differences between models are usually due to analysts’ choices on the scope, level detail, and degree of conservatism in accident sequence modelling </w:t>
      </w:r>
      <w:r w:rsidR="00560C9F" w:rsidRPr="00313E82">
        <w:rPr>
          <w:rFonts w:eastAsia="Batang"/>
          <w:lang w:val="en-US"/>
        </w:rPr>
        <w:t xml:space="preserve">rather </w:t>
      </w:r>
      <w:r w:rsidR="00CE757C" w:rsidRPr="00313E82">
        <w:rPr>
          <w:rFonts w:eastAsia="Batang"/>
          <w:lang w:val="en-US"/>
        </w:rPr>
        <w:t>than due to different understanding of the core damage metric. In that sense, CDF is a reliable measure.</w:t>
      </w:r>
    </w:p>
    <w:p w:rsidR="00B1664A" w:rsidRPr="00667C6C" w:rsidRDefault="00C30CA7">
      <w:pPr>
        <w:ind w:left="284" w:hanging="284"/>
        <w:rPr>
          <w:rFonts w:eastAsia="Batang"/>
          <w:u w:val="single"/>
          <w:lang w:val="en-US"/>
        </w:rPr>
      </w:pPr>
      <w:r w:rsidRPr="00667C6C">
        <w:rPr>
          <w:rFonts w:eastAsia="Batang"/>
          <w:u w:val="single"/>
          <w:lang w:val="en-US"/>
        </w:rPr>
        <w:t>Consistency:</w:t>
      </w:r>
      <w:r w:rsidR="0057737E" w:rsidRPr="00667C6C">
        <w:rPr>
          <w:rFonts w:eastAsia="Batang"/>
          <w:u w:val="single"/>
          <w:lang w:val="en-US"/>
        </w:rPr>
        <w:t xml:space="preserve"> </w:t>
      </w:r>
    </w:p>
    <w:p w:rsidR="00C30CA7" w:rsidRPr="00313E82" w:rsidRDefault="0057737E" w:rsidP="00B76953">
      <w:pPr>
        <w:ind w:left="568" w:hanging="284"/>
        <w:rPr>
          <w:rFonts w:eastAsia="Batang"/>
          <w:lang w:val="en-US"/>
        </w:rPr>
      </w:pPr>
      <w:r w:rsidRPr="00313E82">
        <w:rPr>
          <w:rFonts w:eastAsia="Batang"/>
          <w:lang w:val="en-US"/>
        </w:rPr>
        <w:t xml:space="preserve">Core damage frequency </w:t>
      </w:r>
      <w:r w:rsidR="00E32D16" w:rsidRPr="00313E82">
        <w:rPr>
          <w:rFonts w:eastAsia="Batang"/>
          <w:lang w:val="en-US"/>
        </w:rPr>
        <w:t>induces</w:t>
      </w:r>
      <w:r w:rsidRPr="00313E82">
        <w:rPr>
          <w:rFonts w:eastAsia="Batang"/>
          <w:lang w:val="en-US"/>
        </w:rPr>
        <w:t xml:space="preserve"> an</w:t>
      </w:r>
      <w:r w:rsidR="00E02A08" w:rsidRPr="00313E82">
        <w:rPr>
          <w:rFonts w:eastAsia="Batang"/>
          <w:lang w:val="en-US"/>
        </w:rPr>
        <w:t xml:space="preserve"> </w:t>
      </w:r>
      <w:r w:rsidRPr="00313E82">
        <w:rPr>
          <w:rFonts w:eastAsia="Batang"/>
          <w:lang w:val="en-US"/>
        </w:rPr>
        <w:t>order relation satisfying rationality criteria</w:t>
      </w:r>
      <w:r w:rsidR="00E32D16" w:rsidRPr="00313E82">
        <w:rPr>
          <w:rFonts w:eastAsia="Batang"/>
          <w:lang w:val="en-US"/>
        </w:rPr>
        <w:t xml:space="preserve">, if risk aggregation properties are </w:t>
      </w:r>
      <w:r w:rsidR="003E7DB9" w:rsidRPr="00313E82">
        <w:rPr>
          <w:rFonts w:eastAsia="Batang"/>
          <w:lang w:val="en-US"/>
        </w:rPr>
        <w:t>properly considered</w:t>
      </w:r>
      <w:r w:rsidRPr="00313E82">
        <w:rPr>
          <w:rFonts w:eastAsia="Batang"/>
          <w:lang w:val="en-US"/>
        </w:rPr>
        <w:t xml:space="preserve">. </w:t>
      </w:r>
      <w:r w:rsidR="00560C9F" w:rsidRPr="00313E82">
        <w:rPr>
          <w:rFonts w:eastAsia="Batang"/>
          <w:lang w:val="en-US"/>
        </w:rPr>
        <w:t>Basically, t</w:t>
      </w:r>
      <w:r w:rsidRPr="00313E82">
        <w:rPr>
          <w:rFonts w:eastAsia="Batang"/>
          <w:lang w:val="en-US"/>
        </w:rPr>
        <w:t>he measure is consistent. However, the issues related to reliability and risk aggregation properties should not be overlooked.</w:t>
      </w:r>
    </w:p>
    <w:p w:rsidR="00B1664A" w:rsidRPr="00667C6C" w:rsidRDefault="00C30CA7">
      <w:pPr>
        <w:ind w:left="284" w:hanging="284"/>
        <w:rPr>
          <w:rFonts w:eastAsia="Batang"/>
          <w:u w:val="single"/>
          <w:lang w:val="en-US"/>
        </w:rPr>
      </w:pPr>
      <w:r w:rsidRPr="00667C6C">
        <w:rPr>
          <w:rFonts w:eastAsia="Batang"/>
          <w:u w:val="single"/>
          <w:lang w:val="en-US"/>
        </w:rPr>
        <w:t xml:space="preserve">Risk aggregation properties: </w:t>
      </w:r>
    </w:p>
    <w:p w:rsidR="00C30CA7" w:rsidRPr="00313E82" w:rsidRDefault="00E32D16" w:rsidP="00B76953">
      <w:pPr>
        <w:ind w:left="568" w:hanging="284"/>
        <w:rPr>
          <w:rFonts w:eastAsia="Batang"/>
          <w:lang w:val="en-US"/>
        </w:rPr>
      </w:pPr>
      <w:r w:rsidRPr="00313E82">
        <w:rPr>
          <w:rFonts w:eastAsia="Batang"/>
          <w:lang w:val="en-US"/>
        </w:rPr>
        <w:t>Aggregating C</w:t>
      </w:r>
      <w:r w:rsidR="003E7DB9" w:rsidRPr="00313E82">
        <w:rPr>
          <w:rFonts w:eastAsia="Batang"/>
          <w:lang w:val="en-US"/>
        </w:rPr>
        <w:t>D</w:t>
      </w:r>
      <w:r w:rsidRPr="00313E82">
        <w:rPr>
          <w:rFonts w:eastAsia="Batang"/>
          <w:lang w:val="en-US"/>
        </w:rPr>
        <w:t xml:space="preserve">F values over multiple </w:t>
      </w:r>
      <w:r w:rsidR="004212BD" w:rsidRPr="00313E82">
        <w:rPr>
          <w:rFonts w:eastAsia="Batang"/>
          <w:lang w:val="en-US"/>
        </w:rPr>
        <w:t xml:space="preserve">scenarios (i.e. frequency values) </w:t>
      </w:r>
      <w:r w:rsidRPr="00313E82">
        <w:rPr>
          <w:rFonts w:eastAsia="Batang"/>
          <w:lang w:val="en-US"/>
        </w:rPr>
        <w:t>is a well-defined operation</w:t>
      </w:r>
      <w:r w:rsidR="00C25AD7" w:rsidRPr="00313E82">
        <w:rPr>
          <w:rFonts w:eastAsia="Batang"/>
          <w:lang w:val="en-US"/>
        </w:rPr>
        <w:t>, if performed on</w:t>
      </w:r>
      <w:r w:rsidR="006519DD" w:rsidRPr="00313E82">
        <w:rPr>
          <w:rFonts w:eastAsia="Batang"/>
          <w:lang w:val="en-US"/>
        </w:rPr>
        <w:t xml:space="preserve"> a</w:t>
      </w:r>
      <w:r w:rsidR="00C25AD7" w:rsidRPr="00313E82">
        <w:rPr>
          <w:rFonts w:eastAsia="Batang"/>
          <w:lang w:val="en-US"/>
        </w:rPr>
        <w:t xml:space="preserve"> minimal cut set basis as described above,</w:t>
      </w:r>
      <w:r w:rsidRPr="00313E82">
        <w:rPr>
          <w:rFonts w:eastAsia="Batang"/>
          <w:lang w:val="en-US"/>
        </w:rPr>
        <w:t xml:space="preserve"> </w:t>
      </w:r>
      <w:r w:rsidR="003E7DB9" w:rsidRPr="00313E82">
        <w:rPr>
          <w:rFonts w:eastAsia="Batang"/>
          <w:lang w:val="en-US"/>
        </w:rPr>
        <w:t>resulting in a consistent risk measure.</w:t>
      </w:r>
      <w:r w:rsidR="00C25AD7" w:rsidRPr="00313E82">
        <w:rPr>
          <w:rFonts w:eastAsia="Batang"/>
          <w:lang w:val="en-US"/>
        </w:rPr>
        <w:t xml:space="preserve"> With respect to risk aggregation, PSA specialists and decision makers have to acknowledge the limitations of the CDF measure. As there is no distinction between core damage states that likely lead to large releases and </w:t>
      </w:r>
      <w:r w:rsidR="00C25AD7" w:rsidRPr="00313E82">
        <w:rPr>
          <w:rFonts w:eastAsia="Batang"/>
          <w:lang w:val="en-US"/>
        </w:rPr>
        <w:lastRenderedPageBreak/>
        <w:t>those that likely lead only to limited releases, simply aggregating the risk from this scenarios can (and often will) obfuscate the risk profile of the plant with regard to the fundamental safety objective.</w:t>
      </w:r>
    </w:p>
    <w:p w:rsidR="00B1664A" w:rsidRPr="00667C6C" w:rsidRDefault="00C30CA7">
      <w:pPr>
        <w:ind w:left="284" w:hanging="284"/>
        <w:rPr>
          <w:rFonts w:eastAsia="Batang"/>
          <w:u w:val="single"/>
          <w:lang w:val="en-US"/>
        </w:rPr>
      </w:pPr>
      <w:r w:rsidRPr="00667C6C">
        <w:rPr>
          <w:rFonts w:eastAsia="Batang"/>
          <w:u w:val="single"/>
          <w:lang w:val="en-US"/>
        </w:rPr>
        <w:t xml:space="preserve">Understandability to the PSA community: </w:t>
      </w:r>
    </w:p>
    <w:p w:rsidR="003E6850" w:rsidRPr="00313E82" w:rsidRDefault="00C30CA7" w:rsidP="00B76953">
      <w:pPr>
        <w:ind w:left="568" w:hanging="284"/>
        <w:rPr>
          <w:rFonts w:eastAsia="Batang"/>
          <w:lang w:val="en-US"/>
        </w:rPr>
      </w:pPr>
      <w:r w:rsidRPr="00313E82">
        <w:rPr>
          <w:rFonts w:eastAsia="Batang"/>
          <w:lang w:val="en-US"/>
        </w:rPr>
        <w:t>CDF is a widely used risk measure. It is well understood in the PSA community as the risk at the end-point of PSA Level 1. Existing ambiguities</w:t>
      </w:r>
      <w:r w:rsidR="003E5A80">
        <w:rPr>
          <w:rFonts w:eastAsia="Batang"/>
          <w:lang w:val="en-US"/>
        </w:rPr>
        <w:t xml:space="preserve"> and </w:t>
      </w:r>
      <w:r w:rsidR="00B91E61">
        <w:rPr>
          <w:rFonts w:eastAsia="Batang"/>
          <w:lang w:val="en-US"/>
        </w:rPr>
        <w:t>differences</w:t>
      </w:r>
      <w:r w:rsidRPr="00313E82">
        <w:rPr>
          <w:rFonts w:eastAsia="Batang"/>
          <w:lang w:val="en-US"/>
        </w:rPr>
        <w:t xml:space="preserve"> in the definition of “core damage” do not significantly impede the interpretation of results stated as CDF, they do however hamper comparisons between plants and designs.</w:t>
      </w:r>
      <w:r w:rsidR="009425C8" w:rsidRPr="00313E82">
        <w:rPr>
          <w:rFonts w:eastAsia="Batang"/>
          <w:lang w:val="en-US"/>
        </w:rPr>
        <w:t xml:space="preserve"> Another issue are advanced (planned) reactor</w:t>
      </w:r>
      <w:r w:rsidRPr="00313E82">
        <w:rPr>
          <w:rFonts w:eastAsia="Batang"/>
          <w:lang w:val="en-US"/>
        </w:rPr>
        <w:t xml:space="preserve"> </w:t>
      </w:r>
      <w:r w:rsidR="009425C8" w:rsidRPr="00313E82">
        <w:rPr>
          <w:rFonts w:eastAsia="Batang"/>
          <w:lang w:val="en-US"/>
        </w:rPr>
        <w:t xml:space="preserve">concepts, e.g. </w:t>
      </w:r>
      <w:r w:rsidR="00B91E61" w:rsidRPr="00313E82">
        <w:rPr>
          <w:rFonts w:eastAsia="Batang"/>
          <w:lang w:val="en-US"/>
        </w:rPr>
        <w:t xml:space="preserve">“core damage” in the sense of “fuel starts to melt and leads to a severe accident” is not applicable </w:t>
      </w:r>
      <w:r w:rsidR="00B91E61">
        <w:rPr>
          <w:rFonts w:eastAsia="Batang"/>
          <w:lang w:val="en-US"/>
        </w:rPr>
        <w:t xml:space="preserve">for </w:t>
      </w:r>
      <w:r w:rsidR="009425C8" w:rsidRPr="00313E82">
        <w:rPr>
          <w:rFonts w:eastAsia="Batang"/>
          <w:lang w:val="en-US"/>
        </w:rPr>
        <w:t xml:space="preserve">Gen IV reactors like a molten salt </w:t>
      </w:r>
      <w:r w:rsidR="0083140A" w:rsidRPr="00313E82">
        <w:rPr>
          <w:rFonts w:eastAsia="Batang"/>
          <w:lang w:val="en-US"/>
        </w:rPr>
        <w:t xml:space="preserve">. The CDF </w:t>
      </w:r>
      <w:r w:rsidR="00CE757C" w:rsidRPr="00313E82">
        <w:rPr>
          <w:rFonts w:eastAsia="Batang"/>
          <w:lang w:val="en-US"/>
        </w:rPr>
        <w:t>measure</w:t>
      </w:r>
      <w:r w:rsidR="0083140A" w:rsidRPr="00313E82">
        <w:rPr>
          <w:rFonts w:eastAsia="Batang"/>
          <w:lang w:val="en-US"/>
        </w:rPr>
        <w:t xml:space="preserve"> is so </w:t>
      </w:r>
      <w:r w:rsidR="00CE757C" w:rsidRPr="00313E82">
        <w:rPr>
          <w:rFonts w:eastAsia="Batang"/>
          <w:lang w:val="en-US"/>
        </w:rPr>
        <w:t>entrenched</w:t>
      </w:r>
      <w:r w:rsidR="0083140A" w:rsidRPr="00313E82">
        <w:rPr>
          <w:rFonts w:eastAsia="Batang"/>
          <w:lang w:val="en-US"/>
        </w:rPr>
        <w:t xml:space="preserve"> in the PSA community for NPP that there are attempts to define a CDF </w:t>
      </w:r>
      <w:r w:rsidR="00CE757C" w:rsidRPr="00313E82">
        <w:rPr>
          <w:rFonts w:eastAsia="Batang"/>
          <w:lang w:val="en-US"/>
        </w:rPr>
        <w:t>measure</w:t>
      </w:r>
      <w:r w:rsidR="0083140A" w:rsidRPr="00313E82">
        <w:rPr>
          <w:rFonts w:eastAsia="Batang"/>
          <w:lang w:val="en-US"/>
        </w:rPr>
        <w:t xml:space="preserve"> for these reactor</w:t>
      </w:r>
      <w:r w:rsidR="00C120C9" w:rsidRPr="00313E82">
        <w:rPr>
          <w:rFonts w:eastAsia="Batang"/>
          <w:lang w:val="en-US"/>
        </w:rPr>
        <w:t xml:space="preserve"> type</w:t>
      </w:r>
      <w:r w:rsidR="0083140A" w:rsidRPr="00313E82">
        <w:rPr>
          <w:rFonts w:eastAsia="Batang"/>
          <w:lang w:val="en-US"/>
        </w:rPr>
        <w:t>s as well.</w:t>
      </w:r>
    </w:p>
    <w:p w:rsidR="003E6850" w:rsidRPr="00313E82" w:rsidRDefault="00E53927" w:rsidP="00C94556">
      <w:pPr>
        <w:pStyle w:val="Titre3"/>
        <w:rPr>
          <w:rFonts w:eastAsia="Batang"/>
          <w:lang w:val="en-US"/>
        </w:rPr>
      </w:pPr>
      <w:bookmarkStart w:id="66" w:name="_Ref306869722"/>
      <w:bookmarkStart w:id="67" w:name="_Toc474430108"/>
      <w:r w:rsidRPr="00313E82">
        <w:rPr>
          <w:rFonts w:eastAsia="Batang"/>
          <w:lang w:val="en-US"/>
        </w:rPr>
        <w:t>Limitation</w:t>
      </w:r>
      <w:bookmarkEnd w:id="66"/>
      <w:bookmarkEnd w:id="67"/>
    </w:p>
    <w:p w:rsidR="00D37642" w:rsidRDefault="00812900">
      <w:pPr>
        <w:rPr>
          <w:rFonts w:eastAsia="Batang"/>
          <w:lang w:val="en-US"/>
        </w:rPr>
      </w:pPr>
      <w:r w:rsidRPr="00313E82">
        <w:rPr>
          <w:rFonts w:eastAsia="Batang"/>
          <w:lang w:val="en-US"/>
        </w:rPr>
        <w:t>There are several limitations to the CDF (time average) risk measure.</w:t>
      </w:r>
      <w:r w:rsidR="009D179E" w:rsidRPr="00313E82">
        <w:rPr>
          <w:rFonts w:eastAsia="Batang"/>
          <w:lang w:val="en-US"/>
        </w:rPr>
        <w:t xml:space="preserve"> </w:t>
      </w:r>
    </w:p>
    <w:p w:rsidR="002776CD" w:rsidRDefault="009D179E">
      <w:pPr>
        <w:rPr>
          <w:rFonts w:eastAsia="Batang"/>
          <w:lang w:val="en-US"/>
        </w:rPr>
      </w:pPr>
      <w:r w:rsidRPr="00313E82">
        <w:rPr>
          <w:rFonts w:eastAsia="Batang"/>
          <w:lang w:val="en-US"/>
        </w:rPr>
        <w:t>Importantly, the CDF metric does not dis</w:t>
      </w:r>
      <w:r w:rsidR="00000E8B" w:rsidRPr="00313E82">
        <w:rPr>
          <w:rFonts w:eastAsia="Batang"/>
          <w:lang w:val="en-US"/>
        </w:rPr>
        <w:t xml:space="preserve">tinguish between </w:t>
      </w:r>
      <w:r w:rsidR="002776CD" w:rsidRPr="00313E82">
        <w:rPr>
          <w:rFonts w:eastAsia="Batang"/>
          <w:lang w:val="en-US"/>
        </w:rPr>
        <w:t>severities</w:t>
      </w:r>
      <w:r w:rsidR="00000E8B" w:rsidRPr="00313E82">
        <w:rPr>
          <w:rFonts w:eastAsia="Batang"/>
          <w:lang w:val="en-US"/>
        </w:rPr>
        <w:t xml:space="preserve"> of core damage</w:t>
      </w:r>
      <w:r w:rsidRPr="00313E82">
        <w:rPr>
          <w:rFonts w:eastAsia="Batang"/>
          <w:lang w:val="en-US"/>
        </w:rPr>
        <w:t xml:space="preserve"> (extent of damage to fuel rods) beyond the defining threshold</w:t>
      </w:r>
      <w:r w:rsidR="00000E8B" w:rsidRPr="00313E82">
        <w:rPr>
          <w:rFonts w:eastAsia="Batang"/>
          <w:lang w:val="en-US"/>
        </w:rPr>
        <w:t xml:space="preserve"> for core damage</w:t>
      </w:r>
      <w:r w:rsidRPr="00313E82">
        <w:rPr>
          <w:rFonts w:eastAsia="Batang"/>
          <w:lang w:val="en-US"/>
        </w:rPr>
        <w:t>.</w:t>
      </w:r>
      <w:r w:rsidR="00000E8B" w:rsidRPr="00313E82">
        <w:rPr>
          <w:rFonts w:eastAsia="Batang"/>
          <w:lang w:val="en-US"/>
        </w:rPr>
        <w:t xml:space="preserve"> In this respect, the CDF measure is likely inappropriate for investigating workplace risk (irradiation of on-site staff in case of minor fuel damages during operation).</w:t>
      </w:r>
      <w:r w:rsidR="00AA69AD" w:rsidRPr="00313E82">
        <w:rPr>
          <w:rFonts w:eastAsia="Batang"/>
          <w:lang w:val="en-US"/>
        </w:rPr>
        <w:t xml:space="preserve"> Such scenarios, which </w:t>
      </w:r>
      <w:r w:rsidR="00306258" w:rsidRPr="00313E82">
        <w:rPr>
          <w:rFonts w:eastAsia="Batang"/>
          <w:lang w:val="en-US"/>
        </w:rPr>
        <w:t xml:space="preserve">sometimes </w:t>
      </w:r>
      <w:r w:rsidR="00AA69AD" w:rsidRPr="00313E82">
        <w:rPr>
          <w:rFonts w:eastAsia="Batang"/>
          <w:lang w:val="en-US"/>
        </w:rPr>
        <w:t>are analyzed with PSA models, require dedicated risk measures.</w:t>
      </w:r>
      <w:r w:rsidR="00000E8B" w:rsidRPr="00313E82">
        <w:rPr>
          <w:rFonts w:eastAsia="Batang"/>
          <w:lang w:val="en-US"/>
        </w:rPr>
        <w:t xml:space="preserve"> </w:t>
      </w:r>
    </w:p>
    <w:p w:rsidR="00000E8B" w:rsidRPr="00313E82" w:rsidRDefault="00000E8B">
      <w:pPr>
        <w:rPr>
          <w:rFonts w:eastAsia="Batang"/>
          <w:lang w:val="en-US"/>
        </w:rPr>
      </w:pPr>
      <w:r w:rsidRPr="00313E82">
        <w:rPr>
          <w:rFonts w:eastAsia="Batang"/>
          <w:lang w:val="en-US"/>
        </w:rPr>
        <w:t xml:space="preserve">Similarly, certain kinds of scenarios </w:t>
      </w:r>
      <w:r w:rsidR="002776CD">
        <w:rPr>
          <w:rFonts w:eastAsia="Batang"/>
          <w:lang w:val="en-US"/>
        </w:rPr>
        <w:t>(</w:t>
      </w:r>
      <w:r w:rsidRPr="00313E82">
        <w:rPr>
          <w:rFonts w:eastAsia="Batang"/>
          <w:lang w:val="en-US"/>
        </w:rPr>
        <w:t>e.g. mechanical damage to fuel rods during refueling operation</w:t>
      </w:r>
      <w:r w:rsidR="002776CD">
        <w:rPr>
          <w:rFonts w:eastAsia="Batang"/>
          <w:lang w:val="en-US"/>
        </w:rPr>
        <w:t>, fuel pool accidents…)</w:t>
      </w:r>
      <w:r w:rsidRPr="00313E82">
        <w:rPr>
          <w:rFonts w:eastAsia="Batang"/>
          <w:lang w:val="en-US"/>
        </w:rPr>
        <w:t xml:space="preserve"> are not covered by the CDF measure.</w:t>
      </w:r>
      <w:r w:rsidR="009D179E" w:rsidRPr="00313E82">
        <w:rPr>
          <w:rFonts w:eastAsia="Batang"/>
          <w:lang w:val="en-US"/>
        </w:rPr>
        <w:t xml:space="preserve"> </w:t>
      </w:r>
      <w:r w:rsidR="004B3C9C" w:rsidRPr="00313E82">
        <w:rPr>
          <w:rFonts w:eastAsia="Batang"/>
          <w:lang w:val="en-US"/>
        </w:rPr>
        <w:t>Moreover, the limitations arising from the different definitions of the CDF measure do apply (e.g. restriction to fuel elements in the core, no consideration of shutdown states, etc.)</w:t>
      </w:r>
    </w:p>
    <w:p w:rsidR="00E53927" w:rsidRPr="00313E82" w:rsidRDefault="00000E8B">
      <w:pPr>
        <w:rPr>
          <w:rFonts w:eastAsia="Batang"/>
          <w:lang w:val="en-US"/>
        </w:rPr>
      </w:pPr>
      <w:r w:rsidRPr="00313E82">
        <w:rPr>
          <w:rFonts w:eastAsia="Batang"/>
          <w:lang w:val="en-US"/>
        </w:rPr>
        <w:t>Another limitation, which has already been mentioned above</w:t>
      </w:r>
      <w:r w:rsidR="009D179E" w:rsidRPr="00313E82">
        <w:rPr>
          <w:rFonts w:eastAsia="Batang"/>
          <w:lang w:val="en-US"/>
        </w:rPr>
        <w:t xml:space="preserve">, </w:t>
      </w:r>
      <w:r w:rsidRPr="00313E82">
        <w:rPr>
          <w:rFonts w:eastAsia="Batang"/>
          <w:lang w:val="en-US"/>
        </w:rPr>
        <w:t xml:space="preserve">is that </w:t>
      </w:r>
      <w:r w:rsidR="009D179E" w:rsidRPr="00313E82">
        <w:rPr>
          <w:rFonts w:eastAsia="Batang"/>
          <w:lang w:val="en-US"/>
        </w:rPr>
        <w:t xml:space="preserve">the CDF </w:t>
      </w:r>
      <w:r w:rsidRPr="00313E82">
        <w:rPr>
          <w:rFonts w:eastAsia="Batang"/>
          <w:lang w:val="en-US"/>
        </w:rPr>
        <w:t>metric does not preserve (or provide) information on core damage characteristics in light of expected releases (e.g. time of core damage onset, pressure in the RPV at core damage, status of barriers and safety systems, etc.).</w:t>
      </w:r>
    </w:p>
    <w:p w:rsidR="004B3C9C" w:rsidRDefault="00000E8B">
      <w:pPr>
        <w:rPr>
          <w:rFonts w:eastAsia="Batang"/>
          <w:lang w:val="en-US"/>
        </w:rPr>
      </w:pPr>
      <w:r w:rsidRPr="00313E82">
        <w:rPr>
          <w:rFonts w:eastAsia="Batang"/>
          <w:lang w:val="en-US"/>
        </w:rPr>
        <w:t xml:space="preserve">Conceptually, the core damage metric defines the transition from PSA Level 1 to PSA Level 2. Because of the limitations of the CDF measure, the interface between </w:t>
      </w:r>
      <w:r w:rsidR="004B3C9C" w:rsidRPr="00313E82">
        <w:rPr>
          <w:rFonts w:eastAsia="Batang"/>
          <w:lang w:val="en-US"/>
        </w:rPr>
        <w:t xml:space="preserve">Level 1 and Level 2 is usually based on more detailed characterizations of the plant damage state reached. For more detail, see section </w:t>
      </w:r>
      <w:r w:rsidR="009E768B" w:rsidRPr="007E0C24">
        <w:rPr>
          <w:rFonts w:eastAsia="Batang"/>
          <w:lang w:val="en-US"/>
        </w:rPr>
        <w:fldChar w:fldCharType="begin"/>
      </w:r>
      <w:r w:rsidR="00033356" w:rsidRPr="00313E82">
        <w:rPr>
          <w:rFonts w:eastAsia="Batang"/>
          <w:lang w:val="en-US"/>
        </w:rPr>
        <w:instrText xml:space="preserve"> REF _Ref418066012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2.13</w:t>
      </w:r>
      <w:r w:rsidR="009E768B" w:rsidRPr="007E0C24">
        <w:rPr>
          <w:rFonts w:eastAsia="Batang"/>
          <w:lang w:val="en-US"/>
        </w:rPr>
        <w:fldChar w:fldCharType="end"/>
      </w:r>
      <w:r w:rsidR="004B3C9C" w:rsidRPr="00313E82">
        <w:rPr>
          <w:rFonts w:eastAsia="Batang"/>
          <w:lang w:val="en-US"/>
        </w:rPr>
        <w:t xml:space="preserve">. </w:t>
      </w:r>
    </w:p>
    <w:p w:rsidR="002776CD" w:rsidRDefault="002776CD" w:rsidP="002776CD">
      <w:pPr>
        <w:rPr>
          <w:rFonts w:eastAsia="Batang"/>
          <w:lang w:val="en-US"/>
        </w:rPr>
      </w:pPr>
    </w:p>
    <w:p w:rsidR="002776CD" w:rsidRDefault="002776CD" w:rsidP="002776CD">
      <w:pPr>
        <w:rPr>
          <w:rFonts w:eastAsia="Batang"/>
          <w:lang w:val="en-US"/>
        </w:rPr>
      </w:pPr>
      <w:r w:rsidRPr="00B76953">
        <w:rPr>
          <w:rFonts w:eastAsia="Batang"/>
          <w:lang w:val="en-US"/>
        </w:rPr>
        <w:t>Risk profile of the plant is another limitation related to CDF metric since it represents frequency of core damage only and thus do not cover the IAEA requirements for risk assessment where risk is defined as multiplication of frequency and consequences. Since the IAEA definition of safety is based on control over sources which is limited by the fourth barrier of Defence in Depth – containment – th</w:t>
      </w:r>
      <w:r w:rsidR="000738E3" w:rsidRPr="00B76953">
        <w:rPr>
          <w:rFonts w:eastAsia="Batang"/>
          <w:lang w:val="en-US"/>
        </w:rPr>
        <w:t>e consequences with respect to g</w:t>
      </w:r>
      <w:r w:rsidRPr="00B76953">
        <w:rPr>
          <w:rFonts w:eastAsia="Batang"/>
          <w:lang w:val="en-US"/>
        </w:rPr>
        <w:t>eneral safety objective are releases with their potential to impact significantly population health, environment and economy. Ultimately, it is alleged in the previous paragraph, that no distinction between core damage states can obfuscate the risk profile of the plant, and even the significant reduction of CDF not necessarily means significant reduction of large releases.</w:t>
      </w:r>
      <w:r>
        <w:rPr>
          <w:rFonts w:eastAsia="Batang"/>
          <w:lang w:val="en-US"/>
        </w:rPr>
        <w:t xml:space="preserve">   </w:t>
      </w:r>
    </w:p>
    <w:p w:rsidR="002776CD" w:rsidRDefault="002776CD" w:rsidP="002776CD">
      <w:pPr>
        <w:rPr>
          <w:rFonts w:eastAsia="Batang"/>
          <w:lang w:val="en-US"/>
        </w:rPr>
      </w:pPr>
    </w:p>
    <w:p w:rsidR="002776CD" w:rsidRDefault="002776CD" w:rsidP="002776CD">
      <w:pPr>
        <w:rPr>
          <w:rFonts w:eastAsia="Batang"/>
          <w:lang w:val="en-US"/>
        </w:rPr>
      </w:pPr>
      <w:r w:rsidRPr="00B76953">
        <w:rPr>
          <w:rFonts w:eastAsia="Batang"/>
          <w:lang w:val="en-US"/>
        </w:rPr>
        <w:lastRenderedPageBreak/>
        <w:t>Another limitation which is worth to mention is that PSA results are interpreted in fact as “per reactor year” even though all the data in PSA models are only time related: per hour, per month, on demand etc. So, the PSA result is indeed per year</w:t>
      </w:r>
      <w:r w:rsidR="008C56AF">
        <w:rPr>
          <w:rFonts w:eastAsia="Batang"/>
          <w:lang w:val="en-US"/>
        </w:rPr>
        <w:t xml:space="preserve"> and does not take into account </w:t>
      </w:r>
      <w:r w:rsidR="00667C6C">
        <w:rPr>
          <w:rFonts w:eastAsia="Batang"/>
          <w:lang w:val="en-US"/>
        </w:rPr>
        <w:t>different</w:t>
      </w:r>
      <w:r w:rsidR="008C56AF">
        <w:rPr>
          <w:rFonts w:eastAsia="Batang"/>
          <w:lang w:val="en-US"/>
        </w:rPr>
        <w:t xml:space="preserve"> plant operation</w:t>
      </w:r>
      <w:r w:rsidR="00667C6C">
        <w:rPr>
          <w:rFonts w:eastAsia="Batang"/>
          <w:lang w:val="en-US"/>
        </w:rPr>
        <w:t xml:space="preserve"> states during the year</w:t>
      </w:r>
      <w:r w:rsidR="008C56AF">
        <w:rPr>
          <w:rFonts w:eastAsia="Batang"/>
          <w:lang w:val="en-US"/>
        </w:rPr>
        <w:t>. T</w:t>
      </w:r>
      <w:r w:rsidRPr="00B76953">
        <w:rPr>
          <w:rFonts w:eastAsia="Batang"/>
          <w:lang w:val="en-US"/>
        </w:rPr>
        <w:t xml:space="preserve">he results should be integrated over lifetime of the plant (taking into account all reactor states and all sources), or </w:t>
      </w:r>
      <w:r w:rsidR="00667C6C">
        <w:rPr>
          <w:rFonts w:eastAsia="Batang"/>
          <w:lang w:val="en-US"/>
        </w:rPr>
        <w:t xml:space="preserve">e.g. </w:t>
      </w:r>
      <w:r w:rsidRPr="00B76953">
        <w:rPr>
          <w:rFonts w:eastAsia="Batang"/>
          <w:lang w:val="en-US"/>
        </w:rPr>
        <w:t>over the time period 10000 years</w:t>
      </w:r>
      <w:r w:rsidR="00667C6C">
        <w:rPr>
          <w:rFonts w:eastAsia="Batang"/>
          <w:lang w:val="en-US"/>
        </w:rPr>
        <w:t>.</w:t>
      </w:r>
      <w:r w:rsidR="00667C6C" w:rsidRPr="00B76953" w:rsidDel="00667C6C">
        <w:rPr>
          <w:rFonts w:eastAsia="Batang"/>
          <w:lang w:val="en-US"/>
        </w:rPr>
        <w:t xml:space="preserve"> </w:t>
      </w:r>
      <w:r w:rsidRPr="00B76953">
        <w:rPr>
          <w:rFonts w:eastAsia="Batang"/>
          <w:lang w:val="en-US"/>
        </w:rPr>
        <w:t>Here it should be also noted, that the IAEA CDF limit is not plant specific and therefore is to be applied for all types of reactors</w:t>
      </w:r>
      <w:r w:rsidR="00710F69" w:rsidRPr="00D9060B">
        <w:rPr>
          <w:rFonts w:eastAsia="Batang"/>
          <w:vertAlign w:val="superscript"/>
        </w:rPr>
        <w:footnoteReference w:id="5"/>
      </w:r>
      <w:r w:rsidRPr="00B76953">
        <w:rPr>
          <w:rFonts w:eastAsia="Batang"/>
          <w:lang w:val="en-US"/>
        </w:rPr>
        <w:t>.</w:t>
      </w:r>
    </w:p>
    <w:p w:rsidR="002776CD" w:rsidRDefault="002776CD" w:rsidP="00B76953">
      <w:pPr>
        <w:rPr>
          <w:rFonts w:eastAsia="Batang"/>
          <w:lang w:val="en-US"/>
        </w:rPr>
      </w:pPr>
    </w:p>
    <w:p w:rsidR="003E6850" w:rsidRPr="00313E82" w:rsidRDefault="003E6850" w:rsidP="00C94556">
      <w:pPr>
        <w:pStyle w:val="Titre3"/>
        <w:rPr>
          <w:rFonts w:eastAsia="Batang"/>
          <w:lang w:val="en-US"/>
        </w:rPr>
      </w:pPr>
      <w:bookmarkStart w:id="68" w:name="_Ref306869773"/>
      <w:bookmarkStart w:id="69" w:name="_Ref306870414"/>
      <w:bookmarkStart w:id="70" w:name="_Toc474430109"/>
      <w:r w:rsidRPr="00313E82">
        <w:rPr>
          <w:rFonts w:eastAsia="Batang"/>
          <w:lang w:val="en-US"/>
        </w:rPr>
        <w:t xml:space="preserve">ASAMPSA_E recommendation on </w:t>
      </w:r>
      <w:bookmarkEnd w:id="68"/>
      <w:bookmarkEnd w:id="69"/>
      <w:r w:rsidR="00351786">
        <w:rPr>
          <w:rFonts w:eastAsia="Batang"/>
          <w:lang w:val="en-US"/>
        </w:rPr>
        <w:t>CDF (Time Average)</w:t>
      </w:r>
      <w:bookmarkEnd w:id="70"/>
    </w:p>
    <w:p w:rsidR="00AA69AD" w:rsidRPr="00313E82" w:rsidRDefault="00000E8B">
      <w:pPr>
        <w:rPr>
          <w:rFonts w:eastAsia="Batang"/>
          <w:lang w:val="en-US"/>
        </w:rPr>
      </w:pPr>
      <w:r w:rsidRPr="00313E82">
        <w:rPr>
          <w:rFonts w:eastAsia="Batang"/>
          <w:lang w:val="en-US"/>
        </w:rPr>
        <w:t>From the discussion above, no specific and simultaneously universal defini</w:t>
      </w:r>
      <w:r w:rsidR="004B3C9C" w:rsidRPr="00313E82">
        <w:rPr>
          <w:rFonts w:eastAsia="Batang"/>
          <w:lang w:val="en-US"/>
        </w:rPr>
        <w:t>tion of the core damage metric can be attained</w:t>
      </w:r>
      <w:r w:rsidRPr="00313E82">
        <w:rPr>
          <w:rFonts w:eastAsia="Batang"/>
          <w:lang w:val="en-US"/>
        </w:rPr>
        <w:t>.</w:t>
      </w:r>
      <w:r w:rsidR="004B3C9C" w:rsidRPr="00313E82">
        <w:rPr>
          <w:rFonts w:eastAsia="Batang"/>
          <w:lang w:val="en-US"/>
        </w:rPr>
        <w:t xml:space="preserve"> However, the PSA community should agree on a common understanding of the core damage metric pertaining to a specific reactor type. That definition should be chosen so that the CDF measure is placed at the interface between PSA Level 1 and Level 2, i.e. that CDF integrates accidental scenarios with the potential for severe off-site releases</w:t>
      </w:r>
      <w:r w:rsidR="00AA69AD" w:rsidRPr="00313E82">
        <w:rPr>
          <w:rFonts w:eastAsia="Batang"/>
          <w:lang w:val="en-US"/>
        </w:rPr>
        <w:t xml:space="preserve"> related to the core of the reactor.</w:t>
      </w:r>
      <w:r w:rsidR="00FD58B5" w:rsidRPr="00313E82">
        <w:rPr>
          <w:rFonts w:eastAsia="Batang"/>
          <w:lang w:val="en-US"/>
        </w:rPr>
        <w:t xml:space="preserve"> To this end, the CDF measure needs to be consistent with the plant damage state </w:t>
      </w:r>
      <w:r w:rsidR="00510EED">
        <w:rPr>
          <w:rFonts w:eastAsia="Batang"/>
          <w:lang w:val="en-US"/>
        </w:rPr>
        <w:t xml:space="preserve">frequency </w:t>
      </w:r>
      <w:r w:rsidR="00FD58B5" w:rsidRPr="00313E82">
        <w:rPr>
          <w:rFonts w:eastAsia="Batang"/>
          <w:lang w:val="en-US"/>
        </w:rPr>
        <w:t xml:space="preserve">measure(s) (PDSF) it shall aggregate, cf. section </w:t>
      </w:r>
      <w:r w:rsidR="009E768B" w:rsidRPr="007E0C24">
        <w:rPr>
          <w:rFonts w:eastAsia="Batang"/>
          <w:lang w:val="en-US"/>
        </w:rPr>
        <w:fldChar w:fldCharType="begin"/>
      </w:r>
      <w:r w:rsidR="00033356" w:rsidRPr="00313E82">
        <w:rPr>
          <w:rFonts w:eastAsia="Batang"/>
          <w:lang w:val="en-US"/>
        </w:rPr>
        <w:instrText xml:space="preserve"> REF _Ref418066012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2.13</w:t>
      </w:r>
      <w:r w:rsidR="009E768B" w:rsidRPr="007E0C24">
        <w:rPr>
          <w:rFonts w:eastAsia="Batang"/>
          <w:lang w:val="en-US"/>
        </w:rPr>
        <w:fldChar w:fldCharType="end"/>
      </w:r>
      <w:r w:rsidR="00FD58B5" w:rsidRPr="00313E82">
        <w:rPr>
          <w:rFonts w:eastAsia="Batang"/>
          <w:lang w:val="en-US"/>
        </w:rPr>
        <w:t>.</w:t>
      </w:r>
    </w:p>
    <w:p w:rsidR="00AA69AD" w:rsidRPr="00313E82" w:rsidRDefault="00AA69AD">
      <w:pPr>
        <w:rPr>
          <w:rFonts w:eastAsia="Batang"/>
          <w:lang w:val="en-US"/>
        </w:rPr>
      </w:pPr>
      <w:r w:rsidRPr="00313E82">
        <w:rPr>
          <w:rFonts w:eastAsia="Batang"/>
          <w:lang w:val="en-US"/>
        </w:rPr>
        <w:t>For historical reasons, the final results of PSA Level 1 have often been given as CDF. Several regulators have set Level 1 objectives based on the CDF measure. Semantically, the core damage metric needs to be restricted to the “reactor core”, i.e. the fuel in the reactor that is used for maintaining the chain reaction. Reinforced by the Fukushima Dai-ichi, other risk measures have been defined for fuel outside of the reactor core (e.g. the SFP). Conceptually, the fuel damage metric and measure should be a more general measure, combining all sorts of scenarios with damage to reactor fuel (irrespective of its location on the site or the operating status of the plant), cf. section</w:t>
      </w:r>
      <w:r w:rsidR="00DA53E9" w:rsidRPr="00313E82">
        <w:rPr>
          <w:rFonts w:eastAsia="Batang"/>
          <w:lang w:val="en-US"/>
        </w:rPr>
        <w:t xml:space="preserve"> </w:t>
      </w:r>
      <w:r w:rsidR="009E768B" w:rsidRPr="007E0C24">
        <w:rPr>
          <w:rFonts w:eastAsia="Batang"/>
          <w:lang w:val="en-US"/>
        </w:rPr>
        <w:fldChar w:fldCharType="begin"/>
      </w:r>
      <w:r w:rsidR="00DA53E9" w:rsidRPr="00313E82">
        <w:rPr>
          <w:rFonts w:eastAsia="Batang"/>
          <w:lang w:val="en-US"/>
        </w:rPr>
        <w:instrText xml:space="preserve"> REF _Ref316897854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2.12</w:t>
      </w:r>
      <w:r w:rsidR="009E768B" w:rsidRPr="007E0C24">
        <w:rPr>
          <w:rFonts w:eastAsia="Batang"/>
          <w:lang w:val="en-US"/>
        </w:rPr>
        <w:fldChar w:fldCharType="end"/>
      </w:r>
      <w:r w:rsidRPr="00313E82">
        <w:rPr>
          <w:rFonts w:eastAsia="Batang"/>
          <w:lang w:val="en-US"/>
        </w:rPr>
        <w:t xml:space="preserve">. </w:t>
      </w:r>
    </w:p>
    <w:p w:rsidR="00390467" w:rsidRPr="00313E82" w:rsidRDefault="00AA69AD">
      <w:pPr>
        <w:rPr>
          <w:rFonts w:eastAsia="Batang"/>
          <w:lang w:val="en-US"/>
        </w:rPr>
      </w:pPr>
      <w:r w:rsidRPr="00550229">
        <w:rPr>
          <w:rFonts w:eastAsia="Batang"/>
          <w:lang w:val="en-US"/>
        </w:rPr>
        <w:t xml:space="preserve">Therefore, the recommendation by the ASAMPSA_E </w:t>
      </w:r>
      <w:r w:rsidR="003112EB" w:rsidRPr="00550229">
        <w:rPr>
          <w:rFonts w:eastAsia="Batang"/>
          <w:lang w:val="en-US"/>
        </w:rPr>
        <w:t>is</w:t>
      </w:r>
      <w:r w:rsidRPr="00550229">
        <w:rPr>
          <w:rFonts w:eastAsia="Batang"/>
          <w:lang w:val="en-US"/>
        </w:rPr>
        <w:t xml:space="preserve"> that CDF should be defined as a subset of the </w:t>
      </w:r>
      <w:r w:rsidR="00306258" w:rsidRPr="00550229">
        <w:rPr>
          <w:rFonts w:eastAsia="Batang"/>
          <w:lang w:val="en-US"/>
        </w:rPr>
        <w:t xml:space="preserve">FDF </w:t>
      </w:r>
      <w:r w:rsidRPr="00550229">
        <w:rPr>
          <w:rFonts w:eastAsia="Batang"/>
          <w:lang w:val="en-US"/>
        </w:rPr>
        <w:t xml:space="preserve">measure, specifically covering accidental scenarios with the potential for severe off-site releases related to the core of the reactor. </w:t>
      </w:r>
      <w:r w:rsidR="00FD58B5" w:rsidRPr="00550229">
        <w:rPr>
          <w:rFonts w:eastAsia="Batang"/>
          <w:lang w:val="en-US"/>
        </w:rPr>
        <w:t>Moreover, the CDF measure shall be consistent with the PDSF measure(s), which are assigned to accidental scenarios with the potential of severe releases related to the reactor core.</w:t>
      </w:r>
      <w:r w:rsidR="00FD58B5" w:rsidRPr="00313E82">
        <w:rPr>
          <w:rFonts w:eastAsia="Batang"/>
          <w:lang w:val="en-US"/>
        </w:rPr>
        <w:t xml:space="preserve"> </w:t>
      </w:r>
    </w:p>
    <w:p w:rsidR="004C7796" w:rsidRPr="00313E82" w:rsidRDefault="004C7796">
      <w:pPr>
        <w:rPr>
          <w:rFonts w:eastAsia="Batang"/>
          <w:lang w:val="en-US"/>
        </w:rPr>
      </w:pPr>
      <w:r w:rsidRPr="00313E82">
        <w:rPr>
          <w:rFonts w:eastAsia="Batang"/>
          <w:lang w:val="en-US"/>
        </w:rPr>
        <w:t xml:space="preserve">With regard to the relationship between CDF, time averaged, and CDF, time dependent, the ASAMPSA_E project recommends </w:t>
      </w:r>
      <w:r w:rsidR="003C4B8E" w:rsidRPr="00313E82">
        <w:rPr>
          <w:rFonts w:eastAsia="Batang"/>
          <w:lang w:val="en-US"/>
        </w:rPr>
        <w:t>raising</w:t>
      </w:r>
      <w:r w:rsidRPr="00313E82">
        <w:rPr>
          <w:rFonts w:eastAsia="Batang"/>
          <w:lang w:val="en-US"/>
        </w:rPr>
        <w:t xml:space="preserve"> awareness about the limitations of the respective calculation methods. To the extent practicable, CDF quantification should be done based on CDF, time-dependent. Thereby, explicitly time-dependent effects, like e.g. staggered testing schemes, will be adequately considered in PSA results. In </w:t>
      </w:r>
      <w:r w:rsidRPr="00313E82">
        <w:rPr>
          <w:rFonts w:eastAsia="Batang"/>
          <w:lang w:val="en-US"/>
        </w:rPr>
        <w:lastRenderedPageBreak/>
        <w:t xml:space="preserve">uncertainty analysis, time averaging should be done before calculation </w:t>
      </w:r>
      <w:r w:rsidR="00DA53E9" w:rsidRPr="00313E82">
        <w:rPr>
          <w:rFonts w:eastAsia="Batang"/>
          <w:lang w:val="en-US"/>
        </w:rPr>
        <w:t xml:space="preserve">of </w:t>
      </w:r>
      <w:r w:rsidRPr="00313E82">
        <w:rPr>
          <w:rFonts w:eastAsia="Batang"/>
          <w:lang w:val="en-US"/>
        </w:rPr>
        <w:t>mean values</w:t>
      </w:r>
      <w:r w:rsidR="00A502B3" w:rsidRPr="00313E82">
        <w:rPr>
          <w:rStyle w:val="Appelnotedebasdep"/>
          <w:rFonts w:eastAsia="Batang"/>
          <w:lang w:val="en-US"/>
        </w:rPr>
        <w:footnoteReference w:id="6"/>
      </w:r>
      <w:r w:rsidR="00416B82">
        <w:rPr>
          <w:rFonts w:eastAsia="Batang"/>
          <w:lang w:val="en-US"/>
        </w:rPr>
        <w:t xml:space="preserve"> (See Appendix A</w:t>
      </w:r>
      <w:r w:rsidR="00EC7C5D">
        <w:rPr>
          <w:rFonts w:eastAsia="Batang"/>
          <w:lang w:val="en-US"/>
        </w:rPr>
        <w:t xml:space="preserve"> </w:t>
      </w:r>
      <w:r w:rsidR="00416B82">
        <w:rPr>
          <w:rFonts w:eastAsia="Batang"/>
          <w:lang w:val="en-US"/>
        </w:rPr>
        <w:t>for more details)</w:t>
      </w:r>
      <w:r w:rsidRPr="00313E82">
        <w:rPr>
          <w:rFonts w:eastAsia="Batang"/>
          <w:lang w:val="en-US"/>
        </w:rPr>
        <w:t>.</w:t>
      </w:r>
    </w:p>
    <w:p w:rsidR="004C7796" w:rsidRPr="00313E82" w:rsidRDefault="00746B51">
      <w:pPr>
        <w:rPr>
          <w:rFonts w:eastAsia="Batang"/>
          <w:lang w:val="en-US"/>
        </w:rPr>
      </w:pPr>
      <m:oMathPara>
        <m:oMath>
          <m:r>
            <w:rPr>
              <w:rFonts w:ascii="Cambria Math" w:eastAsia="Batang" w:hAnsi="Cambria Math"/>
              <w:lang w:val="en-US"/>
            </w:rPr>
            <m:t>E(</m:t>
          </m:r>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r>
            <w:rPr>
              <w:rFonts w:ascii="Cambria Math" w:eastAsia="Batang" w:hAnsi="Cambria Math"/>
              <w:lang w:val="en-US"/>
            </w:rPr>
            <m:t>E</m:t>
          </m:r>
          <m:d>
            <m:dPr>
              <m:ctrlPr>
                <w:rPr>
                  <w:rFonts w:ascii="Cambria Math" w:eastAsia="Batang" w:hAnsi="Cambria Math"/>
                  <w:i/>
                  <w:lang w:val="en-US"/>
                </w:rPr>
              </m:ctrlPr>
            </m:dPr>
            <m:e>
              <m:r>
                <w:rPr>
                  <w:rFonts w:ascii="Cambria Math" w:eastAsia="Batang" w:hAnsi="Cambria Math"/>
                  <w:lang w:val="en-US"/>
                </w:rPr>
                <m:t>φ</m:t>
              </m:r>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e>
              </m:d>
            </m:e>
          </m:d>
        </m:oMath>
      </m:oMathPara>
    </w:p>
    <w:p w:rsidR="004C7796" w:rsidRPr="00313E82" w:rsidRDefault="003C4B8E">
      <w:pPr>
        <w:rPr>
          <w:rFonts w:eastAsia="Batang"/>
          <w:lang w:val="en-US"/>
        </w:rPr>
      </w:pPr>
      <w:r w:rsidRPr="00313E82">
        <w:rPr>
          <w:rFonts w:eastAsia="Batang"/>
          <w:lang w:val="en-US"/>
        </w:rPr>
        <w:t xml:space="preserve">This results in good consistency with commonly used quantification approaches. PSA programs should provide the functionality needed for such computations of </w:t>
      </w:r>
      <m:oMath>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oMath>
      <w:r w:rsidRPr="00313E82">
        <w:rPr>
          <w:rFonts w:eastAsia="Batang"/>
          <w:lang w:val="en-US"/>
        </w:rPr>
        <w:t>.</w:t>
      </w:r>
      <w:r w:rsidR="004C7796" w:rsidRPr="00313E82">
        <w:rPr>
          <w:rFonts w:eastAsia="Batang"/>
          <w:lang w:val="en-US"/>
        </w:rPr>
        <w:t xml:space="preserve">  </w:t>
      </w:r>
    </w:p>
    <w:p w:rsidR="004A0882" w:rsidRPr="00313E82" w:rsidRDefault="00095A89" w:rsidP="00C94556">
      <w:pPr>
        <w:pStyle w:val="Titre2"/>
        <w:rPr>
          <w:rFonts w:eastAsia="Batang"/>
          <w:lang w:val="en-US"/>
        </w:rPr>
      </w:pPr>
      <w:bookmarkStart w:id="71" w:name="_Ref413948881"/>
      <w:bookmarkStart w:id="72" w:name="_Ref414021020"/>
      <w:bookmarkStart w:id="73" w:name="_Toc474430110"/>
      <w:r w:rsidRPr="00313E82">
        <w:rPr>
          <w:rFonts w:eastAsia="Batang"/>
          <w:lang w:val="en-US"/>
        </w:rPr>
        <w:t>Core Damage Frequency</w:t>
      </w:r>
      <w:bookmarkEnd w:id="71"/>
      <w:r w:rsidR="0042496C" w:rsidRPr="00313E82">
        <w:rPr>
          <w:rFonts w:eastAsia="Batang"/>
          <w:lang w:val="en-US"/>
        </w:rPr>
        <w:t>, time dependent</w:t>
      </w:r>
      <w:bookmarkEnd w:id="72"/>
      <w:bookmarkEnd w:id="73"/>
    </w:p>
    <w:p w:rsidR="00095A89" w:rsidRPr="00313E82" w:rsidRDefault="00095A89" w:rsidP="00C94556">
      <w:pPr>
        <w:pStyle w:val="Titre3"/>
        <w:rPr>
          <w:rFonts w:eastAsia="Batang"/>
          <w:lang w:val="en-US"/>
        </w:rPr>
      </w:pPr>
      <w:bookmarkStart w:id="74" w:name="_Toc474430111"/>
      <w:r w:rsidRPr="00313E82">
        <w:rPr>
          <w:rFonts w:eastAsia="Batang"/>
          <w:lang w:val="en-US"/>
        </w:rPr>
        <w:t>Definition of Risk Measure</w:t>
      </w:r>
      <w:bookmarkEnd w:id="74"/>
    </w:p>
    <w:p w:rsidR="00095A89" w:rsidRPr="00313E82" w:rsidRDefault="00095A89">
      <w:pPr>
        <w:rPr>
          <w:rFonts w:eastAsia="Batang"/>
          <w:lang w:val="en-US"/>
        </w:rPr>
      </w:pPr>
      <w:r w:rsidRPr="00313E82">
        <w:rPr>
          <w:rFonts w:eastAsia="Batang"/>
          <w:lang w:val="en-US"/>
        </w:rPr>
        <w:t>The definition of the risk measure is the same as for core damage frequency (section</w:t>
      </w:r>
      <w:r w:rsidR="0031338E" w:rsidRPr="00313E82">
        <w:rPr>
          <w:rFonts w:eastAsia="Batang"/>
          <w:lang w:val="en-US"/>
        </w:rPr>
        <w:t xml:space="preserve"> </w:t>
      </w:r>
      <w:r w:rsidR="009E768B" w:rsidRPr="007E0C24">
        <w:rPr>
          <w:rFonts w:eastAsia="Batang"/>
          <w:lang w:val="en-US"/>
        </w:rPr>
        <w:fldChar w:fldCharType="begin"/>
      </w:r>
      <w:r w:rsidR="0031338E"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the only difference being that the risk model is quantified at a specific point in time T</w:t>
      </w:r>
      <w:r w:rsidR="006E3CED">
        <w:rPr>
          <w:rFonts w:eastAsia="Batang"/>
          <w:lang w:val="en-US"/>
        </w:rPr>
        <w:t xml:space="preserve"> with the particular plant status at this point in time</w:t>
      </w:r>
      <w:r w:rsidR="00510EED">
        <w:rPr>
          <w:rFonts w:eastAsia="Batang"/>
          <w:lang w:val="en-US"/>
        </w:rPr>
        <w:t xml:space="preserve"> </w:t>
      </w:r>
      <w:r w:rsidR="00510EED" w:rsidRPr="002E051D">
        <w:rPr>
          <w:lang w:val="en-GB"/>
        </w:rPr>
        <w:t>(</w:t>
      </w:r>
      <w:r w:rsidR="000F58E3">
        <w:rPr>
          <w:lang w:val="en-GB"/>
        </w:rPr>
        <w:t>“</w:t>
      </w:r>
      <w:r w:rsidR="00510EED" w:rsidRPr="002E051D">
        <w:rPr>
          <w:lang w:val="en-GB"/>
        </w:rPr>
        <w:t>picture</w:t>
      </w:r>
      <w:r w:rsidR="000F58E3">
        <w:rPr>
          <w:lang w:val="en-GB"/>
        </w:rPr>
        <w:t>”</w:t>
      </w:r>
      <w:r w:rsidR="00510EED" w:rsidRPr="002E051D">
        <w:rPr>
          <w:lang w:val="en-GB"/>
        </w:rPr>
        <w:t xml:space="preserve"> of the NPP at a certain time t taking into account</w:t>
      </w:r>
      <w:r w:rsidR="00510EED">
        <w:rPr>
          <w:lang w:val="en-GB"/>
        </w:rPr>
        <w:t xml:space="preserve"> actual</w:t>
      </w:r>
      <w:r w:rsidR="00510EED" w:rsidRPr="002E051D">
        <w:rPr>
          <w:lang w:val="en-GB"/>
        </w:rPr>
        <w:t xml:space="preserve"> unavailabilities</w:t>
      </w:r>
      <w:r w:rsidR="00510EED">
        <w:rPr>
          <w:lang w:val="en-GB"/>
        </w:rPr>
        <w:t>, etc.)</w:t>
      </w:r>
      <w:r w:rsidRPr="00313E82">
        <w:rPr>
          <w:rFonts w:eastAsia="Batang"/>
          <w:lang w:val="en-US"/>
        </w:rPr>
        <w:t xml:space="preserve">. </w:t>
      </w:r>
      <w:r w:rsidR="00033356" w:rsidRPr="00313E82">
        <w:rPr>
          <w:rFonts w:eastAsia="Batang"/>
          <w:lang w:val="en-US"/>
        </w:rPr>
        <w:t>Fundamentally, the time-averaged CDF value can be obtained by integrating the time dependent CDF likelihood over the interval T</w:t>
      </w:r>
      <w:r w:rsidR="00033356" w:rsidRPr="00313E82">
        <w:rPr>
          <w:rFonts w:eastAsia="Batang"/>
          <w:vertAlign w:val="subscript"/>
          <w:lang w:val="en-US"/>
        </w:rPr>
        <w:t>av</w:t>
      </w:r>
      <w:r w:rsidR="00033356" w:rsidRPr="00313E82">
        <w:rPr>
          <w:rFonts w:eastAsia="Batang"/>
          <w:lang w:val="en-US"/>
        </w:rPr>
        <w:t>.</w:t>
      </w:r>
    </w:p>
    <w:p w:rsidR="00033356" w:rsidRPr="00313E82" w:rsidRDefault="0043746A">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m:oMathPara>
    </w:p>
    <w:p w:rsidR="00480FCF" w:rsidRPr="00313E82" w:rsidRDefault="00480FCF">
      <w:pPr>
        <w:rPr>
          <w:rFonts w:eastAsia="Batang"/>
          <w:u w:val="single"/>
          <w:lang w:val="en-US"/>
        </w:rPr>
      </w:pPr>
      <w:r w:rsidRPr="00313E82">
        <w:rPr>
          <w:rFonts w:eastAsia="Batang"/>
          <w:u w:val="single"/>
          <w:lang w:val="en-US"/>
        </w:rPr>
        <w:t xml:space="preserve">Use of uncertainty distributions: </w:t>
      </w:r>
    </w:p>
    <w:p w:rsidR="00095A89" w:rsidRPr="00313E82" w:rsidRDefault="00480FCF">
      <w:pPr>
        <w:rPr>
          <w:rFonts w:eastAsia="Batang"/>
          <w:lang w:val="en-US"/>
        </w:rPr>
      </w:pPr>
      <w:r w:rsidRPr="00313E82">
        <w:rPr>
          <w:rFonts w:eastAsia="Batang"/>
          <w:lang w:val="en-US"/>
        </w:rPr>
        <w:t xml:space="preserve">The CDF measure </w:t>
      </w:r>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r>
          <w:rPr>
            <w:rFonts w:ascii="Cambria Math" w:eastAsia="Batang" w:hAnsi="Cambria Math"/>
            <w:lang w:val="en-US"/>
          </w:rPr>
          <m:t xml:space="preserve">t) </m:t>
        </m:r>
      </m:oMath>
      <w:r w:rsidRPr="00313E82">
        <w:rPr>
          <w:rFonts w:eastAsia="Batang"/>
          <w:lang w:val="en-US"/>
        </w:rPr>
        <w:t>is initially computed with point values for likelihoods, i.e. minimum cuts are quantified with basic event models quantified at time t with the nominal values (mean values) of uncertain parameters.</w:t>
      </w:r>
      <w:r w:rsidR="00F05515" w:rsidRPr="00313E82">
        <w:rPr>
          <w:rFonts w:eastAsia="Batang"/>
          <w:lang w:val="en-US"/>
        </w:rPr>
        <w:t xml:space="preserve"> The uncertainty distributions </w:t>
      </w:r>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r>
          <w:rPr>
            <w:rFonts w:ascii="Cambria Math" w:eastAsia="Batang" w:hAnsi="Cambria Math"/>
            <w:lang w:val="en-US"/>
          </w:rPr>
          <m:t>t))</m:t>
        </m:r>
      </m:oMath>
      <w:r w:rsidR="00F05515" w:rsidRPr="00313E82">
        <w:rPr>
          <w:rFonts w:eastAsia="Batang"/>
          <w:lang w:val="en-US"/>
        </w:rPr>
        <w:t xml:space="preserve"> can be determined with Monte Carlo analysis for each point in time. </w:t>
      </w:r>
      <w:r w:rsidR="00C05D8E" w:rsidRPr="00313E82">
        <w:rPr>
          <w:rFonts w:eastAsia="Batang"/>
          <w:lang w:val="en-US"/>
        </w:rPr>
        <w:t>Usually, the uncertainty</w:t>
      </w:r>
      <w:r w:rsidR="00F05515" w:rsidRPr="00313E82">
        <w:rPr>
          <w:rFonts w:eastAsia="Batang"/>
          <w:lang w:val="en-US"/>
        </w:rPr>
        <w:t xml:space="preserve"> distribution </w:t>
      </w:r>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r>
          <w:rPr>
            <w:rFonts w:ascii="Cambria Math" w:eastAsia="Batang" w:hAnsi="Cambria Math" w:hint="eastAsia"/>
            <w:lang w:val="en-US"/>
          </w:rPr>
          <m:t>)</m:t>
        </m:r>
      </m:oMath>
      <w:r w:rsidR="00F05515" w:rsidRPr="00313E82">
        <w:rPr>
          <w:rFonts w:eastAsia="Batang"/>
          <w:lang w:val="en-US"/>
        </w:rPr>
        <w:t xml:space="preserve"> </w:t>
      </w:r>
      <w:r w:rsidR="00C05D8E" w:rsidRPr="00313E82">
        <w:rPr>
          <w:rFonts w:eastAsia="Batang"/>
          <w:lang w:val="en-US"/>
        </w:rPr>
        <w:t xml:space="preserve">is not determined </w:t>
      </w:r>
      <w:r w:rsidR="00F05515" w:rsidRPr="00313E82">
        <w:rPr>
          <w:rFonts w:eastAsia="Batang"/>
          <w:lang w:val="en-US"/>
        </w:rPr>
        <w:t xml:space="preserve">via </w:t>
      </w:r>
      <m:oMath>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w:r w:rsidR="00F05515" w:rsidRPr="00313E82">
        <w:rPr>
          <w:rFonts w:eastAsia="Batang"/>
          <w:lang w:val="en-US"/>
        </w:rPr>
        <w:t xml:space="preserve">. Consequently, a simultaneous time-averaging and uncertainty evaluation for the time-averaged CDF values is not done in current PSA, as already mentioned in section </w:t>
      </w:r>
      <w:r w:rsidR="009E768B" w:rsidRPr="007E0C24">
        <w:rPr>
          <w:rFonts w:eastAsia="Batang"/>
          <w:lang w:val="en-US"/>
        </w:rPr>
        <w:fldChar w:fldCharType="begin"/>
      </w:r>
      <w:r w:rsidR="00F05515"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00F05515" w:rsidRPr="00313E82">
        <w:rPr>
          <w:rFonts w:eastAsia="Batang"/>
          <w:lang w:val="en-US"/>
        </w:rPr>
        <w:t xml:space="preserve">. </w:t>
      </w:r>
    </w:p>
    <w:p w:rsidR="00FF3840" w:rsidRPr="00313E82" w:rsidRDefault="00FF3840" w:rsidP="00C94556">
      <w:pPr>
        <w:pStyle w:val="Titre3"/>
        <w:rPr>
          <w:rFonts w:eastAsia="Batang"/>
          <w:lang w:val="en-US"/>
        </w:rPr>
      </w:pPr>
      <w:bookmarkStart w:id="75" w:name="_Toc474430112"/>
      <w:r w:rsidRPr="00313E82">
        <w:rPr>
          <w:rFonts w:eastAsia="Batang"/>
          <w:lang w:val="en-US"/>
        </w:rPr>
        <w:t>Areas of application</w:t>
      </w:r>
      <w:bookmarkEnd w:id="75"/>
    </w:p>
    <w:p w:rsidR="00FF3840" w:rsidRPr="00313E82" w:rsidRDefault="005C4AA8">
      <w:pPr>
        <w:rPr>
          <w:rFonts w:eastAsia="Batang"/>
          <w:lang w:val="en-US"/>
        </w:rPr>
      </w:pPr>
      <w:r w:rsidRPr="00313E82">
        <w:rPr>
          <w:rFonts w:eastAsia="Batang"/>
          <w:lang w:val="en-US"/>
        </w:rPr>
        <w:t xml:space="preserve">See Section </w:t>
      </w:r>
      <w:r w:rsidR="009E768B" w:rsidRPr="007E0C24">
        <w:rPr>
          <w:rFonts w:eastAsia="Batang"/>
          <w:lang w:val="en-US"/>
        </w:rPr>
        <w:fldChar w:fldCharType="begin"/>
      </w:r>
      <w:r w:rsidRPr="00313E82">
        <w:rPr>
          <w:rFonts w:eastAsia="Batang"/>
          <w:lang w:val="en-US"/>
        </w:rPr>
        <w:instrText xml:space="preserve"> REF _Ref301173941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2.1.2</w:t>
      </w:r>
      <w:r w:rsidR="009E768B" w:rsidRPr="007E0C24">
        <w:rPr>
          <w:rFonts w:eastAsia="Batang"/>
          <w:lang w:val="en-US"/>
        </w:rPr>
        <w:fldChar w:fldCharType="end"/>
      </w:r>
    </w:p>
    <w:p w:rsidR="00FF3840" w:rsidRPr="00313E82" w:rsidRDefault="00FF3840" w:rsidP="00C94556">
      <w:pPr>
        <w:pStyle w:val="Titre3"/>
        <w:rPr>
          <w:rFonts w:eastAsia="Batang"/>
          <w:lang w:val="en-US"/>
        </w:rPr>
      </w:pPr>
      <w:bookmarkStart w:id="76" w:name="_Toc474430113"/>
      <w:r w:rsidRPr="00313E82">
        <w:rPr>
          <w:rFonts w:eastAsia="Batang"/>
          <w:lang w:val="en-US"/>
        </w:rPr>
        <w:t>Discussion</w:t>
      </w:r>
      <w:bookmarkEnd w:id="76"/>
    </w:p>
    <w:p w:rsidR="00B1664A" w:rsidRDefault="00FF3840">
      <w:pPr>
        <w:ind w:left="284" w:hanging="284"/>
        <w:rPr>
          <w:rFonts w:eastAsia="Batang"/>
          <w:lang w:val="en-US"/>
        </w:rPr>
      </w:pPr>
      <w:r w:rsidRPr="00552F4E">
        <w:rPr>
          <w:rFonts w:eastAsia="Batang"/>
          <w:u w:val="single"/>
          <w:lang w:val="en-US"/>
        </w:rPr>
        <w:t>Validity</w:t>
      </w:r>
      <w:r w:rsidRPr="00313E82">
        <w:rPr>
          <w:rFonts w:eastAsia="Batang"/>
          <w:lang w:val="en-US"/>
        </w:rPr>
        <w:t>:</w:t>
      </w:r>
      <w:r w:rsidR="00480FCF" w:rsidRPr="00313E82">
        <w:rPr>
          <w:rFonts w:eastAsia="Batang"/>
          <w:lang w:val="en-US"/>
        </w:rPr>
        <w:t xml:space="preserve"> </w:t>
      </w:r>
    </w:p>
    <w:p w:rsidR="00FF3840" w:rsidRPr="00313E82" w:rsidRDefault="00480FCF" w:rsidP="00262C82">
      <w:pPr>
        <w:ind w:left="568" w:hanging="284"/>
        <w:rPr>
          <w:rFonts w:eastAsia="Batang"/>
          <w:lang w:val="en-US"/>
        </w:rPr>
      </w:pPr>
      <w:r w:rsidRPr="00313E82">
        <w:rPr>
          <w:rFonts w:eastAsia="Batang"/>
          <w:lang w:val="en-US"/>
        </w:rPr>
        <w:t xml:space="preserve">The same considerations already given in section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xml:space="preserve"> apply.</w:t>
      </w:r>
      <w:r w:rsidR="00935F51" w:rsidRPr="00313E82">
        <w:rPr>
          <w:rFonts w:eastAsia="Batang"/>
          <w:lang w:val="en-US"/>
        </w:rPr>
        <w:t xml:space="preserve"> For risk monitors and other PSA applications where the risk value at a certain point in time needs to be known, the time dependent version of the CDF measure needs to be chosen. </w:t>
      </w:r>
    </w:p>
    <w:p w:rsidR="00B1664A" w:rsidRDefault="00FF3840">
      <w:pPr>
        <w:ind w:left="284" w:hanging="284"/>
        <w:rPr>
          <w:rFonts w:eastAsia="Batang"/>
          <w:lang w:val="en-US"/>
        </w:rPr>
      </w:pPr>
      <w:r w:rsidRPr="00552F4E">
        <w:rPr>
          <w:rFonts w:eastAsia="Batang"/>
          <w:u w:val="single"/>
          <w:lang w:val="en-US"/>
        </w:rPr>
        <w:t>Reliability</w:t>
      </w:r>
      <w:r w:rsidRPr="00313E82">
        <w:rPr>
          <w:rFonts w:eastAsia="Batang"/>
          <w:lang w:val="en-US"/>
        </w:rPr>
        <w:t xml:space="preserve">: </w:t>
      </w:r>
    </w:p>
    <w:p w:rsidR="00FF3840" w:rsidRPr="00313E82" w:rsidRDefault="00480FCF" w:rsidP="00262C82">
      <w:pPr>
        <w:ind w:left="568" w:hanging="284"/>
        <w:rPr>
          <w:rFonts w:eastAsia="Batang"/>
          <w:lang w:val="en-US"/>
        </w:rPr>
      </w:pPr>
      <w:r w:rsidRPr="00313E82">
        <w:rPr>
          <w:rFonts w:eastAsia="Batang"/>
          <w:lang w:val="en-US"/>
        </w:rPr>
        <w:lastRenderedPageBreak/>
        <w:t xml:space="preserve">The same considerations already given in section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xml:space="preserve"> apply.</w:t>
      </w:r>
      <w:r w:rsidR="00FF3840" w:rsidRPr="00313E82">
        <w:rPr>
          <w:rFonts w:eastAsia="Batang"/>
          <w:lang w:val="en-US"/>
        </w:rPr>
        <w:t xml:space="preserve"> </w:t>
      </w:r>
    </w:p>
    <w:p w:rsidR="00B1664A" w:rsidRDefault="00FF3840">
      <w:pPr>
        <w:ind w:left="284" w:hanging="284"/>
        <w:rPr>
          <w:rFonts w:eastAsia="Batang"/>
          <w:lang w:val="en-US"/>
        </w:rPr>
      </w:pPr>
      <w:r w:rsidRPr="00552F4E">
        <w:rPr>
          <w:rFonts w:eastAsia="Batang"/>
          <w:u w:val="single"/>
          <w:lang w:val="en-US"/>
        </w:rPr>
        <w:t>Consistency</w:t>
      </w:r>
      <w:r w:rsidRPr="00313E82">
        <w:rPr>
          <w:rFonts w:eastAsia="Batang"/>
          <w:lang w:val="en-US"/>
        </w:rPr>
        <w:t>:</w:t>
      </w:r>
      <w:r w:rsidR="00935F51" w:rsidRPr="00313E82">
        <w:rPr>
          <w:rFonts w:eastAsia="Batang"/>
          <w:lang w:val="en-US"/>
        </w:rPr>
        <w:t xml:space="preserve"> </w:t>
      </w:r>
    </w:p>
    <w:p w:rsidR="00FF3840" w:rsidRPr="00313E82" w:rsidRDefault="00935F51" w:rsidP="00262C82">
      <w:pPr>
        <w:ind w:left="568" w:hanging="284"/>
        <w:rPr>
          <w:rFonts w:eastAsia="Batang"/>
          <w:lang w:val="en-US"/>
        </w:rPr>
      </w:pPr>
      <w:r w:rsidRPr="00313E82">
        <w:rPr>
          <w:rFonts w:eastAsia="Batang"/>
          <w:lang w:val="en-US"/>
        </w:rPr>
        <w:t xml:space="preserve">The same considerations already given in section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xml:space="preserve"> apply.</w:t>
      </w:r>
    </w:p>
    <w:p w:rsidR="00B1664A" w:rsidRDefault="00FF3840">
      <w:pPr>
        <w:ind w:left="284" w:hanging="284"/>
        <w:rPr>
          <w:rFonts w:eastAsia="Batang"/>
          <w:lang w:val="en-US"/>
        </w:rPr>
      </w:pPr>
      <w:r w:rsidRPr="00552F4E">
        <w:rPr>
          <w:rFonts w:eastAsia="Batang"/>
          <w:u w:val="single"/>
          <w:lang w:val="en-US"/>
        </w:rPr>
        <w:t>Risk aggregation properties</w:t>
      </w:r>
      <w:r w:rsidRPr="00313E82">
        <w:rPr>
          <w:rFonts w:eastAsia="Batang"/>
          <w:lang w:val="en-US"/>
        </w:rPr>
        <w:t xml:space="preserve">: </w:t>
      </w:r>
    </w:p>
    <w:p w:rsidR="00FF3840" w:rsidRPr="00313E82" w:rsidRDefault="00935F51" w:rsidP="00262C82">
      <w:pPr>
        <w:ind w:left="568" w:hanging="284"/>
        <w:rPr>
          <w:rFonts w:eastAsia="Batang"/>
          <w:lang w:val="en-US"/>
        </w:rPr>
      </w:pPr>
      <w:r w:rsidRPr="00313E82">
        <w:rPr>
          <w:rFonts w:eastAsia="Batang"/>
          <w:lang w:val="en-US"/>
        </w:rPr>
        <w:t xml:space="preserve">The same considerations already given in section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xml:space="preserve"> apply, if risk is aggregated for at a certain point in time t. For risk aggregation over a time period, the respective formula has been given above, which is a strait forward and consistent operation. The differences to the common application of CDF, time-average, measure should be noted, as explained above. </w:t>
      </w:r>
    </w:p>
    <w:p w:rsidR="00B1664A" w:rsidRPr="00552F4E" w:rsidRDefault="00FF3840">
      <w:pPr>
        <w:ind w:left="284" w:hanging="284"/>
        <w:rPr>
          <w:rFonts w:eastAsia="Batang"/>
          <w:u w:val="single"/>
          <w:lang w:val="en-US"/>
        </w:rPr>
      </w:pPr>
      <w:r w:rsidRPr="00552F4E">
        <w:rPr>
          <w:rFonts w:eastAsia="Batang"/>
          <w:u w:val="single"/>
          <w:lang w:val="en-US"/>
        </w:rPr>
        <w:t xml:space="preserve">Understandability to the PSA community: </w:t>
      </w:r>
    </w:p>
    <w:p w:rsidR="00FF3840" w:rsidRPr="00313E82" w:rsidRDefault="00FF3840" w:rsidP="00B76953">
      <w:pPr>
        <w:ind w:left="568" w:hanging="284"/>
        <w:rPr>
          <w:rFonts w:eastAsia="Batang"/>
          <w:lang w:val="en-US"/>
        </w:rPr>
      </w:pPr>
      <w:r w:rsidRPr="00313E82">
        <w:rPr>
          <w:rFonts w:eastAsia="Batang"/>
          <w:lang w:val="en-US"/>
        </w:rPr>
        <w:t>CDF</w:t>
      </w:r>
      <w:r w:rsidR="00935F51" w:rsidRPr="00313E82">
        <w:rPr>
          <w:rFonts w:eastAsia="Batang"/>
          <w:lang w:val="en-US"/>
        </w:rPr>
        <w:t>, time dependent,</w:t>
      </w:r>
      <w:r w:rsidRPr="00313E82">
        <w:rPr>
          <w:rFonts w:eastAsia="Batang"/>
          <w:lang w:val="en-US"/>
        </w:rPr>
        <w:t xml:space="preserve"> is a widely used risk measure</w:t>
      </w:r>
      <w:r w:rsidR="00935F51" w:rsidRPr="00313E82">
        <w:rPr>
          <w:rFonts w:eastAsia="Batang"/>
          <w:lang w:val="en-US"/>
        </w:rPr>
        <w:t xml:space="preserve"> for risk monitors and other PSA applications, where the time-dependent behavior of the CDF measure is of importance, like for instance risk budgeting for a plant considering planned changes in operating states and (</w:t>
      </w:r>
      <w:r w:rsidR="00510EED">
        <w:rPr>
          <w:rFonts w:eastAsia="Batang"/>
          <w:lang w:val="en-US"/>
        </w:rPr>
        <w:t>“unfortunate”</w:t>
      </w:r>
      <w:r w:rsidR="00935F51" w:rsidRPr="00313E82">
        <w:rPr>
          <w:rFonts w:eastAsia="Batang"/>
          <w:lang w:val="en-US"/>
        </w:rPr>
        <w:t>) operating events</w:t>
      </w:r>
      <w:r w:rsidRPr="00313E82">
        <w:rPr>
          <w:rFonts w:eastAsia="Batang"/>
          <w:lang w:val="en-US"/>
        </w:rPr>
        <w:t xml:space="preserve">. It is well understood in the PSA community as the risk at the end-point of PSA Level 1. Existing ambiguities in the definition of “core damage” do not significantly impede the interpretation of results stated as </w:t>
      </w:r>
      <w:r w:rsidR="00ED103E" w:rsidRPr="00313E82">
        <w:rPr>
          <w:rFonts w:eastAsia="Batang"/>
          <w:lang w:val="en-US"/>
        </w:rPr>
        <w:t>CDF;</w:t>
      </w:r>
      <w:r w:rsidRPr="00313E82">
        <w:rPr>
          <w:rFonts w:eastAsia="Batang"/>
          <w:lang w:val="en-US"/>
        </w:rPr>
        <w:t xml:space="preserve"> they do however hamper comparisons between plants and designs. </w:t>
      </w:r>
    </w:p>
    <w:p w:rsidR="005F4AD7" w:rsidRPr="00313E82" w:rsidRDefault="005F4AD7" w:rsidP="00C94556">
      <w:pPr>
        <w:pStyle w:val="Titre3"/>
        <w:rPr>
          <w:rFonts w:eastAsia="Batang"/>
          <w:lang w:val="en-US"/>
        </w:rPr>
      </w:pPr>
      <w:bookmarkStart w:id="77" w:name="_Toc474430114"/>
      <w:r w:rsidRPr="00313E82">
        <w:rPr>
          <w:rFonts w:eastAsia="Batang"/>
          <w:lang w:val="en-US"/>
        </w:rPr>
        <w:t>Limitation</w:t>
      </w:r>
      <w:bookmarkEnd w:id="77"/>
    </w:p>
    <w:p w:rsidR="005F4AD7" w:rsidRPr="00313E82" w:rsidRDefault="005F4AD7">
      <w:pPr>
        <w:rPr>
          <w:rFonts w:eastAsia="Batang"/>
          <w:lang w:val="en-US"/>
        </w:rPr>
      </w:pPr>
      <w:r w:rsidRPr="00313E82">
        <w:rPr>
          <w:rFonts w:eastAsia="Batang"/>
          <w:lang w:val="en-US"/>
        </w:rPr>
        <w:t xml:space="preserve">The discussion under section </w:t>
      </w:r>
      <w:r w:rsidR="00CD0CBE">
        <w:fldChar w:fldCharType="begin"/>
      </w:r>
      <w:r w:rsidR="00CD0CBE">
        <w:instrText xml:space="preserve"> REF _Ref418066270 \r \h  \* MERGEFORMAT </w:instrText>
      </w:r>
      <w:r w:rsidR="00CD0CBE">
        <w:fldChar w:fldCharType="separate"/>
      </w:r>
      <w:r w:rsidR="00B772CA" w:rsidRPr="00B772CA">
        <w:rPr>
          <w:rFonts w:eastAsia="Batang"/>
          <w:lang w:val="en-US"/>
        </w:rPr>
        <w:t>2.1</w:t>
      </w:r>
      <w:r w:rsidR="00CD0CBE">
        <w:fldChar w:fldCharType="end"/>
      </w:r>
      <w:r w:rsidRPr="00313E82">
        <w:rPr>
          <w:rFonts w:eastAsia="Batang"/>
          <w:lang w:val="en-US"/>
        </w:rPr>
        <w:t xml:space="preserve"> applies. In addition, CDF, time dependent, risk measure </w:t>
      </w:r>
      <w:r w:rsidR="00ED103E">
        <w:rPr>
          <w:rFonts w:eastAsia="Batang"/>
          <w:lang w:val="en-US"/>
        </w:rPr>
        <w:t>analyses</w:t>
      </w:r>
      <w:r w:rsidRPr="00313E82">
        <w:rPr>
          <w:rFonts w:eastAsia="Batang"/>
          <w:lang w:val="en-US"/>
        </w:rPr>
        <w:t xml:space="preserve"> </w:t>
      </w:r>
      <w:r w:rsidR="006E3CED">
        <w:rPr>
          <w:rFonts w:eastAsia="Batang"/>
          <w:lang w:val="en-US"/>
        </w:rPr>
        <w:t>particular plant states</w:t>
      </w:r>
      <w:r w:rsidR="00ED103E">
        <w:rPr>
          <w:rFonts w:eastAsia="Batang"/>
          <w:lang w:val="en-US"/>
        </w:rPr>
        <w:t xml:space="preserve"> existing at the point in time of interest.</w:t>
      </w:r>
      <w:r w:rsidRPr="00313E82">
        <w:rPr>
          <w:rFonts w:eastAsia="Batang"/>
          <w:lang w:val="en-US"/>
        </w:rPr>
        <w:t xml:space="preserve"> </w:t>
      </w:r>
    </w:p>
    <w:p w:rsidR="00FF3840" w:rsidRPr="00313E82" w:rsidRDefault="00FF3840">
      <w:pPr>
        <w:rPr>
          <w:rFonts w:eastAsia="Batang"/>
          <w:lang w:val="en-US"/>
        </w:rPr>
      </w:pPr>
    </w:p>
    <w:p w:rsidR="00FF3840" w:rsidRPr="00313E82" w:rsidRDefault="00FF3840" w:rsidP="00C94556">
      <w:pPr>
        <w:pStyle w:val="Titre3"/>
        <w:rPr>
          <w:rFonts w:eastAsia="Batang"/>
          <w:lang w:val="en-US"/>
        </w:rPr>
      </w:pPr>
      <w:bookmarkStart w:id="78" w:name="_Ref306869805"/>
      <w:bookmarkStart w:id="79" w:name="_Toc474430115"/>
      <w:r w:rsidRPr="00313E82">
        <w:rPr>
          <w:rFonts w:eastAsia="Batang"/>
          <w:lang w:val="en-US"/>
        </w:rPr>
        <w:t xml:space="preserve">ASAMPSA_E recommendation on </w:t>
      </w:r>
      <w:bookmarkEnd w:id="78"/>
      <w:r w:rsidR="00351786">
        <w:rPr>
          <w:rFonts w:eastAsia="Batang"/>
          <w:lang w:val="en-US"/>
        </w:rPr>
        <w:t>CDF (Time Dependent)</w:t>
      </w:r>
      <w:bookmarkEnd w:id="79"/>
    </w:p>
    <w:p w:rsidR="00FF3840" w:rsidRPr="00313E82" w:rsidRDefault="00FF3840">
      <w:pPr>
        <w:rPr>
          <w:rFonts w:eastAsia="Batang"/>
          <w:lang w:val="en-US"/>
        </w:rPr>
      </w:pPr>
      <w:r w:rsidRPr="00313E82">
        <w:rPr>
          <w:rFonts w:eastAsia="Batang"/>
          <w:lang w:val="en-US"/>
        </w:rPr>
        <w:t xml:space="preserve">For the underlying issues on core damage frequency, see section </w:t>
      </w:r>
      <w:r w:rsidR="009E768B" w:rsidRPr="007E0C24">
        <w:rPr>
          <w:rFonts w:eastAsia="Batang"/>
          <w:lang w:val="en-US"/>
        </w:rPr>
        <w:fldChar w:fldCharType="begin"/>
      </w:r>
      <w:r w:rsidRPr="00313E82">
        <w:rPr>
          <w:rFonts w:eastAsia="Batang"/>
          <w:lang w:val="en-US"/>
        </w:rPr>
        <w:instrText xml:space="preserve"> REF _Ref413949061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00935F51" w:rsidRPr="00313E82">
        <w:rPr>
          <w:rFonts w:eastAsia="Batang"/>
          <w:lang w:val="en-US"/>
        </w:rPr>
        <w:t xml:space="preserve">. The same, consistent definitions of CDF and FDF should be applied. With regard to </w:t>
      </w:r>
      <w:r w:rsidR="003C4B8E" w:rsidRPr="00313E82">
        <w:rPr>
          <w:rFonts w:eastAsia="Batang"/>
          <w:lang w:val="en-US"/>
        </w:rPr>
        <w:t xml:space="preserve">CDF, time averaged, the ASAMPSA_E project recommends raising awareness about the limitations of the respective calculation methods. To the extent practicable, the time-averaged value should be computed based on the time-dependent version, cf. section </w:t>
      </w:r>
      <w:r w:rsidR="009E768B" w:rsidRPr="007E0C24">
        <w:rPr>
          <w:rFonts w:eastAsia="Batang"/>
          <w:lang w:val="en-US"/>
        </w:rPr>
        <w:fldChar w:fldCharType="begin"/>
      </w:r>
      <w:r w:rsidR="003C4B8E" w:rsidRPr="00313E82">
        <w:rPr>
          <w:rFonts w:eastAsia="Batang"/>
          <w:lang w:val="en-US"/>
        </w:rPr>
        <w:instrText xml:space="preserve"> REF _Ref413949061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00510EED">
        <w:rPr>
          <w:rFonts w:eastAsia="Batang"/>
          <w:lang w:val="en-US"/>
        </w:rPr>
        <w:t>:</w:t>
      </w:r>
    </w:p>
    <w:p w:rsidR="003C4B8E" w:rsidRDefault="0043746A">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r>
            <w:rPr>
              <w:rFonts w:ascii="Cambria Math" w:eastAsia="Batang" w:hAnsi="Cambria Math"/>
              <w:lang w:val="en-US"/>
            </w:rPr>
            <m:t>φ</m:t>
          </m:r>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e>
          </m:d>
          <m:r>
            <m:rPr>
              <m:sty m:val="p"/>
            </m:rPr>
            <w:rPr>
              <w:rFonts w:eastAsia="Batang"/>
              <w:lang w:val="en-US"/>
            </w:rPr>
            <w:br/>
          </m:r>
        </m:oMath>
      </m:oMathPara>
      <w:r w:rsidR="00D95046" w:rsidRPr="00313E82">
        <w:rPr>
          <w:rFonts w:eastAsia="Batang"/>
          <w:lang w:val="en-US"/>
        </w:rPr>
        <w:t xml:space="preserve">In risk monitors, if </w:t>
      </w:r>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oMath>
      <w:r w:rsidR="00D95046" w:rsidRPr="00313E82">
        <w:rPr>
          <w:rFonts w:eastAsia="Batang"/>
          <w:lang w:val="en-US"/>
        </w:rPr>
        <w:t xml:space="preserve"> considers the current status of the plant including current unavailabilities of components or systems, then </w:t>
      </w:r>
      <m:oMath>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subSup"/>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e>
        </m:nary>
        <m:r>
          <w:rPr>
            <w:rFonts w:ascii="Cambria Math" w:eastAsia="Batang" w:hAnsi="Cambria Math" w:hint="eastAsia"/>
            <w:lang w:val="en-US"/>
          </w:rPr>
          <m:t>d</m:t>
        </m:r>
        <m:r>
          <w:rPr>
            <w:rFonts w:ascii="Cambria Math" w:eastAsia="Batang" w:hAnsi="Cambria Math"/>
            <w:lang w:val="en-US"/>
          </w:rPr>
          <m:t>t</m:t>
        </m:r>
      </m:oMath>
      <w:r w:rsidR="00D95046" w:rsidRPr="00313E82">
        <w:rPr>
          <w:rFonts w:eastAsia="Batang"/>
          <w:lang w:val="en-US"/>
        </w:rPr>
        <w:t xml:space="preserve"> can be used to calculate the risk </w:t>
      </w:r>
      <w:r w:rsidR="001854C0">
        <w:rPr>
          <w:rFonts w:eastAsia="Batang"/>
          <w:lang w:val="en-US"/>
        </w:rPr>
        <w:t>challenge</w:t>
      </w:r>
      <w:r w:rsidR="00D95046" w:rsidRPr="00313E82">
        <w:rPr>
          <w:rFonts w:eastAsia="Batang"/>
          <w:lang w:val="en-US"/>
        </w:rPr>
        <w:t xml:space="preserve"> for a period.</w:t>
      </w:r>
    </w:p>
    <w:p w:rsidR="00850225" w:rsidRDefault="00850225" w:rsidP="00C94556">
      <w:pPr>
        <w:pStyle w:val="Titre2"/>
        <w:rPr>
          <w:rFonts w:eastAsia="Batang"/>
          <w:lang w:val="en-US"/>
        </w:rPr>
      </w:pPr>
      <w:bookmarkStart w:id="80" w:name="_Ref309899023"/>
      <w:bookmarkStart w:id="81" w:name="_Ref316897990"/>
      <w:bookmarkStart w:id="82" w:name="_Ref443997180"/>
      <w:bookmarkStart w:id="83" w:name="_Ref444000959"/>
      <w:bookmarkStart w:id="84" w:name="_Ref444101180"/>
      <w:bookmarkStart w:id="85" w:name="_Ref414021301"/>
      <w:bookmarkStart w:id="86" w:name="_Ref418000534"/>
      <w:bookmarkStart w:id="87" w:name="_Ref418514532"/>
      <w:bookmarkStart w:id="88" w:name="_Toc474430116"/>
      <w:r w:rsidRPr="00313E82">
        <w:rPr>
          <w:rFonts w:eastAsia="Batang"/>
          <w:lang w:val="en-US"/>
        </w:rPr>
        <w:t xml:space="preserve">Change in CDF (Time Average and Time </w:t>
      </w:r>
      <w:r w:rsidR="00EE70E8">
        <w:rPr>
          <w:rFonts w:eastAsia="Batang"/>
          <w:lang w:val="en-US"/>
        </w:rPr>
        <w:t>D</w:t>
      </w:r>
      <w:r w:rsidRPr="00313E82">
        <w:rPr>
          <w:rFonts w:eastAsia="Batang"/>
          <w:lang w:val="en-US"/>
        </w:rPr>
        <w:t>ependent)</w:t>
      </w:r>
      <w:bookmarkEnd w:id="80"/>
      <w:bookmarkEnd w:id="81"/>
      <w:bookmarkEnd w:id="82"/>
      <w:bookmarkEnd w:id="83"/>
      <w:bookmarkEnd w:id="84"/>
      <w:bookmarkEnd w:id="88"/>
    </w:p>
    <w:p w:rsidR="00464DEE" w:rsidRPr="00313E82" w:rsidRDefault="00464DEE">
      <w:pPr>
        <w:rPr>
          <w:rFonts w:eastAsia="Batang"/>
          <w:lang w:val="en-US"/>
        </w:rPr>
      </w:pPr>
      <w:r w:rsidRPr="00313E82">
        <w:rPr>
          <w:rFonts w:eastAsia="Batang"/>
          <w:lang w:val="en-US"/>
        </w:rPr>
        <w:t xml:space="preserve">In the following sections </w:t>
      </w:r>
      <w:r w:rsidR="009E768B" w:rsidRPr="007E0C24">
        <w:rPr>
          <w:rFonts w:eastAsia="Batang"/>
          <w:lang w:val="en-US"/>
        </w:rPr>
        <w:fldChar w:fldCharType="begin"/>
      </w:r>
      <w:r w:rsidRPr="00313E82">
        <w:rPr>
          <w:rFonts w:eastAsia="Batang"/>
          <w:lang w:val="en-US"/>
        </w:rPr>
        <w:instrText xml:space="preserve"> REF _Ref316897990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2.3</w:t>
      </w:r>
      <w:r w:rsidR="009E768B" w:rsidRPr="007E0C24">
        <w:rPr>
          <w:rFonts w:eastAsia="Batang"/>
          <w:lang w:val="en-US"/>
        </w:rPr>
        <w:fldChar w:fldCharType="end"/>
      </w:r>
      <w:r w:rsidRPr="00313E82">
        <w:rPr>
          <w:rFonts w:eastAsia="Batang"/>
          <w:lang w:val="en-US"/>
        </w:rPr>
        <w:t xml:space="preserve"> to </w:t>
      </w:r>
      <w:r w:rsidR="009E768B" w:rsidRPr="007E0C24">
        <w:rPr>
          <w:rFonts w:eastAsia="Batang"/>
          <w:lang w:val="en-US"/>
        </w:rPr>
        <w:fldChar w:fldCharType="begin"/>
      </w:r>
      <w:r w:rsidRPr="00313E82">
        <w:rPr>
          <w:rFonts w:eastAsia="Batang"/>
          <w:lang w:val="en-US"/>
        </w:rPr>
        <w:instrText xml:space="preserve"> REF _Ref306634958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2.10</w:t>
      </w:r>
      <w:r w:rsidR="009E768B" w:rsidRPr="007E0C24">
        <w:rPr>
          <w:rFonts w:eastAsia="Batang"/>
          <w:lang w:val="en-US"/>
        </w:rPr>
        <w:fldChar w:fldCharType="end"/>
      </w:r>
      <w:r w:rsidRPr="00313E82">
        <w:rPr>
          <w:rFonts w:eastAsia="Batang"/>
          <w:lang w:val="en-US"/>
        </w:rPr>
        <w:t>, risk measures (secondary risk measures) derived from the CDF measure are discussed exemplarily. Since the same concepts presented in the following subsections can be applied to all direct (and some secondary) risk measures, the basic definition of the measure and its typical fields of application will be given at some length for the case of CDF. For other direct risk measures, only relevant differences or issues for special consideration will be mentioned.</w:t>
      </w:r>
    </w:p>
    <w:p w:rsidR="00850225" w:rsidRPr="00313E82" w:rsidRDefault="00850225" w:rsidP="00C94556">
      <w:pPr>
        <w:pStyle w:val="Titre3"/>
        <w:rPr>
          <w:rFonts w:eastAsia="Batang"/>
          <w:lang w:val="en-US"/>
        </w:rPr>
      </w:pPr>
      <w:bookmarkStart w:id="89" w:name="_Ref429575356"/>
      <w:bookmarkStart w:id="90" w:name="_Toc474430117"/>
      <w:r w:rsidRPr="00313E82">
        <w:rPr>
          <w:rFonts w:eastAsia="Batang"/>
          <w:lang w:val="en-US"/>
        </w:rPr>
        <w:lastRenderedPageBreak/>
        <w:t>Definition of Risk Measure</w:t>
      </w:r>
      <w:bookmarkEnd w:id="89"/>
      <w:bookmarkEnd w:id="90"/>
    </w:p>
    <w:p w:rsidR="00850225" w:rsidRPr="00313E82" w:rsidRDefault="00850225">
      <w:pPr>
        <w:rPr>
          <w:rFonts w:eastAsia="Batang"/>
          <w:lang w:val="en-US"/>
        </w:rPr>
      </w:pPr>
      <w:r w:rsidRPr="00313E82">
        <w:rPr>
          <w:rFonts w:eastAsia="Batang"/>
          <w:lang w:val="en-US"/>
        </w:rPr>
        <w:t>Evidently, risk measures reflecting changes in core damage frequency are the most commonly applied secondary relative risk measures originated by the direct risk measure of core damage frequency. Time average and time dependent changes of core damage frequency can also be interpreted.</w:t>
      </w:r>
    </w:p>
    <w:p w:rsidR="00850225" w:rsidRPr="00313E82" w:rsidRDefault="00850225">
      <w:pPr>
        <w:rPr>
          <w:rFonts w:eastAsia="Batang"/>
          <w:lang w:val="en-US"/>
        </w:rPr>
      </w:pPr>
      <w:r w:rsidRPr="00313E82">
        <w:rPr>
          <w:rFonts w:eastAsia="Batang"/>
          <w:lang w:val="en-US"/>
        </w:rPr>
        <w:t xml:space="preserve">The assessment related to time average changes of core damage frequency is usually based on the impact due </w:t>
      </w:r>
      <w:r w:rsidR="00E27E5E">
        <w:rPr>
          <w:rFonts w:eastAsia="Batang"/>
          <w:lang w:val="en-US"/>
        </w:rPr>
        <w:t>to a</w:t>
      </w:r>
      <w:r w:rsidR="00E27E5E" w:rsidRPr="00313E82">
        <w:rPr>
          <w:rFonts w:eastAsia="Batang"/>
          <w:lang w:val="en-US"/>
        </w:rPr>
        <w:t xml:space="preserve"> </w:t>
      </w:r>
      <w:r w:rsidRPr="00313E82">
        <w:rPr>
          <w:rFonts w:eastAsia="Batang"/>
          <w:lang w:val="en-US"/>
        </w:rPr>
        <w:t xml:space="preserve">modification being evaluated </w:t>
      </w:r>
      <w:r w:rsidRPr="00313E82">
        <w:rPr>
          <w:lang w:val="en-US"/>
        </w:rPr>
        <w:t xml:space="preserve">from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w:r w:rsidRPr="00313E82">
        <w:rPr>
          <w:lang w:val="en-US"/>
        </w:rPr>
        <w:t xml:space="preserve"> to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w:r w:rsidRPr="00313E82">
        <w:rPr>
          <w:lang w:val="en-US"/>
        </w:rPr>
        <w:t xml:space="preserve"> relative to a “baseline” value</w:t>
      </w:r>
      <w:r w:rsidRPr="00313E82">
        <w:rPr>
          <w:rFonts w:eastAsia="Batang"/>
          <w:lang w:val="en-US"/>
        </w:rPr>
        <w:t>. The change may be due to an observed degradation, design change, procedure change, change in test, maintenance or inspection practice, change in performance of an SSC, or changes to any input or assumption associated with the PSA model</w:t>
      </w:r>
      <w:r w:rsidR="00E27E5E">
        <w:rPr>
          <w:rFonts w:eastAsia="Batang"/>
          <w:lang w:val="en-US"/>
        </w:rPr>
        <w:t>,</w:t>
      </w:r>
      <w:r w:rsidRPr="00313E82">
        <w:rPr>
          <w:rFonts w:eastAsia="Batang"/>
          <w:lang w:val="en-US"/>
        </w:rPr>
        <w:t xml:space="preserve"> etc. Therefore the change in the risk measure associated with the measure for significant degradation of the reactor core (</w:t>
      </w:r>
      <w:r w:rsidRPr="00313E82">
        <w:rPr>
          <w:rFonts w:eastAsia="Batang"/>
          <w:i/>
          <w:lang w:val="en-US"/>
        </w:rPr>
        <w:t>CD</w:t>
      </w:r>
      <w:r w:rsidRPr="00313E82">
        <w:rPr>
          <w:rFonts w:eastAsia="Batang"/>
          <w:lang w:val="en-US"/>
        </w:rPr>
        <w:t>) is:</w:t>
      </w:r>
    </w:p>
    <w:p w:rsidR="00850225" w:rsidRPr="00313E82" w:rsidRDefault="00850225">
      <w:pPr>
        <w:rPr>
          <w:rFonts w:eastAsia="Batang"/>
          <w:lang w:val="en-US"/>
        </w:rPr>
      </w:pPr>
    </w:p>
    <w:p w:rsidR="00850225" w:rsidRPr="00313E82" w:rsidRDefault="00850225">
      <w:pPr>
        <w:rPr>
          <w:i/>
          <w:lang w:val="en-US"/>
        </w:rPr>
      </w:pPr>
      <m:oMathPara>
        <m:oMath>
          <m:r>
            <w:rPr>
              <w:rFonts w:ascii="Cambria Math" w:eastAsia="Batang" w:hAnsi="Cambria Math"/>
              <w:lang w:val="en-US"/>
            </w:rPr>
            <m:t>ΔCDF,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r>
            <w:rPr>
              <w:rFonts w:ascii="Cambria Math"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m:t>
          </m:r>
        </m:oMath>
      </m:oMathPara>
    </w:p>
    <w:p w:rsidR="00850225" w:rsidRPr="00313E82" w:rsidRDefault="00850225">
      <w:pPr>
        <w:rPr>
          <w:rFonts w:eastAsia="Batang"/>
          <w:lang w:val="en-US"/>
        </w:rPr>
      </w:pPr>
    </w:p>
    <w:p w:rsidR="00850225" w:rsidRPr="00313E82" w:rsidRDefault="00850225">
      <w:pPr>
        <w:rPr>
          <w:rFonts w:eastAsia="Batang"/>
          <w:lang w:val="en-US"/>
        </w:rPr>
      </w:pPr>
      <w:r w:rsidRPr="00313E82">
        <w:rPr>
          <w:rFonts w:eastAsia="Batang"/>
          <w:lang w:val="en-US"/>
        </w:rPr>
        <w:t xml:space="preserve">Furthermore, time average change in core damage frequency needs to be evaluated at a specific point in time, </w:t>
      </w:r>
      <w:r w:rsidRPr="00313E82">
        <w:rPr>
          <w:rFonts w:eastAsia="Batang"/>
          <w:i/>
          <w:lang w:val="en-US"/>
        </w:rPr>
        <w:t>T</w:t>
      </w:r>
      <w:r w:rsidRPr="00313E82">
        <w:rPr>
          <w:rFonts w:eastAsia="Batang"/>
          <w:lang w:val="en-US"/>
        </w:rPr>
        <w:t>. In this manner time-averaging can be performed by using the following formula:</w:t>
      </w:r>
    </w:p>
    <w:p w:rsidR="00850225" w:rsidRPr="00313E82" w:rsidRDefault="00850225">
      <w:pPr>
        <w:rPr>
          <w:rFonts w:eastAsia="Batang"/>
          <w:lang w:val="en-US"/>
        </w:rPr>
      </w:pPr>
    </w:p>
    <w:p w:rsidR="00850225" w:rsidRPr="00313E82" w:rsidRDefault="00850225">
      <w:pPr>
        <w:rPr>
          <w:rFonts w:eastAsia="Batang"/>
          <w:i/>
          <w:lang w:val="en-US"/>
        </w:rPr>
      </w:pPr>
      <m:oMathPara>
        <m:oMath>
          <m:r>
            <w:rPr>
              <w:rFonts w:ascii="Cambria Math" w:eastAsia="Batang" w:hAnsi="Cambria Math"/>
              <w:lang w:val="en-US"/>
            </w:rPr>
            <m:t>ΔCDF,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r>
            <w:rPr>
              <w:rFonts w:ascii="Cambria Math" w:eastAsia="Batang" w:hAnsi="Cambria Math" w:hint="eastAsia"/>
              <w:lang w:val="en-US"/>
            </w:rPr>
            <m:t xml:space="preserve">= </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i/>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i/>
                      <w:lang w:val="en-US"/>
                    </w:rPr>
                    <m:t>av</m:t>
                  </m:r>
                </m:sub>
              </m:sSub>
            </m:sup>
            <m:e>
              <m:r>
                <w:rPr>
                  <w:rFonts w:ascii="Cambria Math" w:eastAsia="Batang" w:hAnsi="Cambria Math"/>
                  <w:lang w:val="en-US"/>
                </w:rPr>
                <m:t>ΔCDF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i/>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i/>
                      <w:lang w:val="en-US"/>
                    </w:rPr>
                    <m:t>av</m:t>
                  </m:r>
                </m:sub>
              </m:sSub>
            </m:sup>
            <m:e>
              <m:r>
                <w:rPr>
                  <w:rFonts w:ascii="Cambria Math" w:hAnsi="Cambria Math"/>
                  <w:lang w:val="en-US"/>
                </w:rPr>
                <m:t>(CDF</m:t>
              </m:r>
              <m:d>
                <m:dPr>
                  <m:ctrlPr>
                    <w:rPr>
                      <w:rFonts w:ascii="Cambria Math" w:hAnsi="Cambria Math"/>
                      <w:i/>
                      <w:lang w:val="en-US"/>
                    </w:rPr>
                  </m:ctrlPr>
                </m:dPr>
                <m:e>
                  <m:r>
                    <w:rPr>
                      <w:rFonts w:ascii="Cambria Math" w:hAnsi="Cambria Math"/>
                      <w:lang w:val="en-US"/>
                    </w:rPr>
                    <m:t>t</m:t>
                  </m:r>
                </m:e>
              </m:d>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-CDF</m:t>
                  </m:r>
                  <m:d>
                    <m:dPr>
                      <m:ctrlPr>
                        <w:rPr>
                          <w:rFonts w:ascii="Cambria Math" w:hAnsi="Cambria Math"/>
                          <w:i/>
                          <w:lang w:val="en-US"/>
                        </w:rPr>
                      </m:ctrlPr>
                    </m:dPr>
                    <m:e>
                      <m:r>
                        <w:rPr>
                          <w:rFonts w:ascii="Cambria Math" w:hAnsi="Cambria Math"/>
                          <w:lang w:val="en-US"/>
                        </w:rPr>
                        <m:t>t</m:t>
                      </m:r>
                    </m:e>
                  </m:d>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eastAsia="Batang" w:hAnsi="Cambria Math"/>
                  <w:lang w:val="en-US"/>
                </w:rPr>
                <m:t>)dt</m:t>
              </m:r>
            </m:e>
          </m:nary>
        </m:oMath>
      </m:oMathPara>
    </w:p>
    <w:p w:rsidR="00850225" w:rsidRPr="00313E82" w:rsidRDefault="00850225">
      <w:pPr>
        <w:rPr>
          <w:rFonts w:eastAsia="Batang"/>
          <w:lang w:val="en-US"/>
        </w:rPr>
      </w:pPr>
    </w:p>
    <w:p w:rsidR="00850225" w:rsidRPr="00313E82" w:rsidRDefault="00850225" w:rsidP="00ED103E">
      <w:pPr>
        <w:rPr>
          <w:rFonts w:eastAsia="Batang"/>
          <w:lang w:val="en-US"/>
        </w:rPr>
      </w:pPr>
      <w:r w:rsidRPr="00313E82">
        <w:rPr>
          <w:rFonts w:eastAsia="Batang"/>
          <w:lang w:val="en-US"/>
        </w:rPr>
        <w:t>Time dependent changes in the core damage frequency reflects the difference between the core damage frequency relevant for two certain points of time</w:t>
      </w:r>
      <w:r w:rsidR="006E3CED">
        <w:rPr>
          <w:rFonts w:eastAsia="Batang"/>
          <w:lang w:val="en-US"/>
        </w:rPr>
        <w:t xml:space="preserve"> with the associated particular plant states</w:t>
      </w:r>
      <w:r w:rsidRPr="00313E82">
        <w:rPr>
          <w:rFonts w:eastAsia="Batang"/>
          <w:lang w:val="en-US"/>
        </w:rPr>
        <w:t>. Obviously, for the calculation of this time dependent relative risk measure, time dependent core damage frequency as a direct risk measure needs to be taken into consideration. The secondary risk measure is simply defined by</w:t>
      </w:r>
    </w:p>
    <w:p w:rsidR="00850225" w:rsidRPr="00313E82" w:rsidRDefault="00850225">
      <w:pPr>
        <w:rPr>
          <w:rFonts w:eastAsia="Batang"/>
          <w:lang w:val="en-US"/>
        </w:rPr>
      </w:pPr>
    </w:p>
    <w:p w:rsidR="00850225" w:rsidRPr="00313E82" w:rsidRDefault="00850225">
      <w:pPr>
        <w:rPr>
          <w:rFonts w:eastAsia="Batang"/>
          <w:i/>
          <w:lang w:val="en-US"/>
        </w:rPr>
      </w:pPr>
      <m:oMathPara>
        <m:oMath>
          <m:r>
            <w:rPr>
              <w:rFonts w:ascii="Cambria Math" w:eastAsia="Batang" w:hAnsi="Cambria Math"/>
              <w:lang w:val="en-US"/>
            </w:rPr>
            <m:t>ΔCDF</m:t>
          </m:r>
          <m:d>
            <m:dPr>
              <m:ctrlPr>
                <w:rPr>
                  <w:rFonts w:ascii="Cambria Math" w:eastAsia="Batang" w:hAnsi="Cambria Math"/>
                  <w:i/>
                  <w:lang w:val="en-US"/>
                </w:rPr>
              </m:ctrlPr>
            </m:dPr>
            <m:e>
              <m:r>
                <w:rPr>
                  <w:rFonts w:ascii="Cambria Math" w:eastAsia="Batang" w:hAnsi="Cambria Math"/>
                  <w:lang w:val="en-US"/>
                </w:rPr>
                <m:t>t,</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0</m:t>
                  </m:r>
                </m:sub>
              </m:sSub>
            </m:e>
          </m:d>
          <m:r>
            <w:rPr>
              <w:rFonts w:ascii="Cambria Math" w:eastAsia="Batang" w:hAnsi="Cambria Math" w:hint="eastAsia"/>
              <w:lang w:val="en-US"/>
            </w:rPr>
            <m:t>=</m:t>
          </m:r>
          <m:r>
            <w:rPr>
              <w:rFonts w:ascii="Cambria Math" w:eastAsia="Batang" w:hAnsi="Cambria Math"/>
              <w:lang w:val="en-US"/>
            </w:rPr>
            <m:t>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0</m:t>
              </m:r>
            </m:sub>
          </m:sSub>
          <m:r>
            <w:rPr>
              <w:rFonts w:ascii="Cambria Math" w:eastAsia="Batang" w:hAnsi="Cambria Math" w:hint="eastAsia"/>
              <w:lang w:val="en-US"/>
            </w:rPr>
            <m:t>)</m:t>
          </m:r>
        </m:oMath>
      </m:oMathPara>
    </w:p>
    <w:p w:rsidR="00850225" w:rsidRPr="00313E82" w:rsidRDefault="00850225" w:rsidP="00C94556">
      <w:pPr>
        <w:pStyle w:val="Titre3"/>
        <w:rPr>
          <w:rFonts w:eastAsia="Batang"/>
          <w:lang w:val="en-US"/>
        </w:rPr>
      </w:pPr>
      <w:bookmarkStart w:id="91" w:name="_Toc474430118"/>
      <w:r w:rsidRPr="00313E82">
        <w:rPr>
          <w:rFonts w:eastAsia="Batang"/>
          <w:lang w:val="en-US"/>
        </w:rPr>
        <w:t>Areas of application:</w:t>
      </w:r>
      <w:bookmarkEnd w:id="91"/>
    </w:p>
    <w:p w:rsidR="00850225" w:rsidRPr="00313E82" w:rsidRDefault="00850225" w:rsidP="00741D3C">
      <w:pPr>
        <w:rPr>
          <w:rFonts w:eastAsia="Batang"/>
          <w:lang w:val="en-US"/>
        </w:rPr>
      </w:pPr>
      <w:r w:rsidRPr="00313E82">
        <w:rPr>
          <w:rFonts w:eastAsia="Batang"/>
          <w:lang w:val="en-US"/>
        </w:rPr>
        <w:t>The change in CDF is a widely applied secondary risk measure in several PSA application areas, since it usually reflects some modification on the plant (e.g. change in the design, procedures, test, maintenance or inspection practice) or refinement to any input or assumption associated with the PSA model. In this manner it can be used, amongst others, for planning and prioritizing purposes. Her</w:t>
      </w:r>
      <w:r w:rsidR="00070DD1" w:rsidRPr="00313E82">
        <w:rPr>
          <w:rFonts w:eastAsia="Batang"/>
          <w:lang w:val="en-US"/>
        </w:rPr>
        <w:t>e</w:t>
      </w:r>
      <w:r w:rsidRPr="00313E82">
        <w:rPr>
          <w:rFonts w:eastAsia="Batang"/>
          <w:lang w:val="en-US"/>
        </w:rPr>
        <w:t xml:space="preserve">by we list some examples of PSA applications that have relevance concerning the change of CDF risk measures (for a more comprehensive presentation see </w:t>
      </w:r>
      <w:r w:rsidR="009E768B" w:rsidRPr="007E0C24">
        <w:rPr>
          <w:rFonts w:eastAsia="Batang"/>
          <w:lang w:val="en-US"/>
        </w:rPr>
        <w:fldChar w:fldCharType="begin"/>
      </w:r>
      <w:r w:rsidRPr="00313E82">
        <w:rPr>
          <w:rFonts w:eastAsia="Batang"/>
          <w:lang w:val="en-US"/>
        </w:rPr>
        <w:instrText xml:space="preserve"> REF _Ref399743302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[65]</w:t>
      </w:r>
      <w:r w:rsidR="009E768B" w:rsidRPr="007E0C24">
        <w:rPr>
          <w:rFonts w:eastAsia="Batang"/>
          <w:lang w:val="en-US"/>
        </w:rPr>
        <w:fldChar w:fldCharType="end"/>
      </w:r>
      <w:r w:rsidRPr="00313E82">
        <w:rPr>
          <w:rFonts w:eastAsia="Batang"/>
          <w:lang w:val="en-US"/>
        </w:rPr>
        <w:t>):</w:t>
      </w:r>
    </w:p>
    <w:p w:rsidR="00850225" w:rsidRPr="00313E82" w:rsidRDefault="00850225" w:rsidP="00D873A7">
      <w:pPr>
        <w:pStyle w:val="Paragraphedeliste"/>
        <w:numPr>
          <w:ilvl w:val="0"/>
          <w:numId w:val="21"/>
        </w:numPr>
        <w:rPr>
          <w:rFonts w:eastAsia="Batang"/>
          <w:lang w:val="en-US"/>
        </w:rPr>
      </w:pPr>
      <w:r w:rsidRPr="00313E82">
        <w:rPr>
          <w:rFonts w:eastAsia="Batang"/>
          <w:lang w:val="en-US"/>
        </w:rPr>
        <w:t>NPP upgrades, backfitting activities and plant modifications,</w:t>
      </w:r>
    </w:p>
    <w:p w:rsidR="00850225" w:rsidRPr="00313E82" w:rsidRDefault="00850225" w:rsidP="003651CB">
      <w:pPr>
        <w:pStyle w:val="Paragraphedeliste"/>
        <w:numPr>
          <w:ilvl w:val="0"/>
          <w:numId w:val="21"/>
        </w:numPr>
        <w:rPr>
          <w:rFonts w:eastAsia="Batang"/>
          <w:lang w:val="en-US"/>
        </w:rPr>
      </w:pPr>
      <w:r w:rsidRPr="00313E82">
        <w:rPr>
          <w:rFonts w:eastAsia="Batang"/>
          <w:lang w:val="en-US"/>
        </w:rPr>
        <w:t>risk-informed support to plant ageing management programs,</w:t>
      </w:r>
    </w:p>
    <w:p w:rsidR="00850225" w:rsidRPr="00313E82" w:rsidRDefault="00850225" w:rsidP="009E13CC">
      <w:pPr>
        <w:pStyle w:val="Paragraphedeliste"/>
        <w:numPr>
          <w:ilvl w:val="0"/>
          <w:numId w:val="21"/>
        </w:numPr>
        <w:rPr>
          <w:rFonts w:eastAsia="Batang"/>
          <w:lang w:val="en-US"/>
        </w:rPr>
      </w:pPr>
      <w:r w:rsidRPr="00313E82">
        <w:rPr>
          <w:rFonts w:eastAsia="Batang"/>
          <w:lang w:val="en-US"/>
        </w:rPr>
        <w:t>risk monitor,</w:t>
      </w:r>
    </w:p>
    <w:p w:rsidR="00850225" w:rsidRPr="00313E82" w:rsidRDefault="00850225" w:rsidP="000C1ABB">
      <w:pPr>
        <w:pStyle w:val="Paragraphedeliste"/>
        <w:numPr>
          <w:ilvl w:val="0"/>
          <w:numId w:val="21"/>
        </w:numPr>
        <w:rPr>
          <w:rFonts w:eastAsia="Batang"/>
          <w:lang w:val="en-US"/>
        </w:rPr>
      </w:pPr>
      <w:r w:rsidRPr="00313E82">
        <w:rPr>
          <w:rFonts w:eastAsia="Batang"/>
          <w:lang w:val="en-US"/>
        </w:rPr>
        <w:t>periodic safety review,</w:t>
      </w:r>
    </w:p>
    <w:p w:rsidR="00850225" w:rsidRPr="00313E82" w:rsidRDefault="00850225" w:rsidP="0077117F">
      <w:pPr>
        <w:pStyle w:val="Paragraphedeliste"/>
        <w:numPr>
          <w:ilvl w:val="0"/>
          <w:numId w:val="21"/>
        </w:numPr>
        <w:rPr>
          <w:rFonts w:eastAsia="Batang"/>
          <w:lang w:val="en-US"/>
        </w:rPr>
      </w:pPr>
      <w:r w:rsidRPr="00313E82">
        <w:rPr>
          <w:rFonts w:eastAsia="Batang"/>
          <w:lang w:val="en-US"/>
        </w:rPr>
        <w:t xml:space="preserve">development and improvement of the emergency </w:t>
      </w:r>
      <w:r w:rsidRPr="00C94556">
        <w:rPr>
          <w:lang w:val="en-US"/>
        </w:rPr>
        <w:t>operating procedures,</w:t>
      </w:r>
    </w:p>
    <w:p w:rsidR="00850225" w:rsidRPr="00313E82" w:rsidRDefault="00850225" w:rsidP="008F58CE">
      <w:pPr>
        <w:pStyle w:val="Paragraphedeliste"/>
        <w:numPr>
          <w:ilvl w:val="0"/>
          <w:numId w:val="21"/>
        </w:numPr>
        <w:rPr>
          <w:rFonts w:eastAsia="Batang"/>
          <w:lang w:val="en-US"/>
        </w:rPr>
      </w:pPr>
      <w:r w:rsidRPr="00C94556">
        <w:rPr>
          <w:lang w:val="en-US"/>
        </w:rPr>
        <w:t xml:space="preserve">improvement of operator / </w:t>
      </w:r>
      <w:r w:rsidRPr="00313E82">
        <w:rPr>
          <w:rFonts w:eastAsia="Batang"/>
          <w:lang w:val="en-US"/>
        </w:rPr>
        <w:t>maintenance personnel</w:t>
      </w:r>
      <w:r w:rsidRPr="00C94556">
        <w:rPr>
          <w:lang w:val="en-US"/>
        </w:rPr>
        <w:t xml:space="preserve"> training program,</w:t>
      </w:r>
    </w:p>
    <w:p w:rsidR="00850225" w:rsidRPr="00313E82" w:rsidRDefault="00850225" w:rsidP="008F58CE">
      <w:pPr>
        <w:pStyle w:val="Paragraphedeliste"/>
        <w:numPr>
          <w:ilvl w:val="0"/>
          <w:numId w:val="21"/>
        </w:numPr>
        <w:rPr>
          <w:rFonts w:eastAsia="Batang"/>
          <w:lang w:val="en-US"/>
        </w:rPr>
      </w:pPr>
      <w:r w:rsidRPr="00C94556">
        <w:rPr>
          <w:lang w:val="en-US"/>
        </w:rPr>
        <w:t>maintenance program optimization,</w:t>
      </w:r>
    </w:p>
    <w:p w:rsidR="00850225" w:rsidRPr="00313E82" w:rsidRDefault="00850225" w:rsidP="001D1209">
      <w:pPr>
        <w:pStyle w:val="Paragraphedeliste"/>
        <w:numPr>
          <w:ilvl w:val="0"/>
          <w:numId w:val="21"/>
        </w:numPr>
        <w:rPr>
          <w:rFonts w:eastAsia="Batang"/>
          <w:lang w:val="en-US"/>
        </w:rPr>
      </w:pPr>
      <w:r w:rsidRPr="00313E82">
        <w:rPr>
          <w:rFonts w:eastAsia="Batang"/>
          <w:lang w:val="en-US"/>
        </w:rPr>
        <w:lastRenderedPageBreak/>
        <w:t>exemptions to technical specifications and justification for continued operation,</w:t>
      </w:r>
    </w:p>
    <w:p w:rsidR="00850225" w:rsidRPr="00313E82" w:rsidRDefault="00850225" w:rsidP="00844BBF">
      <w:pPr>
        <w:pStyle w:val="Paragraphedeliste"/>
        <w:numPr>
          <w:ilvl w:val="0"/>
          <w:numId w:val="21"/>
        </w:numPr>
        <w:rPr>
          <w:rFonts w:eastAsia="Batang"/>
          <w:lang w:val="en-US"/>
        </w:rPr>
      </w:pPr>
      <w:r w:rsidRPr="00313E82">
        <w:rPr>
          <w:rFonts w:eastAsia="Batang"/>
          <w:lang w:val="en-US"/>
        </w:rPr>
        <w:t>determination and evaluation of changes to allowed outage times and changes to required technical specification actions,</w:t>
      </w:r>
    </w:p>
    <w:p w:rsidR="00850225" w:rsidRPr="00313E82" w:rsidRDefault="00850225" w:rsidP="00844BBF">
      <w:pPr>
        <w:pStyle w:val="Paragraphedeliste"/>
        <w:numPr>
          <w:ilvl w:val="0"/>
          <w:numId w:val="21"/>
        </w:numPr>
        <w:rPr>
          <w:rFonts w:eastAsia="Batang"/>
          <w:lang w:val="en-US"/>
        </w:rPr>
      </w:pPr>
      <w:r w:rsidRPr="00313E82">
        <w:rPr>
          <w:rFonts w:eastAsia="Batang"/>
          <w:lang w:val="en-US"/>
        </w:rPr>
        <w:t>determination and evaluation of changes to surveillance test intervals,</w:t>
      </w:r>
    </w:p>
    <w:p w:rsidR="00850225" w:rsidRPr="00313E82" w:rsidRDefault="00850225" w:rsidP="009F66C3">
      <w:pPr>
        <w:pStyle w:val="Paragraphedeliste"/>
        <w:numPr>
          <w:ilvl w:val="0"/>
          <w:numId w:val="21"/>
        </w:numPr>
        <w:rPr>
          <w:rFonts w:eastAsia="Batang"/>
          <w:lang w:val="en-US"/>
        </w:rPr>
      </w:pPr>
      <w:r w:rsidRPr="00313E82">
        <w:rPr>
          <w:rFonts w:eastAsia="Batang"/>
          <w:lang w:val="en-US"/>
        </w:rPr>
        <w:t>risk-informed in-service inspections / testing,</w:t>
      </w:r>
    </w:p>
    <w:p w:rsidR="00850225" w:rsidRPr="00313E82" w:rsidRDefault="00850225" w:rsidP="009F66C3">
      <w:pPr>
        <w:pStyle w:val="Paragraphedeliste"/>
        <w:numPr>
          <w:ilvl w:val="0"/>
          <w:numId w:val="21"/>
        </w:numPr>
        <w:rPr>
          <w:rFonts w:eastAsia="Batang"/>
          <w:lang w:val="en-US"/>
        </w:rPr>
      </w:pPr>
      <w:r w:rsidRPr="00313E82">
        <w:rPr>
          <w:rFonts w:eastAsia="Batang"/>
          <w:lang w:val="en-US"/>
        </w:rPr>
        <w:t>planning and prioritization of inspection activities,</w:t>
      </w:r>
    </w:p>
    <w:p w:rsidR="00850225" w:rsidRPr="00313E82" w:rsidRDefault="00850225" w:rsidP="009F66C3">
      <w:pPr>
        <w:pStyle w:val="Paragraphedeliste"/>
        <w:numPr>
          <w:ilvl w:val="0"/>
          <w:numId w:val="21"/>
        </w:numPr>
        <w:rPr>
          <w:rFonts w:eastAsia="Batang"/>
          <w:lang w:val="en-US"/>
        </w:rPr>
      </w:pPr>
      <w:r w:rsidRPr="00C94556">
        <w:rPr>
          <w:lang w:val="en-US"/>
        </w:rPr>
        <w:t>risk evaluation of corrective measures,</w:t>
      </w:r>
    </w:p>
    <w:p w:rsidR="00850225" w:rsidRPr="00313E82" w:rsidRDefault="00680B18" w:rsidP="009F66C3">
      <w:pPr>
        <w:pStyle w:val="Paragraphedeliste"/>
        <w:numPr>
          <w:ilvl w:val="0"/>
          <w:numId w:val="21"/>
        </w:numPr>
        <w:rPr>
          <w:rFonts w:eastAsia="Batang"/>
          <w:lang w:val="en-US"/>
        </w:rPr>
      </w:pPr>
      <w:r w:rsidRPr="00C94556">
        <w:rPr>
          <w:lang w:val="en-US"/>
        </w:rPr>
        <w:t>long</w:t>
      </w:r>
      <w:r>
        <w:rPr>
          <w:lang w:val="en-US"/>
        </w:rPr>
        <w:t>-</w:t>
      </w:r>
      <w:r w:rsidR="00850225" w:rsidRPr="00C94556">
        <w:rPr>
          <w:lang w:val="en-US"/>
        </w:rPr>
        <w:t>term regulatory decisions.</w:t>
      </w:r>
    </w:p>
    <w:p w:rsidR="00850225" w:rsidRPr="00313E82" w:rsidRDefault="00850225" w:rsidP="00C94556">
      <w:pPr>
        <w:pStyle w:val="Titre3"/>
        <w:rPr>
          <w:rFonts w:eastAsia="Batang"/>
          <w:lang w:val="en-US"/>
        </w:rPr>
      </w:pPr>
      <w:bookmarkStart w:id="92" w:name="_Ref306873252"/>
      <w:bookmarkStart w:id="93" w:name="_Toc474430119"/>
      <w:r w:rsidRPr="00313E82">
        <w:rPr>
          <w:rFonts w:eastAsia="Batang"/>
          <w:lang w:val="en-US"/>
        </w:rPr>
        <w:t>Discussion</w:t>
      </w:r>
      <w:bookmarkEnd w:id="92"/>
      <w:bookmarkEnd w:id="93"/>
    </w:p>
    <w:p w:rsidR="00B1664A" w:rsidRDefault="00850225">
      <w:pPr>
        <w:rPr>
          <w:rFonts w:eastAsia="Batang"/>
          <w:lang w:val="en-US"/>
        </w:rPr>
      </w:pPr>
      <w:r w:rsidRPr="00552F4E">
        <w:rPr>
          <w:rFonts w:eastAsia="Batang"/>
          <w:u w:val="single"/>
          <w:lang w:val="en-US"/>
        </w:rPr>
        <w:t>Validity</w:t>
      </w:r>
      <w:r w:rsidRPr="00313E82">
        <w:rPr>
          <w:rFonts w:eastAsia="Batang"/>
          <w:lang w:val="en-US"/>
        </w:rPr>
        <w:t xml:space="preserve">: </w:t>
      </w:r>
    </w:p>
    <w:p w:rsidR="00850225" w:rsidRDefault="00850225" w:rsidP="00B76953">
      <w:pPr>
        <w:ind w:left="709"/>
        <w:rPr>
          <w:rFonts w:eastAsia="Batang"/>
          <w:lang w:val="en-US"/>
        </w:rPr>
      </w:pPr>
      <w:r w:rsidRPr="00313E82">
        <w:rPr>
          <w:rFonts w:eastAsia="Batang"/>
          <w:lang w:val="en-US"/>
        </w:rPr>
        <w:t xml:space="preserve">The risk measure of change in CDF compares two scenarios </w:t>
      </w:r>
      <w:r w:rsidR="00325CD1">
        <w:rPr>
          <w:rFonts w:eastAsia="Batang"/>
          <w:lang w:val="en-US"/>
        </w:rPr>
        <w:t xml:space="preserve">(before and after a change) </w:t>
      </w:r>
      <w:r w:rsidRPr="00313E82">
        <w:rPr>
          <w:rFonts w:eastAsia="Batang"/>
          <w:lang w:val="en-US"/>
        </w:rPr>
        <w:t xml:space="preserve">with respect to their impact on plant safety. In this manner, change in CDF is a valid secondary risk measure for most purposes providing relevant information to PSA specialists and decision makers. Furthermore, similarly to the risk measure of CDF, the change in CDF cannot reflect </w:t>
      </w:r>
      <w:r w:rsidR="00325CD1">
        <w:rPr>
          <w:rFonts w:eastAsia="Batang"/>
          <w:lang w:val="en-US"/>
        </w:rPr>
        <w:t xml:space="preserve">risks associated to </w:t>
      </w:r>
      <w:r w:rsidRPr="00313E82">
        <w:rPr>
          <w:rFonts w:eastAsia="Batang"/>
          <w:lang w:val="en-US"/>
        </w:rPr>
        <w:t>very large release or only a small release.</w:t>
      </w:r>
    </w:p>
    <w:p w:rsidR="005911F8" w:rsidRPr="00313E82" w:rsidRDefault="005911F8">
      <w:pPr>
        <w:rPr>
          <w:rFonts w:eastAsia="Batang"/>
          <w:lang w:val="en-US"/>
        </w:rPr>
      </w:pPr>
    </w:p>
    <w:p w:rsidR="00B1664A" w:rsidRDefault="00850225">
      <w:pPr>
        <w:rPr>
          <w:rFonts w:eastAsia="Batang"/>
          <w:lang w:val="en-US"/>
        </w:rPr>
      </w:pPr>
      <w:r w:rsidRPr="00552F4E">
        <w:rPr>
          <w:rFonts w:eastAsia="Batang"/>
          <w:u w:val="single"/>
          <w:lang w:val="en-US"/>
        </w:rPr>
        <w:t>Reliability</w:t>
      </w:r>
      <w:r w:rsidRPr="00313E82">
        <w:rPr>
          <w:rFonts w:eastAsia="Batang"/>
          <w:lang w:val="en-US"/>
        </w:rPr>
        <w:t xml:space="preserve">: </w:t>
      </w:r>
    </w:p>
    <w:p w:rsidR="00850225" w:rsidRDefault="00850225" w:rsidP="00262C82">
      <w:pPr>
        <w:ind w:left="709"/>
        <w:rPr>
          <w:rFonts w:eastAsia="Batang"/>
          <w:lang w:val="en-US"/>
        </w:rPr>
      </w:pPr>
      <w:r w:rsidRPr="00313E82">
        <w:rPr>
          <w:rFonts w:eastAsia="Batang"/>
          <w:lang w:val="en-US"/>
        </w:rPr>
        <w:t xml:space="preserve">As it was already presented in section </w:t>
      </w:r>
      <w:r w:rsidR="009E768B" w:rsidRPr="007E0C24">
        <w:rPr>
          <w:rFonts w:eastAsia="Batang"/>
          <w:lang w:val="en-US"/>
        </w:rPr>
        <w:fldChar w:fldCharType="begin"/>
      </w:r>
      <w:r w:rsidRPr="00313E82">
        <w:rPr>
          <w:rFonts w:eastAsia="Batang"/>
          <w:lang w:val="en-US"/>
        </w:rPr>
        <w:instrText xml:space="preserve"> REF _Ref306869538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2.1.3</w:t>
      </w:r>
      <w:r w:rsidR="009E768B" w:rsidRPr="007E0C24">
        <w:rPr>
          <w:rFonts w:eastAsia="Batang"/>
          <w:lang w:val="en-US"/>
        </w:rPr>
        <w:fldChar w:fldCharType="end"/>
      </w:r>
      <w:r w:rsidRPr="00313E82">
        <w:rPr>
          <w:rFonts w:eastAsia="Batang"/>
          <w:lang w:val="en-US"/>
        </w:rPr>
        <w:t>, there is no unique definition available for a core damage state. However, if the core damage metric has been clearly established, it allows for – in principle – reproducible PSA modelling of the accident sequences. Apart from the specificities of the CDF risk metrics itself, PSA analysts have the same understanding on the change in CDF as a secondary risk measure, hence it can be considered as a reliable measure.</w:t>
      </w:r>
    </w:p>
    <w:p w:rsidR="000C4034" w:rsidRPr="00313E82" w:rsidRDefault="000C4034">
      <w:pPr>
        <w:rPr>
          <w:rFonts w:eastAsia="Batang"/>
          <w:lang w:val="en-US"/>
        </w:rPr>
      </w:pPr>
    </w:p>
    <w:p w:rsidR="00B1664A" w:rsidRDefault="00850225">
      <w:pPr>
        <w:rPr>
          <w:rFonts w:eastAsia="Batang"/>
          <w:lang w:val="en-US"/>
        </w:rPr>
      </w:pPr>
      <w:r w:rsidRPr="00552F4E">
        <w:rPr>
          <w:rFonts w:eastAsia="Batang"/>
          <w:u w:val="single"/>
          <w:lang w:val="en-US"/>
        </w:rPr>
        <w:t>Consistency</w:t>
      </w:r>
      <w:r w:rsidRPr="00313E82">
        <w:rPr>
          <w:rFonts w:eastAsia="Batang"/>
          <w:lang w:val="en-US"/>
        </w:rPr>
        <w:t xml:space="preserve">: </w:t>
      </w:r>
    </w:p>
    <w:p w:rsidR="00850225" w:rsidRDefault="00B1664A" w:rsidP="00B76953">
      <w:pPr>
        <w:ind w:left="709"/>
        <w:rPr>
          <w:rFonts w:eastAsia="Batang"/>
          <w:lang w:val="en-US"/>
        </w:rPr>
      </w:pPr>
      <w:r>
        <w:rPr>
          <w:rFonts w:eastAsia="Batang"/>
          <w:lang w:val="en-US"/>
        </w:rPr>
        <w:t>T</w:t>
      </w:r>
      <w:r w:rsidR="00850225" w:rsidRPr="00313E82">
        <w:rPr>
          <w:rFonts w:eastAsia="Batang"/>
          <w:lang w:val="en-US"/>
        </w:rPr>
        <w:t>he change in CDF shows the increase or the decrease of the plant risk with respect to significant degradation of the reactor core. In this respect – not taking into consideration the characteristics of the direct risk measure of CDF – the evaluation of the change in CDF is a suitable tool to help decision makers, not giving rise to contradiction in relevant decision making scenarios.</w:t>
      </w:r>
    </w:p>
    <w:p w:rsidR="000C4034" w:rsidRPr="00313E82" w:rsidRDefault="000C4034">
      <w:pPr>
        <w:rPr>
          <w:rFonts w:eastAsia="Batang"/>
          <w:lang w:val="en-US"/>
        </w:rPr>
      </w:pPr>
    </w:p>
    <w:p w:rsidR="00FC128F" w:rsidRDefault="00850225">
      <w:pPr>
        <w:rPr>
          <w:rFonts w:eastAsia="Batang"/>
          <w:lang w:val="en-US"/>
        </w:rPr>
      </w:pPr>
      <w:r w:rsidRPr="00552F4E">
        <w:rPr>
          <w:rFonts w:eastAsia="Batang"/>
          <w:u w:val="single"/>
          <w:lang w:val="en-US"/>
        </w:rPr>
        <w:t>Risk aggregation properties</w:t>
      </w:r>
      <w:r w:rsidRPr="00313E82">
        <w:rPr>
          <w:rFonts w:eastAsia="Batang"/>
          <w:lang w:val="en-US"/>
        </w:rPr>
        <w:t xml:space="preserve">: </w:t>
      </w:r>
    </w:p>
    <w:p w:rsidR="00850225" w:rsidRPr="00557A1D" w:rsidRDefault="00850225" w:rsidP="00BF36DA">
      <w:pPr>
        <w:ind w:left="709"/>
        <w:jc w:val="left"/>
        <w:rPr>
          <w:rFonts w:eastAsia="Batang"/>
          <w:lang w:val="en-GB"/>
        </w:rPr>
      </w:pPr>
      <w:r w:rsidRPr="00313E82">
        <w:rPr>
          <w:rFonts w:eastAsia="Batang"/>
          <w:lang w:val="en-US"/>
        </w:rPr>
        <w:t xml:space="preserve">As change in CDF is a derivative measure of the CDF, both risk measures have the same fundamental risk aggregation properties including their limitations too (see also section </w:t>
      </w:r>
      <w:r w:rsidR="009E768B" w:rsidRPr="007E0C24">
        <w:rPr>
          <w:rFonts w:eastAsia="Batang"/>
          <w:lang w:val="en-US"/>
        </w:rPr>
        <w:fldChar w:fldCharType="begin"/>
      </w:r>
      <w:r w:rsidRPr="00313E82">
        <w:rPr>
          <w:rFonts w:eastAsia="Batang"/>
          <w:lang w:val="en-US"/>
        </w:rPr>
        <w:instrText xml:space="preserve"> REF _Ref306869607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2.1.3</w:t>
      </w:r>
      <w:r w:rsidR="009E768B" w:rsidRPr="007E0C24">
        <w:rPr>
          <w:rFonts w:eastAsia="Batang"/>
          <w:lang w:val="en-US"/>
        </w:rPr>
        <w:fldChar w:fldCharType="end"/>
      </w:r>
      <w:r w:rsidRPr="00313E82">
        <w:rPr>
          <w:rFonts w:eastAsia="Batang"/>
          <w:lang w:val="en-US"/>
        </w:rPr>
        <w:t xml:space="preserve">). However, as a secondary risk measure, aggregating </w:t>
      </w:r>
      <m:oMath>
        <m:r>
          <m:rPr>
            <m:sty m:val="p"/>
          </m:rPr>
          <w:rPr>
            <w:rFonts w:ascii="Cambria Math" w:eastAsia="Batang" w:hAnsi="Cambria Math"/>
            <w:lang w:val="en-US"/>
          </w:rPr>
          <m:t>ΔCDF</m:t>
        </m:r>
      </m:oMath>
      <w:r w:rsidRPr="00313E82">
        <w:rPr>
          <w:rFonts w:eastAsia="Batang"/>
          <w:lang w:val="en-US"/>
        </w:rPr>
        <w:t xml:space="preserve"> values needs to be done by applying the set of all changes  </w:t>
      </w:r>
      <m:oMath>
        <m:sSub>
          <m:sSubPr>
            <m:ctrlPr>
              <w:rPr>
                <w:rFonts w:ascii="Cambria Math" w:eastAsia="Batang" w:hAnsi="Cambria Math"/>
                <w:lang w:val="en-US"/>
              </w:rPr>
            </m:ctrlPr>
          </m:sSubPr>
          <m:e>
            <m:acc>
              <m:accPr>
                <m:chr m:val="̃"/>
                <m:ctrlPr>
                  <w:rPr>
                    <w:rFonts w:ascii="Cambria Math" w:eastAsia="Batang" w:hAnsi="Cambria Math"/>
                    <w:lang w:val="en-US"/>
                  </w:rPr>
                </m:ctrlPr>
              </m:accPr>
              <m:e>
                <m:r>
                  <m:rPr>
                    <m:sty m:val="p"/>
                  </m:rPr>
                  <w:rPr>
                    <w:rFonts w:ascii="Cambria Math" w:eastAsia="Batang" w:hAnsi="Cambria Math"/>
                    <w:lang w:val="en-US"/>
                  </w:rPr>
                  <m:t>p</m:t>
                </m:r>
              </m:e>
            </m:acc>
          </m:e>
          <m:sub>
            <m:r>
              <m:rPr>
                <m:sty m:val="p"/>
              </m:rPr>
              <w:rPr>
                <w:rFonts w:ascii="Cambria Math" w:eastAsia="Batang" w:hAnsi="Cambria Math"/>
                <w:lang w:val="en-US"/>
              </w:rPr>
              <m:t>n</m:t>
            </m:r>
          </m:sub>
        </m:sSub>
      </m:oMath>
      <w:r w:rsidRPr="00313E82">
        <w:rPr>
          <w:rFonts w:eastAsia="Batang"/>
          <w:lang w:val="en-US"/>
        </w:rPr>
        <w:t xml:space="preserve"> (and in principle the set of all baseline values) to the CDF model. This operati</w:t>
      </w:r>
      <w:r w:rsidR="008462E4" w:rsidRPr="00313E82">
        <w:rPr>
          <w:rFonts w:eastAsia="Batang"/>
          <w:lang w:val="en-US"/>
        </w:rPr>
        <w:t>o</w:t>
      </w:r>
      <w:r w:rsidRPr="00313E82">
        <w:rPr>
          <w:rFonts w:eastAsia="Batang"/>
          <w:lang w:val="en-US"/>
        </w:rPr>
        <w:t xml:space="preserve">n is well-defined if the set of all changes can be defined consistently. Then, the overall </w:t>
      </w:r>
      <m:oMath>
        <m:r>
          <m:rPr>
            <m:sty m:val="p"/>
          </m:rPr>
          <w:rPr>
            <w:rFonts w:ascii="Cambria Math" w:eastAsia="Batang" w:hAnsi="Cambria Math"/>
            <w:lang w:val="en-US"/>
          </w:rPr>
          <m:t>ΔCDF</m:t>
        </m:r>
      </m:oMath>
      <w:r w:rsidRPr="00313E82">
        <w:rPr>
          <w:rFonts w:eastAsia="Batang"/>
          <w:lang w:val="en-US"/>
        </w:rPr>
        <w:t xml:space="preserve"> value can be computed. Analysts (and decision makers) have to be aware that the respective result can deviate significantly from any sum of single </w:t>
      </w:r>
      <m:oMath>
        <m:r>
          <m:rPr>
            <m:sty m:val="p"/>
          </m:rPr>
          <w:rPr>
            <w:rFonts w:ascii="Cambria Math" w:eastAsia="Batang" w:hAnsi="Cambria Math"/>
            <w:lang w:val="en-US"/>
          </w:rPr>
          <m:t>ΔCDF</m:t>
        </m:r>
      </m:oMath>
      <w:r w:rsidRPr="00313E82">
        <w:rPr>
          <w:rFonts w:eastAsia="Batang"/>
          <w:lang w:val="en-US"/>
        </w:rPr>
        <w:t xml:space="preserve"> </w:t>
      </w:r>
      <w:r w:rsidRPr="00557A1D">
        <w:rPr>
          <w:rFonts w:eastAsia="Batang"/>
          <w:lang w:val="en-GB"/>
        </w:rPr>
        <w:t>values</w:t>
      </w:r>
      <w:r w:rsidR="00E63524" w:rsidRPr="00557A1D">
        <w:rPr>
          <w:rFonts w:eastAsia="Batang"/>
          <w:lang w:val="en-GB"/>
        </w:rPr>
        <w:t xml:space="preserve">, </w:t>
      </w:r>
      <w:r w:rsidR="00960E6A" w:rsidRPr="00557A1D">
        <w:rPr>
          <w:rFonts w:eastAsia="Batang"/>
          <w:lang w:val="en-GB"/>
        </w:rPr>
        <w:t xml:space="preserve">for </w:t>
      </w:r>
      <w:r w:rsidR="00E63524" w:rsidRPr="00557A1D">
        <w:rPr>
          <w:rFonts w:eastAsia="Batang"/>
          <w:lang w:val="en-GB"/>
        </w:rPr>
        <w:t xml:space="preserve">example: </w:t>
      </w:r>
      <w:r w:rsidR="00E63524" w:rsidRPr="00557A1D">
        <w:rPr>
          <w:lang w:val="en-GB"/>
        </w:rPr>
        <w:t xml:space="preserve">If there are two changes, each increasing CDF by 10, then having them </w:t>
      </w:r>
      <w:r w:rsidR="00E63524" w:rsidRPr="00557A1D">
        <w:rPr>
          <w:lang w:val="en-GB"/>
        </w:rPr>
        <w:lastRenderedPageBreak/>
        <w:t>simult</w:t>
      </w:r>
      <w:r w:rsidR="00960E6A">
        <w:rPr>
          <w:lang w:val="en-GB"/>
        </w:rPr>
        <w:t>an</w:t>
      </w:r>
      <w:r w:rsidR="00E63524" w:rsidRPr="00557A1D">
        <w:rPr>
          <w:lang w:val="en-GB"/>
        </w:rPr>
        <w:t>eously could result in 100 instead of 20. What actually happens is hard to predict a priori</w:t>
      </w:r>
      <w:r w:rsidR="00E63524" w:rsidRPr="00552F4E">
        <w:rPr>
          <w:lang w:val="en-US"/>
        </w:rPr>
        <w:t xml:space="preserve">. </w:t>
      </w:r>
      <w:r w:rsidR="00E63524" w:rsidRPr="00557A1D">
        <w:rPr>
          <w:lang w:val="en-GB"/>
        </w:rPr>
        <w:t>If</w:t>
      </w:r>
      <w:r w:rsidR="00960E6A" w:rsidRPr="00557A1D">
        <w:rPr>
          <w:lang w:val="en-GB"/>
        </w:rPr>
        <w:t>, as an extreme case,</w:t>
      </w:r>
      <w:r w:rsidR="00E63524" w:rsidRPr="00557A1D">
        <w:rPr>
          <w:lang w:val="en-GB"/>
        </w:rPr>
        <w:t xml:space="preserve"> changes trigger a two element minimum cut, then CDF is 1</w:t>
      </w:r>
      <w:r w:rsidRPr="00557A1D">
        <w:rPr>
          <w:rFonts w:eastAsia="Batang"/>
          <w:lang w:val="en-GB"/>
        </w:rPr>
        <w:t xml:space="preserve">. </w:t>
      </w:r>
    </w:p>
    <w:p w:rsidR="000C4034" w:rsidRPr="00313E82" w:rsidRDefault="000C4034">
      <w:pPr>
        <w:rPr>
          <w:rFonts w:eastAsia="Batang"/>
          <w:lang w:val="en-US"/>
        </w:rPr>
      </w:pPr>
    </w:p>
    <w:p w:rsidR="00FC128F" w:rsidRDefault="00850225">
      <w:pPr>
        <w:rPr>
          <w:rFonts w:eastAsia="Batang"/>
          <w:lang w:val="en-US"/>
        </w:rPr>
      </w:pPr>
      <w:r w:rsidRPr="00552F4E">
        <w:rPr>
          <w:rFonts w:eastAsia="Batang"/>
          <w:u w:val="single"/>
          <w:lang w:val="en-US"/>
        </w:rPr>
        <w:t>Understandability to the PSA community</w:t>
      </w:r>
      <w:r w:rsidRPr="00313E82">
        <w:rPr>
          <w:rFonts w:eastAsia="Batang"/>
          <w:lang w:val="en-US"/>
        </w:rPr>
        <w:t xml:space="preserve">: </w:t>
      </w:r>
    </w:p>
    <w:p w:rsidR="00850225" w:rsidRPr="00313E82" w:rsidRDefault="00850225" w:rsidP="00BF36DA">
      <w:pPr>
        <w:ind w:left="709"/>
        <w:rPr>
          <w:rFonts w:eastAsia="Batang"/>
          <w:lang w:val="en-US"/>
        </w:rPr>
      </w:pPr>
      <w:r w:rsidRPr="00313E82">
        <w:rPr>
          <w:rFonts w:eastAsia="Batang"/>
          <w:lang w:val="en-US"/>
        </w:rPr>
        <w:t xml:space="preserve">The change in CDF is a widely used secondary risk measure, which is well understood by the PSA community (besides the difficulties arising from the lack of general definition on core damage, see section </w:t>
      </w:r>
      <w:r w:rsidR="009E768B">
        <w:rPr>
          <w:rFonts w:eastAsia="Batang"/>
          <w:lang w:val="en-US"/>
        </w:rPr>
        <w:fldChar w:fldCharType="begin"/>
      </w:r>
      <w:r w:rsidR="006D6008">
        <w:rPr>
          <w:rFonts w:eastAsia="Batang"/>
          <w:lang w:val="en-US"/>
        </w:rPr>
        <w:instrText xml:space="preserve"> REF _Ref306869538 \r \h </w:instrText>
      </w:r>
      <w:r w:rsidR="009E768B">
        <w:rPr>
          <w:rFonts w:eastAsia="Batang"/>
          <w:lang w:val="en-US"/>
        </w:rPr>
      </w:r>
      <w:r w:rsidR="009E768B">
        <w:rPr>
          <w:rFonts w:eastAsia="Batang"/>
          <w:lang w:val="en-US"/>
        </w:rPr>
        <w:fldChar w:fldCharType="separate"/>
      </w:r>
      <w:r w:rsidR="00B772CA">
        <w:rPr>
          <w:rFonts w:eastAsia="Batang"/>
          <w:lang w:val="en-US"/>
        </w:rPr>
        <w:t>2.1.3</w:t>
      </w:r>
      <w:r w:rsidR="009E768B">
        <w:rPr>
          <w:rFonts w:eastAsia="Batang"/>
          <w:lang w:val="en-US"/>
        </w:rPr>
        <w:fldChar w:fldCharType="end"/>
      </w:r>
      <w:r w:rsidRPr="00313E82">
        <w:rPr>
          <w:rFonts w:eastAsia="Batang"/>
          <w:lang w:val="en-US"/>
        </w:rPr>
        <w:t>).</w:t>
      </w:r>
    </w:p>
    <w:p w:rsidR="00850225" w:rsidRPr="00313E82" w:rsidRDefault="00850225" w:rsidP="00C94556">
      <w:pPr>
        <w:pStyle w:val="Titre3"/>
        <w:rPr>
          <w:rFonts w:eastAsia="Batang"/>
          <w:lang w:val="en-US"/>
        </w:rPr>
      </w:pPr>
      <w:bookmarkStart w:id="94" w:name="_Ref429576287"/>
      <w:bookmarkStart w:id="95" w:name="_Toc474430120"/>
      <w:r w:rsidRPr="00313E82">
        <w:rPr>
          <w:rFonts w:eastAsia="Batang"/>
          <w:lang w:val="en-US"/>
        </w:rPr>
        <w:t>Limitation</w:t>
      </w:r>
      <w:bookmarkEnd w:id="94"/>
      <w:bookmarkEnd w:id="95"/>
    </w:p>
    <w:p w:rsidR="00850225" w:rsidRPr="00313E82" w:rsidRDefault="00850225">
      <w:pPr>
        <w:rPr>
          <w:rFonts w:eastAsia="Batang"/>
          <w:lang w:val="en-US"/>
        </w:rPr>
      </w:pPr>
      <w:r w:rsidRPr="00313E82">
        <w:rPr>
          <w:rFonts w:eastAsia="Batang"/>
          <w:lang w:val="en-US"/>
        </w:rPr>
        <w:t xml:space="preserve">Amongst others the most important limitation of the change in CDF risk measure is – similarly to CDF direct risk measure - that it cannot distinguish between severity of core damage beyond the defining threshold for core damage. In this manner it cannot be identified by the risk measure of change in CDF, that the difference concerns risk contributions related to very large releases, only small releases or a certain combination of thereof. On the other hand change in CDF does not reflect any information on core damage characteristics in light of expected releases (e.g. time of core damage onset, pressure in the RPV at core damage, status of barriers and safety systems, etc.) with respect to the difference indicated by the change in CDF. For more details on the limitations of CDF, hence on the change in CDF, see section </w:t>
      </w:r>
      <w:r w:rsidR="009E768B" w:rsidRPr="007E0C24">
        <w:rPr>
          <w:rFonts w:eastAsia="Batang"/>
          <w:lang w:val="en-US"/>
        </w:rPr>
        <w:fldChar w:fldCharType="begin"/>
      </w:r>
      <w:r w:rsidRPr="00313E82">
        <w:rPr>
          <w:rFonts w:eastAsia="Batang"/>
          <w:lang w:val="en-US"/>
        </w:rPr>
        <w:instrText xml:space="preserve"> REF _Ref306869722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2.1.4</w:t>
      </w:r>
      <w:r w:rsidR="009E768B" w:rsidRPr="007E0C24">
        <w:rPr>
          <w:rFonts w:eastAsia="Batang"/>
          <w:lang w:val="en-US"/>
        </w:rPr>
        <w:fldChar w:fldCharType="end"/>
      </w:r>
      <w:r w:rsidRPr="00313E82">
        <w:rPr>
          <w:rFonts w:eastAsia="Batang"/>
          <w:lang w:val="en-US"/>
        </w:rPr>
        <w:t>.</w:t>
      </w:r>
    </w:p>
    <w:p w:rsidR="00850225" w:rsidRPr="00313E82" w:rsidRDefault="00850225" w:rsidP="00C94556">
      <w:pPr>
        <w:pStyle w:val="Titre3"/>
        <w:rPr>
          <w:rFonts w:eastAsia="Batang"/>
          <w:lang w:val="en-US"/>
        </w:rPr>
      </w:pPr>
      <w:bookmarkStart w:id="96" w:name="_Toc474430121"/>
      <w:r w:rsidRPr="00313E82">
        <w:rPr>
          <w:rFonts w:eastAsia="Batang"/>
          <w:lang w:val="en-US"/>
        </w:rPr>
        <w:t xml:space="preserve">ASAMPSA_E recommendation on </w:t>
      </w:r>
      <w:r w:rsidR="00351786">
        <w:rPr>
          <w:rFonts w:eastAsia="Batang"/>
          <w:lang w:val="en-US"/>
        </w:rPr>
        <w:t>Change in CDF</w:t>
      </w:r>
      <w:bookmarkEnd w:id="96"/>
    </w:p>
    <w:p w:rsidR="00850225" w:rsidRPr="00313E82" w:rsidRDefault="00850225">
      <w:pPr>
        <w:rPr>
          <w:rFonts w:eastAsia="Batang"/>
          <w:lang w:val="en-US"/>
        </w:rPr>
      </w:pPr>
      <w:r w:rsidRPr="00313E82">
        <w:rPr>
          <w:rFonts w:eastAsia="Batang"/>
          <w:lang w:val="en-US"/>
        </w:rPr>
        <w:t xml:space="preserve">Besides the recommendations related to the risk measures of CDF time average (see section </w:t>
      </w:r>
      <w:r w:rsidR="009E768B" w:rsidRPr="007E0C24">
        <w:rPr>
          <w:rFonts w:eastAsia="Batang"/>
          <w:lang w:val="en-US"/>
        </w:rPr>
        <w:fldChar w:fldCharType="begin"/>
      </w:r>
      <w:r w:rsidRPr="00313E82">
        <w:rPr>
          <w:rFonts w:eastAsia="Batang"/>
          <w:lang w:val="en-US"/>
        </w:rPr>
        <w:instrText xml:space="preserve"> REF _Ref306869773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2.1.5</w:t>
      </w:r>
      <w:r w:rsidR="009E768B" w:rsidRPr="007E0C24">
        <w:rPr>
          <w:rFonts w:eastAsia="Batang"/>
          <w:lang w:val="en-US"/>
        </w:rPr>
        <w:fldChar w:fldCharType="end"/>
      </w:r>
      <w:r w:rsidRPr="00313E82">
        <w:rPr>
          <w:rFonts w:eastAsia="Batang"/>
          <w:lang w:val="en-US"/>
        </w:rPr>
        <w:t xml:space="preserve">) and CDF time dependent (see section </w:t>
      </w:r>
      <w:r w:rsidR="009E768B" w:rsidRPr="007E0C24">
        <w:rPr>
          <w:rFonts w:eastAsia="Batang"/>
          <w:lang w:val="en-US"/>
        </w:rPr>
        <w:fldChar w:fldCharType="begin"/>
      </w:r>
      <w:r w:rsidRPr="00313E82">
        <w:rPr>
          <w:rFonts w:eastAsia="Batang"/>
          <w:lang w:val="en-US"/>
        </w:rPr>
        <w:instrText xml:space="preserve"> REF _Ref306869805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2.2.5</w:t>
      </w:r>
      <w:r w:rsidR="009E768B" w:rsidRPr="007E0C24">
        <w:rPr>
          <w:rFonts w:eastAsia="Batang"/>
          <w:lang w:val="en-US"/>
        </w:rPr>
        <w:fldChar w:fldCharType="end"/>
      </w:r>
      <w:r w:rsidRPr="00313E82">
        <w:rPr>
          <w:rFonts w:eastAsia="Batang"/>
          <w:lang w:val="en-US"/>
        </w:rPr>
        <w:t xml:space="preserve">), the definition presented in section </w:t>
      </w:r>
      <w:r w:rsidR="009E768B" w:rsidRPr="007E0C24">
        <w:rPr>
          <w:rFonts w:eastAsia="Batang"/>
          <w:lang w:val="en-US"/>
        </w:rPr>
        <w:fldChar w:fldCharType="begin"/>
      </w:r>
      <w:r w:rsidRPr="00313E82">
        <w:rPr>
          <w:rFonts w:eastAsia="Batang"/>
          <w:lang w:val="en-US"/>
        </w:rPr>
        <w:instrText xml:space="preserve"> REF _Ref429575356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2.3.1</w:t>
      </w:r>
      <w:r w:rsidR="009E768B" w:rsidRPr="007E0C24">
        <w:rPr>
          <w:rFonts w:eastAsia="Batang"/>
          <w:lang w:val="en-US"/>
        </w:rPr>
        <w:fldChar w:fldCharType="end"/>
      </w:r>
      <w:r w:rsidRPr="00313E82">
        <w:rPr>
          <w:rFonts w:eastAsia="Batang"/>
          <w:lang w:val="en-US"/>
        </w:rPr>
        <w:t xml:space="preserve"> is widely used and accepted by the PSA community. Therefore no additional harmonized definition is recommended for the risk measure of change in CDF.</w:t>
      </w:r>
    </w:p>
    <w:p w:rsidR="00850225" w:rsidRPr="00313E82" w:rsidRDefault="00850225" w:rsidP="00C94556">
      <w:pPr>
        <w:pStyle w:val="Titre2"/>
        <w:rPr>
          <w:rFonts w:eastAsia="Batang"/>
          <w:lang w:val="en-US"/>
        </w:rPr>
      </w:pPr>
      <w:bookmarkStart w:id="97" w:name="_Toc474430122"/>
      <w:r w:rsidRPr="00313E82">
        <w:rPr>
          <w:rFonts w:eastAsia="Batang"/>
          <w:lang w:val="en-US"/>
        </w:rPr>
        <w:t>Conditional Core Damage Probability</w:t>
      </w:r>
      <w:r w:rsidR="00B70F9C">
        <w:rPr>
          <w:rFonts w:eastAsia="Batang"/>
          <w:lang w:val="en-US"/>
        </w:rPr>
        <w:t xml:space="preserve"> (CCDP)</w:t>
      </w:r>
      <w:bookmarkEnd w:id="97"/>
    </w:p>
    <w:p w:rsidR="00850225" w:rsidRPr="00313E82" w:rsidRDefault="00850225" w:rsidP="00C94556">
      <w:pPr>
        <w:pStyle w:val="Titre3"/>
        <w:rPr>
          <w:rFonts w:eastAsia="Batang"/>
          <w:lang w:val="en-US"/>
        </w:rPr>
      </w:pPr>
      <w:bookmarkStart w:id="98" w:name="_Ref429576351"/>
      <w:bookmarkStart w:id="99" w:name="_Toc474430123"/>
      <w:r w:rsidRPr="00313E82">
        <w:rPr>
          <w:rFonts w:eastAsia="Batang"/>
          <w:lang w:val="en-US"/>
        </w:rPr>
        <w:t>Definition of Risk Measure</w:t>
      </w:r>
      <w:bookmarkEnd w:id="98"/>
      <w:bookmarkEnd w:id="99"/>
    </w:p>
    <w:p w:rsidR="00850225" w:rsidRPr="00313E82" w:rsidRDefault="00850225">
      <w:pPr>
        <w:rPr>
          <w:rFonts w:eastAsia="Batang"/>
          <w:lang w:val="en-US"/>
        </w:rPr>
      </w:pPr>
      <w:r w:rsidRPr="00313E82">
        <w:rPr>
          <w:rFonts w:eastAsia="Batang"/>
          <w:lang w:val="en-US"/>
        </w:rPr>
        <w:t>Conditional core damage probability is a secondary conditional consequence risk measure originated by the direct risk measure of core damage frequency. Depending on the boundary conditions of the assessment, this secondary risk measure can be derived from the CDF: independently of any duration of time, or on the basis of a certain time interval.</w:t>
      </w:r>
    </w:p>
    <w:p w:rsidR="00850225" w:rsidRPr="00313E82" w:rsidRDefault="00850225">
      <w:pPr>
        <w:rPr>
          <w:rFonts w:eastAsia="Batang"/>
          <w:lang w:val="en-US"/>
        </w:rPr>
      </w:pPr>
      <w:r w:rsidRPr="00313E82">
        <w:rPr>
          <w:rFonts w:eastAsia="Batang"/>
          <w:lang w:val="en-US"/>
        </w:rPr>
        <w:t xml:space="preserve">Conditional core damage probability irrespective of time duration can be derived from the risk model by including intermediate states (besides core damage)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rFonts w:eastAsia="Batang"/>
          <w:lang w:val="en-US"/>
        </w:rPr>
        <w:t>, i.e.</w:t>
      </w:r>
    </w:p>
    <w:p w:rsidR="00850225" w:rsidRPr="00313E82" w:rsidRDefault="00850225">
      <w:pPr>
        <w:rPr>
          <w:rFonts w:eastAsia="Batang"/>
          <w:lang w:val="en-US"/>
        </w:rPr>
      </w:pPr>
    </w:p>
    <w:p w:rsidR="00850225" w:rsidRPr="00313E82" w:rsidRDefault="0043746A">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oMath>
      </m:oMathPara>
    </w:p>
    <w:p w:rsidR="00850225" w:rsidRPr="00313E82" w:rsidRDefault="00850225">
      <w:pPr>
        <w:rPr>
          <w:rFonts w:eastAsia="Batang"/>
          <w:lang w:val="en-US"/>
        </w:rPr>
      </w:pPr>
    </w:p>
    <w:p w:rsidR="008462E4" w:rsidRPr="00313E82" w:rsidRDefault="008462E4">
      <w:pPr>
        <w:rPr>
          <w:lang w:val="en-US"/>
        </w:rPr>
      </w:pPr>
      <w:r w:rsidRPr="00313E82">
        <w:rPr>
          <w:lang w:val="en-US"/>
        </w:rPr>
        <w:t xml:space="preserve">with conditional transition probabilities </w:t>
      </w: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lang w:val="en-US"/>
        </w:rPr>
        <w:t xml:space="preserve">. In this case the intermediate state </w:t>
      </w:r>
      <w:r w:rsidRPr="00313E82">
        <w:rPr>
          <w:i/>
          <w:lang w:val="en-US"/>
        </w:rPr>
        <w:t>(</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m:t>
        </m:r>
      </m:oMath>
      <w:r w:rsidRPr="00313E82">
        <w:rPr>
          <w:rFonts w:eastAsia="Batang"/>
          <w:lang w:val="en-US"/>
        </w:rPr>
        <w:t xml:space="preserve"> may represent the occurrence of an initiating event (with or without other SSC failures) or degradation of mitigation systems denoted </w:t>
      </w:r>
      <w:r w:rsidRPr="00313E82">
        <w:rPr>
          <w:rFonts w:eastAsia="Batang"/>
          <w:lang w:val="en-US"/>
        </w:rPr>
        <w:lastRenderedPageBreak/>
        <w:t xml:space="preserve">by </w:t>
      </w:r>
      <w:r w:rsidRPr="00313E82">
        <w:rPr>
          <w:rFonts w:eastAsia="Batang"/>
          <w:i/>
          <w:lang w:val="en-US"/>
        </w:rPr>
        <w:t>DC</w:t>
      </w:r>
      <w:r w:rsidRPr="00313E82">
        <w:rPr>
          <w:rFonts w:eastAsia="Batang"/>
          <w:lang w:val="en-US"/>
        </w:rPr>
        <w:t xml:space="preserve"> (Degraded plant Conditions) hereinafter. </w:t>
      </w:r>
      <w:r w:rsidRPr="00313E82">
        <w:rPr>
          <w:lang w:val="en-US"/>
        </w:rPr>
        <w:t>With this definition, the secondary risk measure of conditional core damage probability can be defined as</w:t>
      </w:r>
    </w:p>
    <w:p w:rsidR="00850225" w:rsidRPr="00313E82" w:rsidRDefault="00850225">
      <w:pPr>
        <w:rPr>
          <w:lang w:val="en-US"/>
        </w:rPr>
      </w:pPr>
    </w:p>
    <w:p w:rsidR="00850225" w:rsidRPr="00313E82" w:rsidRDefault="00850225">
      <w:pPr>
        <w:rPr>
          <w:lang w:val="en-US"/>
        </w:rPr>
      </w:pPr>
      <m:oMathPara>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∈CD and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∈DC</m:t>
              </m:r>
            </m:e>
          </m:d>
          <m:r>
            <w:rPr>
              <w:rFonts w:ascii="Cambria Math" w:hAnsi="Cambria Math"/>
              <w:lang w:val="en-US"/>
            </w:rPr>
            <m:t>=φ</m:t>
          </m:r>
          <m:d>
            <m:dPr>
              <m:ctrlPr>
                <w:rPr>
                  <w:rFonts w:ascii="Cambria Math" w:hAnsi="Cambria Math"/>
                  <w:i/>
                  <w:lang w:val="en-US"/>
                </w:rPr>
              </m:ctrlPr>
            </m:dPr>
            <m:e>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∈CD and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∈DC</m:t>
              </m:r>
            </m:e>
          </m:d>
        </m:oMath>
      </m:oMathPara>
    </w:p>
    <w:p w:rsidR="00850225" w:rsidRPr="00517ED4" w:rsidRDefault="00850225">
      <w:pPr>
        <w:rPr>
          <w:lang w:val="en-US"/>
        </w:rPr>
      </w:pPr>
    </w:p>
    <w:p w:rsidR="00850225" w:rsidRPr="00C94556" w:rsidRDefault="00850225">
      <w:pPr>
        <w:rPr>
          <w:lang w:val="en-US"/>
        </w:rPr>
      </w:pPr>
      <w:r w:rsidRPr="00313E82">
        <w:rPr>
          <w:lang w:val="en-US"/>
        </w:rPr>
        <w:t xml:space="preserve">in a natural way. In other words, conditional core damage probability is the probability of </w:t>
      </w:r>
      <w:r w:rsidRPr="00C94556">
        <w:rPr>
          <w:lang w:val="en-US"/>
        </w:rPr>
        <w:t>significant degradation of the reactor core (CD) upon the condition that an initiating event occurs. Accompanying the occurrence of an initiating event, degradation of mitigation systems can also be taken into consideration as properties of the intermediate state. Time average CDF risk measure as well as time dependent CDF risk measure at a certain point of time can be taken into consideration during the assessment of conditional core damage probability.</w:t>
      </w:r>
    </w:p>
    <w:p w:rsidR="00C65F43" w:rsidRPr="00313E82" w:rsidRDefault="00C65F43">
      <w:pPr>
        <w:rPr>
          <w:rFonts w:eastAsia="Batang"/>
          <w:lang w:val="en-US"/>
        </w:rPr>
      </w:pPr>
      <w:r w:rsidRPr="00313E82">
        <w:rPr>
          <w:rFonts w:eastAsia="Batang"/>
          <w:lang w:val="en-US"/>
        </w:rPr>
        <w:t>If the change in risk due to the occurrence of an initiating event is in the focus of the analysis, then the risk model is processed by setting the corresponding initiating event to TRUE and making adjustments as seen necessary to model the effect of any additional failure events that may also have occurred. The relevant event tree(s) is evaluated by quantifying the probability of core damage given the occurrence of the initiating event in question.</w:t>
      </w:r>
    </w:p>
    <w:p w:rsidR="00C65F43" w:rsidRPr="00313E82" w:rsidRDefault="00C65F43">
      <w:pPr>
        <w:rPr>
          <w:rFonts w:eastAsia="Batang"/>
          <w:lang w:val="en-US"/>
        </w:rPr>
      </w:pPr>
    </w:p>
    <w:p w:rsidR="002E5252" w:rsidRDefault="00C65F43">
      <w:pPr>
        <w:rPr>
          <w:rFonts w:eastAsia="Batang"/>
          <w:lang w:val="en-US"/>
        </w:rPr>
      </w:pPr>
      <w:r w:rsidRPr="00313E82">
        <w:rPr>
          <w:rFonts w:eastAsia="Batang"/>
          <w:lang w:val="en-US"/>
        </w:rPr>
        <w:t xml:space="preserve">If there are failures in mitigation systems without the occurrence of an initiating event, then duration </w:t>
      </w:r>
      <w:r w:rsidR="00850225" w:rsidRPr="00313E82">
        <w:rPr>
          <w:rFonts w:eastAsia="Batang"/>
          <w:lang w:val="en-US"/>
        </w:rPr>
        <w:t xml:space="preserve">dependent conditional core damage probability can be assessed by utilizing the time dependent version of the conditional core damage frequency (for details see section </w:t>
      </w:r>
      <w:r w:rsidR="009E768B" w:rsidRPr="00C96F34">
        <w:rPr>
          <w:rFonts w:eastAsia="Batang"/>
          <w:lang w:val="en-US"/>
        </w:rPr>
        <w:fldChar w:fldCharType="begin"/>
      </w:r>
      <w:r w:rsidR="00850225" w:rsidRPr="00313E82">
        <w:rPr>
          <w:rFonts w:eastAsia="Batang"/>
          <w:lang w:val="en-US"/>
        </w:rPr>
        <w:instrText xml:space="preserve"> REF _Ref429575410 \r \h </w:instrText>
      </w:r>
      <w:r w:rsidR="009E768B" w:rsidRPr="00C96F34">
        <w:rPr>
          <w:rFonts w:eastAsia="Batang"/>
          <w:lang w:val="en-US"/>
        </w:rPr>
      </w:r>
      <w:r w:rsidR="009E768B" w:rsidRPr="00C96F34">
        <w:rPr>
          <w:rFonts w:eastAsia="Batang"/>
          <w:lang w:val="en-US"/>
        </w:rPr>
        <w:fldChar w:fldCharType="separate"/>
      </w:r>
      <w:r w:rsidR="00B772CA">
        <w:rPr>
          <w:rFonts w:eastAsia="Batang"/>
          <w:lang w:val="en-US"/>
        </w:rPr>
        <w:t>2.5</w:t>
      </w:r>
      <w:r w:rsidR="009E768B" w:rsidRPr="00C96F34">
        <w:rPr>
          <w:rFonts w:eastAsia="Batang"/>
          <w:lang w:val="en-US"/>
        </w:rPr>
        <w:fldChar w:fldCharType="end"/>
      </w:r>
      <w:r w:rsidR="00850225" w:rsidRPr="00313E82">
        <w:rPr>
          <w:rFonts w:eastAsia="Batang"/>
          <w:lang w:val="en-US"/>
        </w:rPr>
        <w:t xml:space="preserve">). </w:t>
      </w:r>
    </w:p>
    <w:p w:rsidR="00850225" w:rsidRPr="00313E82" w:rsidRDefault="00850225">
      <w:pPr>
        <w:rPr>
          <w:rFonts w:eastAsia="Batang"/>
          <w:lang w:val="en-US"/>
        </w:rPr>
      </w:pPr>
      <w:r w:rsidRPr="00313E82">
        <w:rPr>
          <w:rFonts w:eastAsia="Batang"/>
          <w:lang w:val="en-US"/>
        </w:rPr>
        <w:t>A</w:t>
      </w:r>
      <w:r w:rsidR="00C65F43" w:rsidRPr="00313E82">
        <w:rPr>
          <w:rFonts w:eastAsia="Batang"/>
          <w:lang w:val="en-US"/>
        </w:rPr>
        <w:t xml:space="preserve"> </w:t>
      </w:r>
      <w:r w:rsidRPr="00313E82">
        <w:rPr>
          <w:rFonts w:eastAsia="Batang"/>
          <w:lang w:val="en-US"/>
        </w:rPr>
        <w:t>CDF based secondary conditional consequence risk measure is the cumulative conditional core damage probability (</w:t>
      </w:r>
      <w:r w:rsidRPr="00313E82">
        <w:rPr>
          <w:rFonts w:eastAsia="Batang"/>
          <w:i/>
          <w:lang w:val="en-US"/>
        </w:rPr>
        <w:t>CumCCDP</w:t>
      </w:r>
      <w:r w:rsidRPr="00313E82">
        <w:rPr>
          <w:rFonts w:eastAsia="Batang"/>
          <w:lang w:val="en-US"/>
        </w:rPr>
        <w:t>)</w:t>
      </w:r>
      <w:r w:rsidR="00C65F43" w:rsidRPr="00313E82">
        <w:rPr>
          <w:rFonts w:eastAsia="Batang"/>
          <w:lang w:val="en-US"/>
        </w:rPr>
        <w:t xml:space="preserve"> over</w:t>
      </w:r>
      <w:r w:rsidRPr="00313E82">
        <w:rPr>
          <w:rFonts w:eastAsia="Batang"/>
          <w:lang w:val="en-US"/>
        </w:rPr>
        <w:t xml:space="preserve"> a certain time interval </w:t>
      </w:r>
      <w:r w:rsidRPr="00313E82">
        <w:rPr>
          <w:rFonts w:eastAsia="Batang"/>
          <w:i/>
          <w:lang w:val="en-US"/>
        </w:rPr>
        <w:t>T</w:t>
      </w:r>
      <w:r w:rsidR="00C65F43" w:rsidRPr="00313E82">
        <w:rPr>
          <w:rFonts w:eastAsia="Batang"/>
          <w:lang w:val="en-US"/>
        </w:rPr>
        <w:t xml:space="preserve">. </w:t>
      </w:r>
      <w:r w:rsidRPr="00313E82">
        <w:rPr>
          <w:rFonts w:eastAsia="Batang"/>
          <w:lang w:val="en-US"/>
        </w:rPr>
        <w:t xml:space="preserve"> </w:t>
      </w:r>
      <w:r w:rsidR="00C65F43" w:rsidRPr="00313E82">
        <w:rPr>
          <w:rFonts w:eastAsia="Batang"/>
          <w:lang w:val="en-US"/>
        </w:rPr>
        <w:t>This risk measure can be obtained by time integration of the conditional core damage frequency as follows</w:t>
      </w:r>
      <w:r w:rsidRPr="00313E82">
        <w:rPr>
          <w:rFonts w:eastAsia="Batang"/>
          <w:lang w:val="en-US"/>
        </w:rPr>
        <w:t>:</w:t>
      </w:r>
    </w:p>
    <w:p w:rsidR="00850225" w:rsidRPr="00313E82" w:rsidRDefault="00850225">
      <w:pPr>
        <w:rPr>
          <w:rFonts w:eastAsia="Batang"/>
          <w:lang w:val="en-US"/>
        </w:rPr>
      </w:pPr>
    </w:p>
    <w:p w:rsidR="00850225" w:rsidRPr="00313E82" w:rsidRDefault="00850225">
      <w:pPr>
        <w:rPr>
          <w:rFonts w:eastAsia="Batang"/>
          <w:lang w:val="en-US"/>
        </w:rPr>
      </w:pPr>
      <m:oMathPara>
        <m:oMath>
          <m:r>
            <m:rPr>
              <m:nor/>
            </m:rPr>
            <w:rPr>
              <w:rFonts w:ascii="Cambria Math" w:eastAsia="Batang" w:hAnsi="Cambria Math"/>
              <w:i/>
              <w:lang w:val="en-US"/>
            </w:rPr>
            <m:t>Cum</m:t>
          </m:r>
          <m:r>
            <w:rPr>
              <w:rFonts w:ascii="Cambria Math" w:eastAsia="Batang" w:hAnsi="Cambria Math"/>
              <w:lang w:val="en-US"/>
            </w:rPr>
            <m:t>CCDP</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hint="eastAsia"/>
              <w:lang w:val="en-US"/>
            </w:rPr>
            <m:t xml:space="preserve">= </m:t>
          </m:r>
          <m:nary>
            <m:naryPr>
              <m:limLoc m:val="undOvr"/>
              <m:ctrlPr>
                <w:rPr>
                  <w:rFonts w:ascii="Cambria Math" w:eastAsia="Batang" w:hAnsi="Cambria Math"/>
                  <w:i/>
                  <w:lang w:val="en-US"/>
                </w:rPr>
              </m:ctrlPr>
            </m:naryPr>
            <m:sub>
              <m:r>
                <w:rPr>
                  <w:rFonts w:ascii="Cambria Math" w:eastAsia="Batang" w:hAnsi="Cambria Math"/>
                  <w:lang w:val="en-US"/>
                </w:rPr>
                <m:t>0</m:t>
              </m:r>
            </m:sub>
            <m:sup>
              <m:r>
                <w:rPr>
                  <w:rFonts w:ascii="Cambria Math" w:eastAsia="Batang" w:hAnsi="Cambria Math"/>
                  <w:lang w:val="en-US"/>
                </w:rPr>
                <m:t>T</m:t>
              </m:r>
            </m:sup>
            <m:e>
              <m:r>
                <w:rPr>
                  <w:rFonts w:ascii="Cambria Math" w:eastAsia="Batang" w:hAnsi="Cambria Math"/>
                  <w:lang w:val="en-US"/>
                </w:rPr>
                <m:t>CCDF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m:oMathPara>
    </w:p>
    <w:p w:rsidR="00850225" w:rsidRPr="00313E82" w:rsidRDefault="00850225">
      <w:pPr>
        <w:rPr>
          <w:rFonts w:eastAsia="Batang"/>
          <w:lang w:val="en-US"/>
        </w:rPr>
      </w:pPr>
    </w:p>
    <w:p w:rsidR="00850225" w:rsidRPr="00313E82" w:rsidRDefault="00850225">
      <w:pPr>
        <w:rPr>
          <w:rFonts w:eastAsia="Batang"/>
          <w:lang w:val="en-US"/>
        </w:rPr>
      </w:pPr>
      <w:r w:rsidRPr="00313E82">
        <w:rPr>
          <w:rFonts w:eastAsia="Batang"/>
          <w:lang w:val="en-US"/>
        </w:rPr>
        <w:t>Another interpretation of the time dependent, CDF based secondary conditional consequence risk measure is the incremental conditional core damage probability (</w:t>
      </w:r>
      <w:r w:rsidRPr="00313E82">
        <w:rPr>
          <w:rFonts w:eastAsia="Batang"/>
          <w:i/>
          <w:lang w:val="en-US"/>
        </w:rPr>
        <w:t>ICCDP</w:t>
      </w:r>
      <w:r w:rsidRPr="00313E82">
        <w:rPr>
          <w:rFonts w:eastAsia="Batang"/>
          <w:lang w:val="en-US"/>
        </w:rPr>
        <w:t xml:space="preserve">). This risk measure is the increase in risk of the plant for a specific configuration </w:t>
      </w:r>
      <w:r w:rsidRPr="00313E82">
        <w:rPr>
          <w:rFonts w:eastAsia="Batang"/>
          <w:i/>
          <w:lang w:val="en-US"/>
        </w:rPr>
        <w:t>i</w:t>
      </w:r>
      <w:r w:rsidRPr="00313E82">
        <w:rPr>
          <w:rFonts w:eastAsia="Batang"/>
          <w:lang w:val="en-US"/>
        </w:rPr>
        <w:t xml:space="preserve">, for example the unavailability of a component, with the duration </w:t>
      </w:r>
      <w:r w:rsidRPr="00313E82">
        <w:rPr>
          <w:rFonts w:eastAsia="Batang"/>
          <w:i/>
          <w:lang w:val="en-US"/>
        </w:rPr>
        <w:t>T</w:t>
      </w:r>
      <w:r w:rsidRPr="00313E82">
        <w:rPr>
          <w:rFonts w:eastAsia="Batang"/>
          <w:lang w:val="en-US"/>
        </w:rPr>
        <w:t xml:space="preserve">. </w:t>
      </w:r>
      <w:r w:rsidRPr="00313E82">
        <w:rPr>
          <w:rFonts w:eastAsia="Batang"/>
          <w:i/>
          <w:lang w:val="en-US"/>
        </w:rPr>
        <w:t>ICCDP</w:t>
      </w:r>
      <w:r w:rsidRPr="00313E82">
        <w:rPr>
          <w:rFonts w:eastAsia="Batang"/>
          <w:i/>
          <w:vertAlign w:val="subscript"/>
          <w:lang w:val="en-US"/>
        </w:rPr>
        <w:t>i</w:t>
      </w:r>
      <w:r w:rsidRPr="00313E82">
        <w:rPr>
          <w:rFonts w:eastAsia="Batang"/>
          <w:lang w:val="en-US"/>
        </w:rPr>
        <w:t xml:space="preserve"> can be sensibly computed as:</w:t>
      </w:r>
    </w:p>
    <w:p w:rsidR="00850225" w:rsidRPr="00313E82" w:rsidRDefault="00850225">
      <w:pPr>
        <w:rPr>
          <w:rFonts w:eastAsia="Batang"/>
          <w:lang w:val="en-US"/>
        </w:rPr>
      </w:pPr>
    </w:p>
    <w:p w:rsidR="00850225" w:rsidRPr="00313E82" w:rsidRDefault="0043746A">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ICCDP</m:t>
              </m:r>
            </m:e>
            <m:sub>
              <m:r>
                <w:rPr>
                  <w:rFonts w:ascii="Cambria Math" w:eastAsia="Batang" w:hAnsi="Cambria Math"/>
                  <w:lang w:val="en-US"/>
                </w:rPr>
                <m:t>i</m:t>
              </m:r>
            </m:sub>
          </m:sSub>
          <m:r>
            <w:rPr>
              <w:rFonts w:ascii="Cambria Math" w:eastAsia="Batang" w:hAnsi="Cambria Math" w:hint="eastAsia"/>
              <w:lang w:val="en-US"/>
            </w:rPr>
            <m:t xml:space="preserve">= </m:t>
          </m:r>
          <m:nary>
            <m:naryPr>
              <m:limLoc m:val="subSup"/>
              <m:ctrlPr>
                <w:rPr>
                  <w:rFonts w:ascii="Cambria Math" w:eastAsia="Batang" w:hAnsi="Cambria Math"/>
                  <w:i/>
                  <w:lang w:val="en-US"/>
                </w:rPr>
              </m:ctrlPr>
            </m:naryPr>
            <m:sub>
              <m:r>
                <w:rPr>
                  <w:rFonts w:ascii="Cambria Math" w:eastAsia="Batang" w:hAnsi="Cambria Math"/>
                  <w:lang w:val="en-US"/>
                </w:rPr>
                <m:t>0</m:t>
              </m:r>
            </m:sub>
            <m:sup>
              <m:r>
                <w:rPr>
                  <w:rFonts w:ascii="Cambria Math" w:eastAsia="Batang" w:hAnsi="Cambria Math"/>
                  <w:lang w:val="en-US"/>
                </w:rPr>
                <m:t>T</m:t>
              </m:r>
            </m:sup>
            <m:e>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CCDF</m:t>
                      </m:r>
                    </m:e>
                    <m:sub>
                      <m:r>
                        <w:rPr>
                          <w:rFonts w:ascii="Cambria Math" w:eastAsia="Batang" w:hAnsi="Cambria Math"/>
                          <w:lang w:val="en-US"/>
                        </w:rPr>
                        <m:t>i</m:t>
                      </m:r>
                    </m:sub>
                  </m:sSub>
                  <m:r>
                    <w:rPr>
                      <w:rFonts w:ascii="Cambria Math" w:eastAsia="Batang" w:hAnsi="Cambria Math"/>
                      <w:lang w:val="en-US"/>
                    </w:rPr>
                    <m:t>(t)-</m:t>
                  </m:r>
                  <m:sSub>
                    <m:sSubPr>
                      <m:ctrlPr>
                        <w:rPr>
                          <w:rFonts w:ascii="Cambria Math" w:eastAsia="Batang" w:hAnsi="Cambria Math"/>
                          <w:i/>
                          <w:lang w:val="en-US"/>
                        </w:rPr>
                      </m:ctrlPr>
                    </m:sSubPr>
                    <m:e>
                      <m:r>
                        <w:rPr>
                          <w:rFonts w:ascii="Cambria Math" w:eastAsia="Batang" w:hAnsi="Cambria Math"/>
                          <w:lang w:val="en-US"/>
                        </w:rPr>
                        <m:t>CDF</m:t>
                      </m:r>
                    </m:e>
                    <m:sub>
                      <m:r>
                        <w:rPr>
                          <w:rFonts w:ascii="Cambria Math" w:eastAsia="Batang" w:hAnsi="Cambria Math"/>
                          <w:lang w:val="en-US"/>
                        </w:rPr>
                        <m:t>baseline</m:t>
                      </m:r>
                    </m:sub>
                  </m:sSub>
                  <m:r>
                    <w:rPr>
                      <w:rFonts w:ascii="Cambria Math" w:eastAsia="Batang" w:hAnsi="Cambria Math"/>
                      <w:lang w:val="en-US"/>
                    </w:rPr>
                    <m:t>(t)</m:t>
                  </m:r>
                </m:e>
              </m:d>
            </m:e>
          </m:nary>
          <m:r>
            <w:rPr>
              <w:rFonts w:ascii="Cambria Math" w:eastAsia="Batang" w:hAnsi="Cambria Math" w:hint="eastAsia"/>
              <w:lang w:val="en-US"/>
            </w:rPr>
            <m:t>dt</m:t>
          </m:r>
        </m:oMath>
      </m:oMathPara>
    </w:p>
    <w:p w:rsidR="00850225" w:rsidRPr="00313E82" w:rsidRDefault="00850225">
      <w:pPr>
        <w:rPr>
          <w:rFonts w:eastAsia="Batang"/>
          <w:lang w:val="en-US"/>
        </w:rPr>
      </w:pPr>
    </w:p>
    <w:p w:rsidR="00850225" w:rsidRPr="00313E82" w:rsidRDefault="00850225" w:rsidP="00741D3C">
      <w:pPr>
        <w:rPr>
          <w:rFonts w:eastAsia="Batang"/>
          <w:lang w:val="en-US"/>
        </w:rPr>
      </w:pPr>
      <w:r w:rsidRPr="00313E82">
        <w:rPr>
          <w:rFonts w:eastAsia="Batang"/>
          <w:lang w:val="en-US"/>
        </w:rPr>
        <w:t xml:space="preserve">This risk measure is used world-wide for probabilistic evaluation of operational experience. For example the Swiss regulator recommends in </w:t>
      </w:r>
      <w:r w:rsidR="009E768B" w:rsidRPr="007E0C24">
        <w:rPr>
          <w:rFonts w:eastAsia="Batang"/>
          <w:lang w:val="en-US"/>
        </w:rPr>
        <w:fldChar w:fldCharType="begin"/>
      </w:r>
      <w:r w:rsidRPr="00313E82">
        <w:rPr>
          <w:rFonts w:eastAsia="Batang"/>
          <w:lang w:val="en-US"/>
        </w:rPr>
        <w:instrText xml:space="preserve"> REF _Ref418530208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[76]</w:t>
      </w:r>
      <w:r w:rsidR="009E768B" w:rsidRPr="007E0C24">
        <w:rPr>
          <w:rFonts w:eastAsia="Batang"/>
          <w:lang w:val="en-US"/>
        </w:rPr>
        <w:fldChar w:fldCharType="end"/>
      </w:r>
      <w:r w:rsidRPr="00313E82">
        <w:rPr>
          <w:rFonts w:eastAsia="Batang"/>
          <w:lang w:val="en-US"/>
        </w:rPr>
        <w:t xml:space="preserve"> to use the following formula to estimate </w:t>
      </w:r>
      <w:r w:rsidRPr="00313E82">
        <w:rPr>
          <w:rFonts w:eastAsia="Batang"/>
          <w:i/>
          <w:lang w:val="en-US"/>
        </w:rPr>
        <w:t>ICCDP</w:t>
      </w:r>
      <w:r w:rsidRPr="00313E82">
        <w:rPr>
          <w:rFonts w:eastAsia="Batang"/>
          <w:i/>
          <w:vertAlign w:val="subscript"/>
          <w:lang w:val="en-US"/>
        </w:rPr>
        <w:t>i</w:t>
      </w:r>
      <w:r w:rsidRPr="00313E82">
        <w:rPr>
          <w:rFonts w:eastAsia="Batang"/>
          <w:lang w:val="en-US"/>
        </w:rPr>
        <w:t xml:space="preserve"> (</w:t>
      </w:r>
      <w:r w:rsidRPr="00313E82">
        <w:rPr>
          <w:rFonts w:eastAsia="Batang"/>
          <w:i/>
          <w:lang w:val="en-US"/>
        </w:rPr>
        <w:t>Δt</w:t>
      </w:r>
      <w:r w:rsidRPr="00313E82">
        <w:rPr>
          <w:rFonts w:eastAsia="Batang"/>
          <w:i/>
          <w:vertAlign w:val="subscript"/>
          <w:lang w:val="en-US"/>
        </w:rPr>
        <w:t>i</w:t>
      </w:r>
      <w:r w:rsidRPr="00313E82">
        <w:rPr>
          <w:rFonts w:eastAsia="Batang"/>
          <w:lang w:val="en-US"/>
        </w:rPr>
        <w:t xml:space="preserve"> is the duration of component unavailability configuration in hours)</w:t>
      </w:r>
      <w:r w:rsidRPr="00C94556">
        <w:rPr>
          <w:lang w:val="en-US"/>
        </w:rPr>
        <w:t xml:space="preserve"> </w:t>
      </w:r>
      <w:r w:rsidRPr="00313E82">
        <w:rPr>
          <w:rFonts w:eastAsia="Batang"/>
          <w:lang w:val="en-US"/>
        </w:rPr>
        <w:t xml:space="preserve">given </w:t>
      </w:r>
      <w:r w:rsidRPr="00313E82">
        <w:rPr>
          <w:rFonts w:eastAsia="Batang"/>
          <w:i/>
          <w:lang w:val="en-US"/>
        </w:rPr>
        <w:t>CCDF</w:t>
      </w:r>
      <w:r w:rsidRPr="00313E82">
        <w:rPr>
          <w:rFonts w:eastAsia="Batang"/>
          <w:i/>
          <w:vertAlign w:val="subscript"/>
          <w:lang w:val="en-US"/>
        </w:rPr>
        <w:t>i</w:t>
      </w:r>
      <w:r w:rsidRPr="00313E82">
        <w:rPr>
          <w:rFonts w:eastAsia="Batang"/>
          <w:lang w:val="en-US"/>
        </w:rPr>
        <w:t xml:space="preserve"> and </w:t>
      </w:r>
      <w:r w:rsidRPr="00313E82">
        <w:rPr>
          <w:rFonts w:eastAsia="Batang"/>
          <w:i/>
          <w:lang w:val="en-US"/>
        </w:rPr>
        <w:t>CDF</w:t>
      </w:r>
      <w:r w:rsidRPr="00313E82">
        <w:rPr>
          <w:rFonts w:eastAsia="Batang"/>
          <w:i/>
          <w:vertAlign w:val="subscript"/>
          <w:lang w:val="en-US"/>
        </w:rPr>
        <w:t>baseline</w:t>
      </w:r>
      <w:r w:rsidRPr="00313E82">
        <w:rPr>
          <w:rFonts w:eastAsia="Batang"/>
          <w:lang w:val="en-US"/>
        </w:rPr>
        <w:t xml:space="preserve"> are constant within time </w:t>
      </w:r>
      <w:r w:rsidRPr="00313E82">
        <w:rPr>
          <w:rFonts w:eastAsia="Batang"/>
          <w:i/>
          <w:lang w:val="en-US"/>
        </w:rPr>
        <w:t>Δt</w:t>
      </w:r>
      <w:r w:rsidRPr="00313E82">
        <w:rPr>
          <w:rFonts w:eastAsia="Batang"/>
          <w:i/>
          <w:vertAlign w:val="subscript"/>
          <w:lang w:val="en-US"/>
        </w:rPr>
        <w:t>i</w:t>
      </w:r>
      <w:r w:rsidRPr="00313E82">
        <w:rPr>
          <w:rFonts w:eastAsia="Batang"/>
          <w:lang w:val="en-US"/>
        </w:rPr>
        <w:t>:</w:t>
      </w:r>
    </w:p>
    <w:p w:rsidR="00850225" w:rsidRPr="00313E82" w:rsidRDefault="00850225">
      <w:pPr>
        <w:rPr>
          <w:rFonts w:eastAsia="Batang"/>
          <w:lang w:val="en-US"/>
        </w:rPr>
      </w:pPr>
    </w:p>
    <w:p w:rsidR="00850225" w:rsidRPr="00313E82" w:rsidRDefault="0043746A">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ICCDP</m:t>
              </m:r>
            </m:e>
            <m:sub>
              <m:r>
                <w:rPr>
                  <w:rFonts w:ascii="Cambria Math" w:eastAsia="Batang" w:hAnsi="Cambria Math"/>
                  <w:lang w:val="en-US"/>
                </w:rPr>
                <m:t>i</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CCDF</m:t>
              </m:r>
            </m:e>
            <m:sub>
              <m:r>
                <w:rPr>
                  <w:rFonts w:ascii="Cambria Math" w:eastAsia="Batang" w:hAnsi="Cambria Math"/>
                  <w:lang w:val="en-US"/>
                </w:rPr>
                <m:t>i</m:t>
              </m:r>
            </m:sub>
          </m:sSub>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CDF</m:t>
              </m:r>
            </m:e>
            <m:sub>
              <m:r>
                <w:rPr>
                  <w:rFonts w:ascii="Cambria Math" w:eastAsia="Batang" w:hAnsi="Cambria Math"/>
                  <w:lang w:val="en-US"/>
                </w:rPr>
                <m:t>baseline</m:t>
              </m:r>
            </m:sub>
          </m:sSub>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i</m:t>
                  </m:r>
                </m:sub>
              </m:sSub>
            </m:num>
            <m:den>
              <m:r>
                <w:rPr>
                  <w:rFonts w:ascii="Cambria Math" w:eastAsia="Batang" w:hAnsi="Cambria Math"/>
                  <w:lang w:val="en-US"/>
                </w:rPr>
                <m:t xml:space="preserve">8760 </m:t>
              </m:r>
              <m:r>
                <w:rPr>
                  <w:rFonts w:ascii="Cambria Math" w:eastAsia="Batang" w:hAnsi="Cambria Math"/>
                  <w:lang w:val="en-US"/>
                </w:rPr>
                <m:t>h/year</m:t>
              </m:r>
            </m:den>
          </m:f>
        </m:oMath>
      </m:oMathPara>
    </w:p>
    <w:p w:rsidR="00850225" w:rsidRPr="00313E82" w:rsidRDefault="00850225">
      <w:pPr>
        <w:rPr>
          <w:rFonts w:eastAsia="Batang"/>
          <w:lang w:val="en-US"/>
        </w:rPr>
      </w:pPr>
    </w:p>
    <w:p w:rsidR="00850225" w:rsidRPr="00313E82" w:rsidRDefault="00850225" w:rsidP="00741D3C">
      <w:pPr>
        <w:rPr>
          <w:rFonts w:eastAsia="Batang"/>
          <w:lang w:val="en-US"/>
        </w:rPr>
      </w:pPr>
      <w:r w:rsidRPr="00313E82">
        <w:rPr>
          <w:rFonts w:eastAsia="Batang"/>
          <w:lang w:val="en-US"/>
        </w:rPr>
        <w:lastRenderedPageBreak/>
        <w:t xml:space="preserve">They are referred to as a conditional probability because they are conditioned on being in a specific plant configuration. The definition references a so-called baseline CDF, which corresponds to a zero-maintenance model of the plant </w:t>
      </w:r>
      <w:r w:rsidR="009E768B" w:rsidRPr="007E0C24">
        <w:rPr>
          <w:rFonts w:eastAsia="Batang"/>
          <w:lang w:val="en-US"/>
        </w:rPr>
        <w:fldChar w:fldCharType="begin"/>
      </w:r>
      <w:r w:rsidRPr="00313E82">
        <w:rPr>
          <w:rFonts w:eastAsia="Batang"/>
          <w:lang w:val="en-US"/>
        </w:rPr>
        <w:instrText xml:space="preserve"> REF _Ref418530208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[76]</w:t>
      </w:r>
      <w:r w:rsidR="009E768B" w:rsidRPr="007E0C24">
        <w:rPr>
          <w:rFonts w:eastAsia="Batang"/>
          <w:lang w:val="en-US"/>
        </w:rPr>
        <w:fldChar w:fldCharType="end"/>
      </w:r>
      <w:r w:rsidRPr="00313E82">
        <w:rPr>
          <w:rFonts w:eastAsia="Batang"/>
          <w:lang w:val="en-US"/>
        </w:rPr>
        <w:t>.</w:t>
      </w:r>
    </w:p>
    <w:p w:rsidR="00850225" w:rsidRPr="00313E82" w:rsidRDefault="00850225">
      <w:pPr>
        <w:rPr>
          <w:rFonts w:eastAsia="Batang"/>
          <w:lang w:val="en-US"/>
        </w:rPr>
      </w:pPr>
      <w:r w:rsidRPr="00313E82">
        <w:rPr>
          <w:rFonts w:eastAsia="Batang"/>
          <w:lang w:val="en-US"/>
        </w:rPr>
        <w:t xml:space="preserve">It can be implied by their definition, that cumulative conditional core damage probability and incremental conditional core damage probability are derived risk measures based on other secondary risk measures, i.e. on time dependent conditional core damage frequency </w:t>
      </w:r>
      <w:r w:rsidRPr="00313E82">
        <w:rPr>
          <w:rFonts w:eastAsia="Batang"/>
          <w:i/>
          <w:lang w:val="en-US"/>
        </w:rPr>
        <w:t>(CCDF(t))</w:t>
      </w:r>
      <w:r w:rsidRPr="00313E82">
        <w:rPr>
          <w:rFonts w:eastAsia="Batang"/>
          <w:lang w:val="en-US"/>
        </w:rPr>
        <w:t>.</w:t>
      </w:r>
    </w:p>
    <w:p w:rsidR="00850225" w:rsidRPr="00313E82" w:rsidRDefault="00850225" w:rsidP="00C94556">
      <w:pPr>
        <w:pStyle w:val="Titre3"/>
        <w:rPr>
          <w:rFonts w:eastAsia="Batang"/>
          <w:lang w:val="en-US"/>
        </w:rPr>
      </w:pPr>
      <w:bookmarkStart w:id="100" w:name="_Toc474430124"/>
      <w:r w:rsidRPr="00313E82">
        <w:rPr>
          <w:rFonts w:eastAsia="Batang"/>
          <w:lang w:val="en-US"/>
        </w:rPr>
        <w:t>Areas of application:</w:t>
      </w:r>
      <w:bookmarkEnd w:id="100"/>
    </w:p>
    <w:p w:rsidR="00850225" w:rsidRPr="00313E82" w:rsidRDefault="00850225" w:rsidP="00741D3C">
      <w:pPr>
        <w:rPr>
          <w:rFonts w:eastAsia="Batang"/>
          <w:lang w:val="en-US"/>
        </w:rPr>
      </w:pPr>
      <w:r w:rsidRPr="00313E82">
        <w:rPr>
          <w:rFonts w:eastAsia="Batang"/>
          <w:lang w:val="en-US"/>
        </w:rPr>
        <w:t xml:space="preserve">Conditional core damage probability is also a widely applied secondary risk measure in several PSA application areas, since it reflects, amongst others, the level of risk in a certain condition of the plant (at a certain time point or for a time period). In this manner it can be used for screening purposes, e.g. an external event has a mean occurrence frequency &lt;10-5/yr, and the mean value of the conditional core damage probability is assessed to be &lt;10-1. Also as a significant application area, this risk measure can be a tool to calculate the usage of a predefined risk budget for a given time period, e.g. for a year. Hereby we list some examples of PSA applications that have relevance concerning the risk measure of conditional core damage probability (for a more comprehensive presentation see </w:t>
      </w:r>
      <w:r w:rsidR="009E768B" w:rsidRPr="007E0C24">
        <w:rPr>
          <w:rFonts w:eastAsia="Batang"/>
          <w:lang w:val="en-US"/>
        </w:rPr>
        <w:fldChar w:fldCharType="begin"/>
      </w:r>
      <w:r w:rsidRPr="00313E82">
        <w:rPr>
          <w:rFonts w:eastAsia="Batang"/>
          <w:lang w:val="en-US"/>
        </w:rPr>
        <w:instrText xml:space="preserve"> REF _Ref399743302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[65]</w:t>
      </w:r>
      <w:r w:rsidR="009E768B" w:rsidRPr="007E0C24">
        <w:rPr>
          <w:rFonts w:eastAsia="Batang"/>
          <w:lang w:val="en-US"/>
        </w:rPr>
        <w:fldChar w:fldCharType="end"/>
      </w:r>
      <w:r w:rsidRPr="00313E82">
        <w:rPr>
          <w:rFonts w:eastAsia="Batang"/>
          <w:lang w:val="en-US"/>
        </w:rPr>
        <w:t>):</w:t>
      </w:r>
    </w:p>
    <w:p w:rsidR="00850225" w:rsidRPr="00C94556" w:rsidRDefault="00850225" w:rsidP="00D873A7">
      <w:pPr>
        <w:pStyle w:val="Paragraphedeliste"/>
        <w:numPr>
          <w:ilvl w:val="0"/>
          <w:numId w:val="21"/>
        </w:numPr>
        <w:rPr>
          <w:lang w:val="en-US"/>
        </w:rPr>
      </w:pPr>
      <w:r w:rsidRPr="00C94556">
        <w:rPr>
          <w:lang w:val="en-US"/>
        </w:rPr>
        <w:t>risk informed (PSA based) evaluation and rating of operational events,</w:t>
      </w:r>
    </w:p>
    <w:p w:rsidR="00850225" w:rsidRPr="00C94556" w:rsidRDefault="00850225" w:rsidP="003651CB">
      <w:pPr>
        <w:pStyle w:val="Paragraphedeliste"/>
        <w:numPr>
          <w:ilvl w:val="0"/>
          <w:numId w:val="21"/>
        </w:numPr>
        <w:rPr>
          <w:lang w:val="en-US"/>
        </w:rPr>
      </w:pPr>
      <w:r w:rsidRPr="00C94556">
        <w:rPr>
          <w:lang w:val="en-US"/>
        </w:rPr>
        <w:t>real time configuration assessment and control (response to emerging conditions),</w:t>
      </w:r>
    </w:p>
    <w:p w:rsidR="00850225" w:rsidRPr="00C94556" w:rsidRDefault="00850225" w:rsidP="009E13CC">
      <w:pPr>
        <w:pStyle w:val="Paragraphedeliste"/>
        <w:numPr>
          <w:ilvl w:val="0"/>
          <w:numId w:val="21"/>
        </w:numPr>
        <w:rPr>
          <w:lang w:val="en-US"/>
        </w:rPr>
      </w:pPr>
      <w:r w:rsidRPr="00C94556">
        <w:rPr>
          <w:lang w:val="en-US"/>
        </w:rPr>
        <w:t>risk monitor,</w:t>
      </w:r>
    </w:p>
    <w:p w:rsidR="00850225" w:rsidRPr="00C94556" w:rsidRDefault="00850225" w:rsidP="000C1ABB">
      <w:pPr>
        <w:pStyle w:val="Paragraphedeliste"/>
        <w:numPr>
          <w:ilvl w:val="0"/>
          <w:numId w:val="21"/>
        </w:numPr>
        <w:rPr>
          <w:lang w:val="en-US"/>
        </w:rPr>
      </w:pPr>
      <w:r w:rsidRPr="00C94556">
        <w:rPr>
          <w:lang w:val="en-US"/>
        </w:rPr>
        <w:t>dynamic risk-informed technical specifications,</w:t>
      </w:r>
    </w:p>
    <w:p w:rsidR="00850225" w:rsidRPr="00C94556" w:rsidRDefault="00850225" w:rsidP="0077117F">
      <w:pPr>
        <w:pStyle w:val="Paragraphedeliste"/>
        <w:numPr>
          <w:ilvl w:val="0"/>
          <w:numId w:val="21"/>
        </w:numPr>
        <w:rPr>
          <w:lang w:val="en-US"/>
        </w:rPr>
      </w:pPr>
      <w:r w:rsidRPr="00C94556">
        <w:rPr>
          <w:lang w:val="en-US"/>
        </w:rPr>
        <w:t>determination and evaluation of changes to allowed outage times and changes to required technical specification actions,</w:t>
      </w:r>
    </w:p>
    <w:p w:rsidR="00850225" w:rsidRPr="00C94556" w:rsidRDefault="00850225" w:rsidP="008F58CE">
      <w:pPr>
        <w:pStyle w:val="Paragraphedeliste"/>
        <w:numPr>
          <w:ilvl w:val="0"/>
          <w:numId w:val="21"/>
        </w:numPr>
        <w:rPr>
          <w:lang w:val="en-US"/>
        </w:rPr>
      </w:pPr>
      <w:r w:rsidRPr="00C94556">
        <w:rPr>
          <w:lang w:val="en-US"/>
        </w:rPr>
        <w:t>risk-informed in-service inspections,</w:t>
      </w:r>
    </w:p>
    <w:p w:rsidR="00850225" w:rsidRPr="00C94556" w:rsidRDefault="00850225" w:rsidP="008F58CE">
      <w:pPr>
        <w:pStyle w:val="Paragraphedeliste"/>
        <w:numPr>
          <w:ilvl w:val="0"/>
          <w:numId w:val="21"/>
        </w:numPr>
        <w:rPr>
          <w:lang w:val="en-US"/>
        </w:rPr>
      </w:pPr>
      <w:r w:rsidRPr="00C94556">
        <w:rPr>
          <w:lang w:val="en-US"/>
        </w:rPr>
        <w:t>configuration planning (e.g. support to plant maintenance and test activities),</w:t>
      </w:r>
    </w:p>
    <w:p w:rsidR="00850225" w:rsidRPr="00313E82" w:rsidRDefault="00850225" w:rsidP="001D1209">
      <w:pPr>
        <w:pStyle w:val="Paragraphedeliste"/>
        <w:numPr>
          <w:ilvl w:val="0"/>
          <w:numId w:val="21"/>
        </w:numPr>
        <w:rPr>
          <w:rFonts w:eastAsia="Batang"/>
          <w:lang w:val="en-US"/>
        </w:rPr>
      </w:pPr>
      <w:r w:rsidRPr="00C94556">
        <w:rPr>
          <w:lang w:val="en-US"/>
        </w:rPr>
        <w:t>exemptions to technical specifications and justification for continued operation.</w:t>
      </w:r>
    </w:p>
    <w:p w:rsidR="00850225" w:rsidRPr="00313E82" w:rsidRDefault="00850225" w:rsidP="00C94556">
      <w:pPr>
        <w:pStyle w:val="Titre3"/>
        <w:rPr>
          <w:rFonts w:eastAsia="Batang"/>
          <w:lang w:val="en-US"/>
        </w:rPr>
      </w:pPr>
      <w:bookmarkStart w:id="101" w:name="_Ref429576584"/>
      <w:bookmarkStart w:id="102" w:name="_Toc474430125"/>
      <w:r w:rsidRPr="00313E82">
        <w:rPr>
          <w:rFonts w:eastAsia="Batang"/>
          <w:lang w:val="en-US"/>
        </w:rPr>
        <w:t>Discussion</w:t>
      </w:r>
      <w:bookmarkEnd w:id="101"/>
      <w:bookmarkEnd w:id="102"/>
    </w:p>
    <w:p w:rsidR="00B1664A" w:rsidRDefault="00850225">
      <w:pPr>
        <w:rPr>
          <w:rFonts w:eastAsia="Batang"/>
          <w:lang w:val="en-US"/>
        </w:rPr>
      </w:pPr>
      <w:r w:rsidRPr="00552F4E">
        <w:rPr>
          <w:rFonts w:eastAsia="Batang"/>
          <w:u w:val="single"/>
          <w:lang w:val="en-US"/>
        </w:rPr>
        <w:t>Validity</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t>This risk measure implies the level of risk on an NPP having a special plant configuration at a certain point of time or for a time period. In this manner, conditional core damage probability is a valid risk measure for several purposes providing relevant information to PSA specialists and decision makers. However, conditional core damage probability (similarly to the risk measure of CDF) is unable to discriminate between scenarios likely leading to very large releases and scenarios likely leading only to small releases.</w:t>
      </w:r>
    </w:p>
    <w:p w:rsidR="00B1664A" w:rsidRDefault="00850225">
      <w:pPr>
        <w:rPr>
          <w:rFonts w:eastAsia="Batang"/>
          <w:lang w:val="en-US"/>
        </w:rPr>
      </w:pPr>
      <w:r w:rsidRPr="00552F4E">
        <w:rPr>
          <w:rFonts w:eastAsia="Batang"/>
          <w:u w:val="single"/>
          <w:lang w:val="en-US"/>
        </w:rPr>
        <w:t>Reliability</w:t>
      </w:r>
      <w:r w:rsidRPr="00313E82">
        <w:rPr>
          <w:rFonts w:eastAsia="Batang"/>
          <w:lang w:val="en-US"/>
        </w:rPr>
        <w:t xml:space="preserve">: </w:t>
      </w:r>
    </w:p>
    <w:p w:rsidR="00850225" w:rsidRPr="00313E82" w:rsidRDefault="00850225" w:rsidP="00262C82">
      <w:pPr>
        <w:ind w:left="709"/>
        <w:rPr>
          <w:rFonts w:eastAsia="Batang"/>
          <w:lang w:val="en-US"/>
        </w:rPr>
      </w:pPr>
      <w:r w:rsidRPr="00313E82">
        <w:rPr>
          <w:rFonts w:eastAsia="Batang"/>
          <w:lang w:val="en-US"/>
        </w:rPr>
        <w:t xml:space="preserve">With respect to reliability, the same applies to conditional core damage probability as to change in CDF (see section </w:t>
      </w:r>
      <w:r w:rsidR="009E768B" w:rsidRPr="007E0C24">
        <w:rPr>
          <w:rFonts w:eastAsia="Batang"/>
          <w:lang w:val="en-US"/>
        </w:rPr>
        <w:fldChar w:fldCharType="begin"/>
      </w:r>
      <w:r w:rsidRPr="00313E82">
        <w:rPr>
          <w:rFonts w:eastAsia="Batang"/>
          <w:lang w:val="en-US"/>
        </w:rPr>
        <w:instrText xml:space="preserve"> REF _Ref306873252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2.3.3</w:t>
      </w:r>
      <w:r w:rsidR="009E768B" w:rsidRPr="007E0C24">
        <w:rPr>
          <w:rFonts w:eastAsia="Batang"/>
          <w:lang w:val="en-US"/>
        </w:rPr>
        <w:fldChar w:fldCharType="end"/>
      </w:r>
      <w:r w:rsidRPr="00313E82">
        <w:rPr>
          <w:rFonts w:eastAsia="Batang"/>
          <w:lang w:val="en-US"/>
        </w:rPr>
        <w:t>).</w:t>
      </w:r>
    </w:p>
    <w:p w:rsidR="001D36E0" w:rsidRDefault="00850225">
      <w:pPr>
        <w:rPr>
          <w:rFonts w:eastAsia="Batang"/>
          <w:lang w:val="en-US"/>
        </w:rPr>
      </w:pPr>
      <w:r w:rsidRPr="00552F4E">
        <w:rPr>
          <w:rFonts w:eastAsia="Batang"/>
          <w:u w:val="single"/>
          <w:lang w:val="en-US"/>
        </w:rPr>
        <w:t>Consistency</w:t>
      </w:r>
      <w:r w:rsidRPr="00313E82">
        <w:rPr>
          <w:rFonts w:eastAsia="Batang"/>
          <w:lang w:val="en-US"/>
        </w:rPr>
        <w:t xml:space="preserve">: </w:t>
      </w:r>
    </w:p>
    <w:p w:rsidR="00850225" w:rsidRPr="00313E82" w:rsidRDefault="001D36E0" w:rsidP="00B76953">
      <w:pPr>
        <w:ind w:left="709"/>
        <w:rPr>
          <w:rFonts w:eastAsia="Batang"/>
          <w:lang w:val="en-US"/>
        </w:rPr>
      </w:pPr>
      <w:r>
        <w:rPr>
          <w:lang w:val="en-US"/>
        </w:rPr>
        <w:lastRenderedPageBreak/>
        <w:t>C</w:t>
      </w:r>
      <w:r w:rsidR="00850225" w:rsidRPr="00313E82">
        <w:rPr>
          <w:lang w:val="en-US"/>
        </w:rPr>
        <w:t xml:space="preserve">onditional core damage probability shows the probability of </w:t>
      </w:r>
      <w:r w:rsidR="00850225" w:rsidRPr="00313E82">
        <w:rPr>
          <w:rFonts w:eastAsia="Batang"/>
          <w:lang w:val="en-US"/>
        </w:rPr>
        <w:t>significant degradation of the reactor core (</w:t>
      </w:r>
      <w:r w:rsidR="00850225" w:rsidRPr="00313E82">
        <w:rPr>
          <w:rFonts w:eastAsia="Batang"/>
          <w:i/>
          <w:lang w:val="en-US"/>
        </w:rPr>
        <w:t>CD</w:t>
      </w:r>
      <w:r w:rsidR="00850225" w:rsidRPr="00313E82">
        <w:rPr>
          <w:rFonts w:eastAsia="Batang"/>
          <w:lang w:val="en-US"/>
        </w:rPr>
        <w:t>) upon the condition that a specific plant configuration is present. In this respect – not taking into consideration the characteristics of the direct risk measure of CDF – the evaluation of the conditional core damage probability is a suitable tool to help decision makers, not giving rise to contradiction in relevant decision making scenarios.</w:t>
      </w:r>
    </w:p>
    <w:p w:rsidR="001D36E0" w:rsidRDefault="00850225">
      <w:pPr>
        <w:rPr>
          <w:rFonts w:eastAsia="Batang"/>
          <w:lang w:val="en-US"/>
        </w:rPr>
      </w:pPr>
      <w:r w:rsidRPr="00552F4E">
        <w:rPr>
          <w:rFonts w:eastAsia="Batang"/>
          <w:u w:val="single"/>
          <w:lang w:val="en-US"/>
        </w:rPr>
        <w:t>Risk aggregation properties</w:t>
      </w:r>
      <w:r w:rsidRPr="00313E82">
        <w:rPr>
          <w:rFonts w:eastAsia="Batang"/>
          <w:lang w:val="en-US"/>
        </w:rPr>
        <w:t xml:space="preserve">: </w:t>
      </w:r>
    </w:p>
    <w:p w:rsidR="00850225" w:rsidRPr="00313E82" w:rsidRDefault="00850225" w:rsidP="00262C82">
      <w:pPr>
        <w:ind w:left="709"/>
        <w:rPr>
          <w:rFonts w:eastAsia="Batang"/>
          <w:lang w:val="en-US"/>
        </w:rPr>
      </w:pPr>
      <w:r w:rsidRPr="00313E82">
        <w:rPr>
          <w:rFonts w:eastAsia="Batang"/>
          <w:lang w:val="en-US"/>
        </w:rPr>
        <w:t>As conditional core damage probability is a deriv</w:t>
      </w:r>
      <w:r w:rsidR="00626279">
        <w:rPr>
          <w:rFonts w:eastAsia="Batang"/>
          <w:lang w:val="en-US"/>
        </w:rPr>
        <w:t>ed</w:t>
      </w:r>
      <w:r w:rsidRPr="00313E82">
        <w:rPr>
          <w:rFonts w:eastAsia="Batang"/>
          <w:lang w:val="en-US"/>
        </w:rPr>
        <w:t xml:space="preserve"> measure of the CDF, </w:t>
      </w:r>
      <w:r w:rsidR="00F50BB0">
        <w:rPr>
          <w:rFonts w:eastAsia="Batang"/>
          <w:lang w:val="en-US"/>
        </w:rPr>
        <w:t xml:space="preserve">it inherits the basic limitations on </w:t>
      </w:r>
      <w:r w:rsidRPr="00313E82">
        <w:rPr>
          <w:rFonts w:eastAsia="Batang"/>
          <w:lang w:val="en-US"/>
        </w:rPr>
        <w:t xml:space="preserve">risk aggregation properties (see also section </w:t>
      </w:r>
      <w:r w:rsidR="009E768B" w:rsidRPr="007E0C24">
        <w:rPr>
          <w:rFonts w:eastAsia="Batang"/>
          <w:lang w:val="en-US"/>
        </w:rPr>
        <w:fldChar w:fldCharType="begin"/>
      </w:r>
      <w:r w:rsidRPr="00313E82">
        <w:rPr>
          <w:rFonts w:eastAsia="Batang"/>
          <w:lang w:val="en-US"/>
        </w:rPr>
        <w:instrText xml:space="preserve"> REF _Ref306873325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2.1.3</w:t>
      </w:r>
      <w:r w:rsidR="009E768B" w:rsidRPr="007E0C24">
        <w:rPr>
          <w:rFonts w:eastAsia="Batang"/>
          <w:lang w:val="en-US"/>
        </w:rPr>
        <w:fldChar w:fldCharType="end"/>
      </w:r>
      <w:r w:rsidRPr="00313E82">
        <w:rPr>
          <w:rFonts w:eastAsia="Batang"/>
          <w:lang w:val="en-US"/>
        </w:rPr>
        <w:t>).</w:t>
      </w:r>
      <w:r w:rsidR="00C65F43" w:rsidRPr="00313E82">
        <w:rPr>
          <w:rFonts w:eastAsia="Batang"/>
          <w:lang w:val="en-US"/>
        </w:rPr>
        <w:t xml:space="preserve"> </w:t>
      </w:r>
      <w:r w:rsidR="00F50BB0">
        <w:rPr>
          <w:rFonts w:eastAsia="Batang"/>
          <w:lang w:val="en-US"/>
        </w:rPr>
        <w:t xml:space="preserve">With respect to aggregating CCDP results, simply adding these figures is incorrect in most cases. Instead, Bayes’ law has to be respected. </w:t>
      </w:r>
      <w:r w:rsidR="00C65F43" w:rsidRPr="00313E82">
        <w:rPr>
          <w:rFonts w:eastAsia="Batang"/>
          <w:lang w:val="en-US"/>
        </w:rPr>
        <w:t xml:space="preserve">In </w:t>
      </w:r>
      <w:r w:rsidR="00F50BB0">
        <w:rPr>
          <w:rFonts w:eastAsia="Batang"/>
          <w:lang w:val="en-US"/>
        </w:rPr>
        <w:t>practice</w:t>
      </w:r>
      <w:r w:rsidR="00C65F43" w:rsidRPr="00313E82">
        <w:rPr>
          <w:rFonts w:eastAsia="Batang"/>
          <w:lang w:val="en-US"/>
        </w:rPr>
        <w:t>, the aggregation of the conditional core damage probabilities for different intermediate states should be performed by implementing model rearrangements and/or special boundary conditions (house events</w:t>
      </w:r>
      <w:r w:rsidR="00626279">
        <w:rPr>
          <w:rFonts w:eastAsia="Batang"/>
          <w:lang w:val="en-US"/>
        </w:rPr>
        <w:t>, flags</w:t>
      </w:r>
      <w:r w:rsidR="00C65F43" w:rsidRPr="00313E82">
        <w:rPr>
          <w:rFonts w:eastAsia="Batang"/>
          <w:lang w:val="en-US"/>
        </w:rPr>
        <w:t xml:space="preserve">) that are relevant to all intermediate states in question. Then the modified model should be evaluated by an appropriate quantification approach. It </w:t>
      </w:r>
      <w:r w:rsidR="00F50BB0">
        <w:rPr>
          <w:rFonts w:eastAsia="Batang"/>
          <w:lang w:val="en-US"/>
        </w:rPr>
        <w:t>is often not</w:t>
      </w:r>
      <w:r w:rsidR="00C65F43" w:rsidRPr="00313E82">
        <w:rPr>
          <w:rFonts w:eastAsia="Batang"/>
          <w:lang w:val="en-US"/>
        </w:rPr>
        <w:t xml:space="preserve"> appropriate to separately model each intermediate state and aggregate the risk measures by summing them up one by one. If there is some dependence among the different intermediate states, then the summation of measures obtained from the separate models can yield misleading results.</w:t>
      </w:r>
    </w:p>
    <w:p w:rsidR="001D36E0" w:rsidRDefault="00850225">
      <w:pPr>
        <w:rPr>
          <w:rFonts w:eastAsia="Batang"/>
          <w:lang w:val="en-US"/>
        </w:rPr>
      </w:pPr>
      <w:r w:rsidRPr="00552F4E">
        <w:rPr>
          <w:rFonts w:eastAsia="Batang"/>
          <w:u w:val="single"/>
          <w:lang w:val="en-US"/>
        </w:rPr>
        <w:t>Understandability to the PSA community</w:t>
      </w:r>
      <w:r w:rsidRPr="00313E82">
        <w:rPr>
          <w:rFonts w:eastAsia="Batang"/>
          <w:lang w:val="en-US"/>
        </w:rPr>
        <w:t xml:space="preserve">: </w:t>
      </w:r>
    </w:p>
    <w:p w:rsidR="00850225" w:rsidRPr="00313E82" w:rsidRDefault="00850225" w:rsidP="000B020F">
      <w:pPr>
        <w:ind w:left="709"/>
        <w:rPr>
          <w:rFonts w:eastAsia="Batang"/>
          <w:lang w:val="en-US"/>
        </w:rPr>
      </w:pPr>
      <w:r w:rsidRPr="00313E82">
        <w:rPr>
          <w:rFonts w:eastAsia="Batang"/>
          <w:lang w:val="en-US"/>
        </w:rPr>
        <w:t xml:space="preserve">The conditional core damage probability is a widely used secondary risk measure, which is well understood by the PSA community (besides the difficulties arising from the lack of general definition on core damage, see section </w:t>
      </w:r>
      <w:r w:rsidR="00CD0CBE">
        <w:fldChar w:fldCharType="begin"/>
      </w:r>
      <w:r w:rsidR="00CD0CBE">
        <w:instrText xml:space="preserve"> REF _Ref306873354 \r \h  \* MERGEFORMAT </w:instrText>
      </w:r>
      <w:r w:rsidR="00CD0CBE">
        <w:fldChar w:fldCharType="separate"/>
      </w:r>
      <w:r w:rsidR="00B772CA" w:rsidRPr="00B772CA">
        <w:rPr>
          <w:rFonts w:eastAsia="Batang"/>
          <w:lang w:val="en-US"/>
        </w:rPr>
        <w:t>2.1.3</w:t>
      </w:r>
      <w:r w:rsidR="00CD0CBE">
        <w:fldChar w:fldCharType="end"/>
      </w:r>
      <w:r w:rsidRPr="00313E82">
        <w:rPr>
          <w:rFonts w:eastAsia="Batang"/>
          <w:lang w:val="en-US"/>
        </w:rPr>
        <w:t>).</w:t>
      </w:r>
    </w:p>
    <w:p w:rsidR="00850225" w:rsidRPr="00313E82" w:rsidRDefault="00850225" w:rsidP="00C94556">
      <w:pPr>
        <w:pStyle w:val="Titre3"/>
        <w:rPr>
          <w:rFonts w:eastAsia="Batang"/>
          <w:lang w:val="en-US"/>
        </w:rPr>
      </w:pPr>
      <w:bookmarkStart w:id="103" w:name="_Ref429576598"/>
      <w:bookmarkStart w:id="104" w:name="_Toc474430126"/>
      <w:r w:rsidRPr="00313E82">
        <w:rPr>
          <w:rFonts w:eastAsia="Batang"/>
          <w:lang w:val="en-US"/>
        </w:rPr>
        <w:t>Limitation</w:t>
      </w:r>
      <w:bookmarkEnd w:id="103"/>
      <w:bookmarkEnd w:id="104"/>
    </w:p>
    <w:p w:rsidR="00850225" w:rsidRPr="00313E82" w:rsidRDefault="00850225">
      <w:pPr>
        <w:rPr>
          <w:rFonts w:eastAsia="Batang"/>
          <w:lang w:val="en-US"/>
        </w:rPr>
      </w:pPr>
      <w:r w:rsidRPr="00313E82">
        <w:rPr>
          <w:rFonts w:eastAsia="Batang"/>
          <w:lang w:val="en-US"/>
        </w:rPr>
        <w:t xml:space="preserve">With respect to limitation, the same applies to conditional core damage probability as to change in CDF (see section </w:t>
      </w:r>
      <w:r w:rsidR="009E768B" w:rsidRPr="007E0C24">
        <w:rPr>
          <w:rFonts w:eastAsia="Batang"/>
          <w:lang w:val="en-US"/>
        </w:rPr>
        <w:fldChar w:fldCharType="begin"/>
      </w:r>
      <w:r w:rsidRPr="00313E82">
        <w:rPr>
          <w:rFonts w:eastAsia="Batang"/>
          <w:lang w:val="en-US"/>
        </w:rPr>
        <w:instrText xml:space="preserve"> REF _Ref429576287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2.3.4</w:t>
      </w:r>
      <w:r w:rsidR="009E768B" w:rsidRPr="007E0C24">
        <w:rPr>
          <w:rFonts w:eastAsia="Batang"/>
          <w:lang w:val="en-US"/>
        </w:rPr>
        <w:fldChar w:fldCharType="end"/>
      </w:r>
      <w:r w:rsidRPr="00313E82">
        <w:rPr>
          <w:rFonts w:eastAsia="Batang"/>
          <w:lang w:val="en-US"/>
        </w:rPr>
        <w:t>).</w:t>
      </w:r>
    </w:p>
    <w:p w:rsidR="00850225" w:rsidRPr="00313E82" w:rsidRDefault="00850225" w:rsidP="00C94556">
      <w:pPr>
        <w:pStyle w:val="Titre3"/>
        <w:rPr>
          <w:rFonts w:eastAsia="Batang"/>
          <w:lang w:val="en-US"/>
        </w:rPr>
      </w:pPr>
      <w:bookmarkStart w:id="105" w:name="_Ref429576611"/>
      <w:bookmarkStart w:id="106" w:name="_Toc474430127"/>
      <w:r w:rsidRPr="00313E82">
        <w:rPr>
          <w:rFonts w:eastAsia="Batang"/>
          <w:lang w:val="en-US"/>
        </w:rPr>
        <w:t xml:space="preserve">ASAMPSA_E recommendation on </w:t>
      </w:r>
      <w:bookmarkEnd w:id="105"/>
      <w:r w:rsidR="00351786">
        <w:rPr>
          <w:rFonts w:eastAsia="Batang"/>
          <w:lang w:val="en-US"/>
        </w:rPr>
        <w:t>CCDP</w:t>
      </w:r>
      <w:bookmarkEnd w:id="106"/>
    </w:p>
    <w:p w:rsidR="00850225" w:rsidRPr="00313E82" w:rsidRDefault="00850225">
      <w:pPr>
        <w:rPr>
          <w:rFonts w:eastAsia="Batang"/>
          <w:lang w:val="en-US"/>
        </w:rPr>
      </w:pPr>
      <w:r w:rsidRPr="00313E82">
        <w:rPr>
          <w:rFonts w:eastAsia="Batang"/>
          <w:lang w:val="en-US"/>
        </w:rPr>
        <w:t xml:space="preserve">Besides the recommendations related to the risk measures of CDF time dependent (see section </w:t>
      </w:r>
      <w:r w:rsidR="009E768B" w:rsidRPr="007E0C24">
        <w:rPr>
          <w:rFonts w:eastAsia="Batang"/>
          <w:lang w:val="en-US"/>
        </w:rPr>
        <w:fldChar w:fldCharType="begin"/>
      </w:r>
      <w:r w:rsidRPr="00313E82">
        <w:rPr>
          <w:rFonts w:eastAsia="Batang"/>
          <w:lang w:val="en-US"/>
        </w:rPr>
        <w:instrText xml:space="preserve"> REF _Ref306870414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2.1.5</w:t>
      </w:r>
      <w:r w:rsidR="009E768B" w:rsidRPr="007E0C24">
        <w:rPr>
          <w:rFonts w:eastAsia="Batang"/>
          <w:lang w:val="en-US"/>
        </w:rPr>
        <w:fldChar w:fldCharType="end"/>
      </w:r>
      <w:r w:rsidRPr="00313E82">
        <w:rPr>
          <w:rFonts w:eastAsia="Batang"/>
          <w:lang w:val="en-US"/>
        </w:rPr>
        <w:t xml:space="preserve">), the definition presented in section </w:t>
      </w:r>
      <w:r w:rsidR="009E768B" w:rsidRPr="007E0C24">
        <w:rPr>
          <w:rFonts w:eastAsia="Batang"/>
          <w:lang w:val="en-US"/>
        </w:rPr>
        <w:fldChar w:fldCharType="begin"/>
      </w:r>
      <w:r w:rsidRPr="00313E82">
        <w:rPr>
          <w:rFonts w:eastAsia="Batang"/>
          <w:lang w:val="en-US"/>
        </w:rPr>
        <w:instrText xml:space="preserve"> REF _Ref429576351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2.4.1</w:t>
      </w:r>
      <w:r w:rsidR="009E768B" w:rsidRPr="007E0C24">
        <w:rPr>
          <w:rFonts w:eastAsia="Batang"/>
          <w:lang w:val="en-US"/>
        </w:rPr>
        <w:fldChar w:fldCharType="end"/>
      </w:r>
      <w:r w:rsidRPr="00313E82">
        <w:rPr>
          <w:rFonts w:eastAsia="Batang"/>
          <w:lang w:val="en-US"/>
        </w:rPr>
        <w:t xml:space="preserve"> is widely used and accepted by the PSA community. Therefore no additional harmonized definition is recommended for the risk measure of conditional core damage probability.</w:t>
      </w:r>
    </w:p>
    <w:p w:rsidR="00850225" w:rsidRPr="00313E82" w:rsidRDefault="00850225" w:rsidP="00C94556">
      <w:pPr>
        <w:pStyle w:val="Titre2"/>
        <w:rPr>
          <w:rFonts w:eastAsia="Batang"/>
          <w:lang w:val="en-US"/>
        </w:rPr>
      </w:pPr>
      <w:bookmarkStart w:id="107" w:name="_Ref429575410"/>
      <w:bookmarkStart w:id="108" w:name="_Toc474430128"/>
      <w:r w:rsidRPr="00313E82">
        <w:rPr>
          <w:rFonts w:eastAsia="Batang"/>
          <w:lang w:val="en-US"/>
        </w:rPr>
        <w:t>Conditional Core Damage Frequency</w:t>
      </w:r>
      <w:bookmarkEnd w:id="107"/>
      <w:r w:rsidR="00351786">
        <w:rPr>
          <w:rFonts w:eastAsia="Batang"/>
          <w:lang w:val="en-US"/>
        </w:rPr>
        <w:t xml:space="preserve"> (CCDF)</w:t>
      </w:r>
      <w:bookmarkEnd w:id="108"/>
    </w:p>
    <w:p w:rsidR="00850225" w:rsidRPr="00313E82" w:rsidRDefault="00850225" w:rsidP="00C94556">
      <w:pPr>
        <w:pStyle w:val="Titre3"/>
        <w:rPr>
          <w:rFonts w:eastAsia="Batang"/>
          <w:lang w:val="en-US"/>
        </w:rPr>
      </w:pPr>
      <w:bookmarkStart w:id="109" w:name="_Toc474430129"/>
      <w:r w:rsidRPr="00313E82">
        <w:rPr>
          <w:rFonts w:eastAsia="Batang"/>
          <w:lang w:val="en-US"/>
        </w:rPr>
        <w:t>Definition of Risk Measure</w:t>
      </w:r>
      <w:bookmarkEnd w:id="109"/>
    </w:p>
    <w:p w:rsidR="00850225" w:rsidRPr="00313E82" w:rsidRDefault="00850225">
      <w:pPr>
        <w:rPr>
          <w:rFonts w:eastAsia="Batang"/>
          <w:lang w:val="en-US"/>
        </w:rPr>
      </w:pPr>
      <w:r w:rsidRPr="00313E82">
        <w:rPr>
          <w:rFonts w:eastAsia="Batang"/>
          <w:lang w:val="en-US"/>
        </w:rPr>
        <w:t>Conditional core damage frequency is a secondary conditional consequence risk measure originated by the direct risk measure of core damage frequency. Depending on the boundary conditions of the assessment, this secondary risk measure can be derived from the CDF in a time average and time dependent manner.</w:t>
      </w:r>
    </w:p>
    <w:p w:rsidR="00F36CC4" w:rsidRDefault="00F36CC4" w:rsidP="00F36CC4">
      <w:pPr>
        <w:rPr>
          <w:rFonts w:eastAsia="Batang"/>
          <w:lang w:val="en-US"/>
        </w:rPr>
      </w:pPr>
      <w:r w:rsidRPr="00313E82">
        <w:rPr>
          <w:rFonts w:eastAsia="Batang"/>
          <w:lang w:val="en-US"/>
        </w:rPr>
        <w:t xml:space="preserve">Conditional core damage frequency </w:t>
      </w:r>
      <w:r>
        <w:rPr>
          <w:rFonts w:eastAsia="Batang"/>
          <w:lang w:val="en-US"/>
        </w:rPr>
        <w:t>by imposing a set of conditions m</w:t>
      </w:r>
      <w:r w:rsidRPr="00042873">
        <w:rPr>
          <w:rFonts w:eastAsia="Batang"/>
          <w:vertAlign w:val="subscript"/>
          <w:lang w:val="en-US"/>
        </w:rPr>
        <w:t>k</w:t>
      </w:r>
      <w:r>
        <w:rPr>
          <w:rFonts w:eastAsia="Batang"/>
          <w:lang w:val="en-US"/>
        </w:rPr>
        <w:t xml:space="preserve"> leading to changes in input parameters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w:r>
        <w:rPr>
          <w:rFonts w:eastAsia="Batang"/>
          <w:lang w:val="en-US"/>
        </w:rPr>
        <w:t xml:space="preserve"> (cf. section </w:t>
      </w:r>
      <w:r w:rsidR="009E768B">
        <w:rPr>
          <w:rFonts w:eastAsia="Batang"/>
          <w:lang w:val="en-US"/>
        </w:rPr>
        <w:fldChar w:fldCharType="begin"/>
      </w:r>
      <w:r>
        <w:rPr>
          <w:rFonts w:eastAsia="Batang"/>
          <w:lang w:val="en-US"/>
        </w:rPr>
        <w:instrText xml:space="preserve"> REF _Ref309899023 \r \h </w:instrText>
      </w:r>
      <w:r w:rsidR="009E768B">
        <w:rPr>
          <w:rFonts w:eastAsia="Batang"/>
          <w:lang w:val="en-US"/>
        </w:rPr>
      </w:r>
      <w:r w:rsidR="009E768B">
        <w:rPr>
          <w:rFonts w:eastAsia="Batang"/>
          <w:lang w:val="en-US"/>
        </w:rPr>
        <w:fldChar w:fldCharType="separate"/>
      </w:r>
      <w:r w:rsidR="00B772CA">
        <w:rPr>
          <w:rFonts w:eastAsia="Batang"/>
          <w:lang w:val="en-US"/>
        </w:rPr>
        <w:t>2.3</w:t>
      </w:r>
      <w:r w:rsidR="009E768B">
        <w:rPr>
          <w:rFonts w:eastAsia="Batang"/>
          <w:lang w:val="en-US"/>
        </w:rPr>
        <w:fldChar w:fldCharType="end"/>
      </w:r>
      <w:r>
        <w:rPr>
          <w:rFonts w:eastAsia="Batang"/>
          <w:lang w:val="en-US"/>
        </w:rPr>
        <w:t>). Then</w:t>
      </w:r>
    </w:p>
    <w:p w:rsidR="00F36CC4" w:rsidRPr="00042873" w:rsidRDefault="0043746A" w:rsidP="00F36CC4">
      <w:pPr>
        <w:rPr>
          <w:rFonts w:ascii="Cambria Math" w:eastAsia="Batang" w:hAnsi="Cambria Math" w:hint="eastAsia"/>
          <w:lang w:val="en-US"/>
          <w:oMath/>
        </w:rPr>
      </w:pPr>
      <m:oMathPara>
        <m:oMath>
          <m:sSub>
            <m:sSubPr>
              <m:ctrlPr>
                <w:rPr>
                  <w:rFonts w:ascii="Cambria Math" w:eastAsia="Batang" w:hAnsi="Cambria Math"/>
                  <w:i/>
                  <w:lang w:val="en-US"/>
                </w:rPr>
              </m:ctrlPr>
            </m:sSubPr>
            <m:e>
              <m:r>
                <w:rPr>
                  <w:rFonts w:ascii="Cambria Math" w:eastAsia="Batang" w:hAnsi="Cambria Math"/>
                  <w:lang w:val="en-US"/>
                </w:rPr>
                <m:t>CCDF</m:t>
              </m:r>
            </m:e>
            <m:sub>
              <m:sSub>
                <m:sSubPr>
                  <m:ctrlPr>
                    <w:rPr>
                      <w:rFonts w:ascii="Cambria Math" w:eastAsia="Batang" w:hAnsi="Cambria Math"/>
                      <w:i/>
                      <w:lang w:val="en-US"/>
                    </w:rPr>
                  </m:ctrlPr>
                </m:sSubPr>
                <m:e>
                  <m:r>
                    <w:rPr>
                      <w:rFonts w:ascii="Cambria Math" w:eastAsia="Batang" w:hAnsi="Cambria Math"/>
                      <w:lang w:val="en-US"/>
                    </w:rPr>
                    <m:t>m</m:t>
                  </m:r>
                </m:e>
                <m:sub>
                  <m:r>
                    <w:rPr>
                      <w:rFonts w:ascii="Cambria Math" w:eastAsia="Batang" w:hAnsi="Cambria Math"/>
                      <w:lang w:val="en-US"/>
                    </w:rPr>
                    <m:t>k</m:t>
                  </m:r>
                </m:sub>
              </m:sSub>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m:oMathPara>
    </w:p>
    <w:p w:rsidR="00F36CC4" w:rsidRPr="004F4D87" w:rsidRDefault="00F36CC4" w:rsidP="00F36CC4">
      <w:pPr>
        <w:rPr>
          <w:rFonts w:eastAsia="Batang"/>
          <w:lang w:val="en-US"/>
        </w:rPr>
      </w:pPr>
      <w:r>
        <w:rPr>
          <w:rFonts w:eastAsia="Batang"/>
          <w:lang w:val="en-US"/>
        </w:rPr>
        <w:t xml:space="preserve">Importantly, there is still an initiating event, although its value might be changed. This is the main difference to CCDP discussed above, as this explicitly covers transition probabilities from intermediary states to the consequence (here: core damage). </w:t>
      </w:r>
    </w:p>
    <w:p w:rsidR="00F36CC4" w:rsidRPr="00313E82" w:rsidRDefault="00F36CC4" w:rsidP="00F36CC4">
      <w:pPr>
        <w:rPr>
          <w:rFonts w:eastAsia="Batang"/>
          <w:lang w:val="en-US"/>
        </w:rPr>
      </w:pPr>
      <w:r>
        <w:rPr>
          <w:rFonts w:eastAsia="Batang"/>
          <w:lang w:val="en-US"/>
        </w:rPr>
        <w:t>In several cases, CCDF can be understood by inserting an intermediate state</w:t>
      </w:r>
      <w:r w:rsidRPr="00313E82">
        <w:rPr>
          <w:rFonts w:eastAsia="Batang"/>
          <w:lang w:val="en-US"/>
        </w:rPr>
        <w:t xml:space="preserve">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rFonts w:eastAsia="Batang"/>
          <w:lang w:val="en-US"/>
        </w:rPr>
        <w:t>,</w:t>
      </w:r>
      <w:r>
        <w:rPr>
          <w:rFonts w:eastAsia="Batang"/>
          <w:lang w:val="en-US"/>
        </w:rPr>
        <w:t xml:space="preserve"> representing the conditions m</w:t>
      </w:r>
      <w:r w:rsidRPr="00040E83">
        <w:rPr>
          <w:rFonts w:eastAsia="Batang"/>
          <w:vertAlign w:val="subscript"/>
          <w:lang w:val="en-US"/>
        </w:rPr>
        <w:t>k</w:t>
      </w:r>
      <w:r w:rsidRPr="00313E82">
        <w:rPr>
          <w:rFonts w:eastAsia="Batang"/>
          <w:lang w:val="en-US"/>
        </w:rPr>
        <w:t xml:space="preserve"> </w:t>
      </w:r>
      <w:r>
        <w:rPr>
          <w:rFonts w:eastAsia="Batang"/>
          <w:lang w:val="en-US"/>
        </w:rPr>
        <w:t xml:space="preserve">into the sequence, </w:t>
      </w:r>
      <w:r w:rsidRPr="00313E82">
        <w:rPr>
          <w:rFonts w:eastAsia="Batang"/>
          <w:lang w:val="en-US"/>
        </w:rPr>
        <w:t>i.e.</w:t>
      </w:r>
    </w:p>
    <w:p w:rsidR="00F36CC4" w:rsidRPr="00313E82" w:rsidRDefault="00F36CC4" w:rsidP="00F36CC4">
      <w:pPr>
        <w:rPr>
          <w:rFonts w:eastAsia="Batang"/>
          <w:lang w:val="en-US"/>
        </w:rPr>
      </w:pPr>
    </w:p>
    <w:p w:rsidR="00F36CC4" w:rsidRPr="00313E82" w:rsidRDefault="0043746A" w:rsidP="00F36CC4">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ik</m:t>
                          </m:r>
                        </m:sub>
                      </m:sSub>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e>
              </m:groupChr>
            </m:e>
          </m:box>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∈CD</m:t>
          </m:r>
        </m:oMath>
      </m:oMathPara>
    </w:p>
    <w:p w:rsidR="00F36CC4" w:rsidRPr="00313E82" w:rsidRDefault="00F36CC4" w:rsidP="00F36CC4">
      <w:pPr>
        <w:rPr>
          <w:rFonts w:eastAsia="Batang"/>
          <w:lang w:val="en-US"/>
        </w:rPr>
      </w:pPr>
      <w:r>
        <w:rPr>
          <w:rFonts w:eastAsia="Batang"/>
          <w:lang w:val="en-US"/>
        </w:rPr>
        <w:t>Such a representation is helpful if the condition relates to specific sequences (e.g. event tree sequences with failures of specific safety functions). As with every conditional measure, risk aggregation has to be made with care and often using Bayes’ theorem.</w:t>
      </w:r>
    </w:p>
    <w:p w:rsidR="00850225" w:rsidRPr="00313E82" w:rsidRDefault="00850225">
      <w:pPr>
        <w:rPr>
          <w:rFonts w:eastAsia="Batang"/>
          <w:lang w:val="en-US"/>
        </w:rPr>
      </w:pPr>
      <w:r w:rsidRPr="00313E82">
        <w:rPr>
          <w:lang w:val="en-US"/>
        </w:rPr>
        <w:t xml:space="preserve">In other words, conditional core damage frequency is usually meant by the frequency of </w:t>
      </w:r>
      <w:r w:rsidRPr="00313E82">
        <w:rPr>
          <w:rFonts w:eastAsia="Batang"/>
          <w:lang w:val="en-US"/>
        </w:rPr>
        <w:t xml:space="preserve">significant degradation of the reactor core </w:t>
      </w:r>
      <w:r w:rsidRPr="00313E82">
        <w:rPr>
          <w:rFonts w:eastAsia="Batang"/>
          <w:i/>
          <w:lang w:val="en-US"/>
        </w:rPr>
        <w:t>(CD)</w:t>
      </w:r>
      <w:r w:rsidRPr="00313E82">
        <w:rPr>
          <w:rFonts w:eastAsia="Batang"/>
          <w:lang w:val="en-US"/>
        </w:rPr>
        <w:t xml:space="preserve"> upon the condition of some system, structure or component unavailability. Besides the unavailability of SSCs, special operating status of the plant can be taken into consideration. Time average CDF risk measure can be used to obtain the time average conditional core damage frequency, while the use of time dependent (instantaneous) CDF risk measure yields the time dependent conditional core damage frequency.</w:t>
      </w:r>
    </w:p>
    <w:p w:rsidR="00C65F43" w:rsidRPr="00313E82" w:rsidRDefault="00C65F43">
      <w:pPr>
        <w:rPr>
          <w:rFonts w:eastAsia="Batang"/>
          <w:lang w:val="en-US"/>
        </w:rPr>
      </w:pPr>
      <w:r w:rsidRPr="00313E82">
        <w:rPr>
          <w:rFonts w:eastAsia="Batang"/>
          <w:lang w:val="en-US"/>
        </w:rPr>
        <w:t xml:space="preserve">As it can be implied by their definition, that cumulative conditional core damage probability and incremental conditional core damage probability are derived risk measures based on time dependent conditional core damage frequency </w:t>
      </w:r>
      <w:r w:rsidRPr="00313E82">
        <w:rPr>
          <w:rFonts w:eastAsia="Batang"/>
          <w:i/>
          <w:lang w:val="en-US"/>
        </w:rPr>
        <w:t>(CCDF(t))</w:t>
      </w:r>
      <w:r w:rsidRPr="00313E82">
        <w:rPr>
          <w:rFonts w:eastAsia="Batang"/>
          <w:lang w:val="en-US"/>
        </w:rPr>
        <w:t xml:space="preserve">. Moreover, the time average risk measure of change in core damage frequency is based on time average conditional core damage frequency (for details see section </w:t>
      </w:r>
      <w:r w:rsidR="009E768B" w:rsidRPr="007E0C24">
        <w:rPr>
          <w:rFonts w:eastAsia="Batang"/>
          <w:lang w:val="en-US"/>
        </w:rPr>
        <w:fldChar w:fldCharType="begin"/>
      </w:r>
      <w:r w:rsidRPr="00313E82">
        <w:rPr>
          <w:rFonts w:eastAsia="Batang"/>
          <w:lang w:val="en-US"/>
        </w:rPr>
        <w:instrText xml:space="preserve"> REF _Ref309899023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2.3</w:t>
      </w:r>
      <w:r w:rsidR="009E768B" w:rsidRPr="007E0C24">
        <w:rPr>
          <w:rFonts w:eastAsia="Batang"/>
          <w:lang w:val="en-US"/>
        </w:rPr>
        <w:fldChar w:fldCharType="end"/>
      </w:r>
      <w:r w:rsidRPr="00313E82">
        <w:rPr>
          <w:rFonts w:eastAsia="Batang"/>
          <w:lang w:val="en-US"/>
        </w:rPr>
        <w:t>).</w:t>
      </w:r>
    </w:p>
    <w:p w:rsidR="00850225" w:rsidRPr="00313E82" w:rsidRDefault="00850225" w:rsidP="00C94556">
      <w:pPr>
        <w:pStyle w:val="Titre3"/>
        <w:rPr>
          <w:rFonts w:eastAsia="Batang"/>
          <w:lang w:val="en-US"/>
        </w:rPr>
      </w:pPr>
      <w:bookmarkStart w:id="110" w:name="_Toc474430130"/>
      <w:r w:rsidRPr="00313E82">
        <w:rPr>
          <w:rFonts w:eastAsia="Batang"/>
          <w:lang w:val="en-US"/>
        </w:rPr>
        <w:t>Areas of application:</w:t>
      </w:r>
      <w:bookmarkEnd w:id="110"/>
    </w:p>
    <w:p w:rsidR="00850225" w:rsidRPr="00313E82" w:rsidRDefault="00850225">
      <w:pPr>
        <w:rPr>
          <w:rFonts w:eastAsia="Batang"/>
          <w:lang w:val="en-US"/>
        </w:rPr>
      </w:pPr>
      <w:r w:rsidRPr="00313E82">
        <w:rPr>
          <w:rFonts w:eastAsia="Batang"/>
          <w:lang w:val="en-US"/>
        </w:rPr>
        <w:t>Conditional core damage frequency is applied in several PSA application areas, since it reflects, amongst others, the level of risk at a certain time point in a certain condition of the plant. The risk measure of conditional core damage frequency is the typical output of risk monitors, which entails the utilization of this risk measure for other risk measures, e.g.:</w:t>
      </w:r>
    </w:p>
    <w:p w:rsidR="00850225" w:rsidRPr="00C94556" w:rsidRDefault="00850225" w:rsidP="00D873A7">
      <w:pPr>
        <w:pStyle w:val="Paragraphedeliste"/>
        <w:numPr>
          <w:ilvl w:val="0"/>
          <w:numId w:val="21"/>
        </w:numPr>
        <w:rPr>
          <w:lang w:val="en-US"/>
        </w:rPr>
      </w:pPr>
      <w:r w:rsidRPr="00C94556">
        <w:rPr>
          <w:lang w:val="en-US"/>
        </w:rPr>
        <w:t>configuration planning (e.g. support for plant maintenance and test activities)</w:t>
      </w:r>
    </w:p>
    <w:p w:rsidR="00850225" w:rsidRPr="00C94556" w:rsidRDefault="00850225" w:rsidP="003651CB">
      <w:pPr>
        <w:pStyle w:val="Paragraphedeliste"/>
        <w:numPr>
          <w:ilvl w:val="0"/>
          <w:numId w:val="21"/>
        </w:numPr>
        <w:rPr>
          <w:lang w:val="en-US"/>
        </w:rPr>
      </w:pPr>
      <w:r w:rsidRPr="00C94556">
        <w:rPr>
          <w:lang w:val="en-US"/>
        </w:rPr>
        <w:t>real time configuration assessment and control (response to emerging conditions)</w:t>
      </w:r>
    </w:p>
    <w:p w:rsidR="00850225" w:rsidRPr="00C94556" w:rsidRDefault="00850225" w:rsidP="009E13CC">
      <w:pPr>
        <w:pStyle w:val="Paragraphedeliste"/>
        <w:numPr>
          <w:ilvl w:val="0"/>
          <w:numId w:val="21"/>
        </w:numPr>
        <w:rPr>
          <w:lang w:val="en-US"/>
        </w:rPr>
      </w:pPr>
      <w:r w:rsidRPr="00C94556">
        <w:rPr>
          <w:lang w:val="en-US"/>
        </w:rPr>
        <w:t>dynamic risk-informed technical specifications</w:t>
      </w:r>
    </w:p>
    <w:p w:rsidR="00850225" w:rsidRPr="00313E82" w:rsidRDefault="00850225" w:rsidP="000C1ABB">
      <w:pPr>
        <w:pStyle w:val="Paragraphedeliste"/>
        <w:numPr>
          <w:ilvl w:val="0"/>
          <w:numId w:val="21"/>
        </w:numPr>
        <w:rPr>
          <w:rFonts w:eastAsia="Batang"/>
          <w:lang w:val="en-US"/>
        </w:rPr>
      </w:pPr>
      <w:r w:rsidRPr="00C94556">
        <w:rPr>
          <w:lang w:val="en-US"/>
        </w:rPr>
        <w:t>short term risk based performance indicators</w:t>
      </w:r>
    </w:p>
    <w:p w:rsidR="00850225" w:rsidRPr="00313E82" w:rsidRDefault="00850225" w:rsidP="00C94556">
      <w:pPr>
        <w:pStyle w:val="Titre3"/>
        <w:rPr>
          <w:rFonts w:eastAsia="Batang"/>
          <w:lang w:val="en-US"/>
        </w:rPr>
      </w:pPr>
      <w:bookmarkStart w:id="111" w:name="_Toc474430131"/>
      <w:r w:rsidRPr="00313E82">
        <w:rPr>
          <w:rFonts w:eastAsia="Batang"/>
          <w:lang w:val="en-US"/>
        </w:rPr>
        <w:t>Discussion</w:t>
      </w:r>
      <w:bookmarkEnd w:id="111"/>
    </w:p>
    <w:p w:rsidR="00850225" w:rsidRPr="00313E82" w:rsidRDefault="00850225">
      <w:pPr>
        <w:rPr>
          <w:rFonts w:eastAsia="Batang"/>
          <w:lang w:val="en-US"/>
        </w:rPr>
      </w:pPr>
      <w:r w:rsidRPr="00313E82">
        <w:rPr>
          <w:rFonts w:eastAsia="Batang"/>
          <w:lang w:val="en-US"/>
        </w:rPr>
        <w:t xml:space="preserve">With respect to all risk measure attributes discussed in similar subsections, the same applies to conditional core damage frequency as to conditional core damage </w:t>
      </w:r>
      <w:r w:rsidR="00F50BB0">
        <w:rPr>
          <w:rFonts w:eastAsia="Batang"/>
          <w:lang w:val="en-US"/>
        </w:rPr>
        <w:t>probability</w:t>
      </w:r>
      <w:r w:rsidR="00F50BB0" w:rsidRPr="00313E82">
        <w:rPr>
          <w:rFonts w:eastAsia="Batang"/>
          <w:lang w:val="en-US"/>
        </w:rPr>
        <w:t xml:space="preserve"> </w:t>
      </w:r>
      <w:r w:rsidRPr="00313E82">
        <w:rPr>
          <w:rFonts w:eastAsia="Batang"/>
          <w:lang w:val="en-US"/>
        </w:rPr>
        <w:t xml:space="preserve">(see section </w:t>
      </w:r>
      <w:r w:rsidR="009E768B" w:rsidRPr="007E0C24">
        <w:rPr>
          <w:rFonts w:eastAsia="Batang"/>
          <w:lang w:val="en-US"/>
        </w:rPr>
        <w:fldChar w:fldCharType="begin"/>
      </w:r>
      <w:r w:rsidRPr="00313E82">
        <w:rPr>
          <w:rFonts w:eastAsia="Batang"/>
          <w:lang w:val="en-US"/>
        </w:rPr>
        <w:instrText xml:space="preserve"> REF _Ref429576584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2.4.3</w:t>
      </w:r>
      <w:r w:rsidR="009E768B" w:rsidRPr="007E0C24">
        <w:rPr>
          <w:rFonts w:eastAsia="Batang"/>
          <w:lang w:val="en-US"/>
        </w:rPr>
        <w:fldChar w:fldCharType="end"/>
      </w:r>
      <w:r w:rsidRPr="00313E82">
        <w:rPr>
          <w:rFonts w:eastAsia="Batang"/>
          <w:lang w:val="en-US"/>
        </w:rPr>
        <w:t>).</w:t>
      </w:r>
    </w:p>
    <w:p w:rsidR="00850225" w:rsidRPr="00313E82" w:rsidRDefault="00850225" w:rsidP="00C94556">
      <w:pPr>
        <w:pStyle w:val="Titre3"/>
        <w:rPr>
          <w:rFonts w:eastAsia="Batang"/>
          <w:lang w:val="en-US"/>
        </w:rPr>
      </w:pPr>
      <w:bookmarkStart w:id="112" w:name="_Toc474430132"/>
      <w:r w:rsidRPr="00313E82">
        <w:rPr>
          <w:rFonts w:eastAsia="Batang"/>
          <w:lang w:val="en-US"/>
        </w:rPr>
        <w:t>Limitation</w:t>
      </w:r>
      <w:bookmarkEnd w:id="112"/>
    </w:p>
    <w:p w:rsidR="00850225" w:rsidRPr="00313E82" w:rsidRDefault="00850225">
      <w:pPr>
        <w:rPr>
          <w:rFonts w:eastAsia="Batang"/>
          <w:lang w:val="en-US"/>
        </w:rPr>
      </w:pPr>
      <w:r w:rsidRPr="00313E82">
        <w:rPr>
          <w:rFonts w:eastAsia="Batang"/>
          <w:lang w:val="en-US"/>
        </w:rPr>
        <w:t xml:space="preserve">With respect to limitation of the risk measure, the same applies to conditional core damage frequency as to conditional core damage </w:t>
      </w:r>
      <w:r w:rsidR="006D6008">
        <w:rPr>
          <w:rFonts w:eastAsia="Batang"/>
          <w:lang w:val="en-US"/>
        </w:rPr>
        <w:t>probability</w:t>
      </w:r>
      <w:r w:rsidR="006D6008" w:rsidRPr="00313E82">
        <w:rPr>
          <w:rFonts w:eastAsia="Batang"/>
          <w:lang w:val="en-US"/>
        </w:rPr>
        <w:t xml:space="preserve"> </w:t>
      </w:r>
      <w:r w:rsidRPr="00313E82">
        <w:rPr>
          <w:rFonts w:eastAsia="Batang"/>
          <w:lang w:val="en-US"/>
        </w:rPr>
        <w:t xml:space="preserve">(see section </w:t>
      </w:r>
      <w:r w:rsidR="009E768B" w:rsidRPr="007E0C24">
        <w:rPr>
          <w:rFonts w:eastAsia="Batang"/>
          <w:lang w:val="en-US"/>
        </w:rPr>
        <w:fldChar w:fldCharType="begin"/>
      </w:r>
      <w:r w:rsidRPr="00313E82">
        <w:rPr>
          <w:rFonts w:eastAsia="Batang"/>
          <w:lang w:val="en-US"/>
        </w:rPr>
        <w:instrText xml:space="preserve"> REF _Ref429576598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2.4.4</w:t>
      </w:r>
      <w:r w:rsidR="009E768B" w:rsidRPr="007E0C24">
        <w:rPr>
          <w:rFonts w:eastAsia="Batang"/>
          <w:lang w:val="en-US"/>
        </w:rPr>
        <w:fldChar w:fldCharType="end"/>
      </w:r>
      <w:r w:rsidRPr="00313E82">
        <w:rPr>
          <w:rFonts w:eastAsia="Batang"/>
          <w:lang w:val="en-US"/>
        </w:rPr>
        <w:t>).</w:t>
      </w:r>
    </w:p>
    <w:p w:rsidR="00850225" w:rsidRPr="00313E82" w:rsidRDefault="00850225" w:rsidP="00C94556">
      <w:pPr>
        <w:pStyle w:val="Titre3"/>
        <w:rPr>
          <w:rFonts w:eastAsia="Batang"/>
          <w:lang w:val="en-US"/>
        </w:rPr>
      </w:pPr>
      <w:bookmarkStart w:id="113" w:name="_Toc474430133"/>
      <w:r w:rsidRPr="00313E82">
        <w:rPr>
          <w:rFonts w:eastAsia="Batang"/>
          <w:lang w:val="en-US"/>
        </w:rPr>
        <w:lastRenderedPageBreak/>
        <w:t xml:space="preserve">ASAMPSA_E recommendation on </w:t>
      </w:r>
      <w:r w:rsidR="00351786">
        <w:rPr>
          <w:rFonts w:eastAsia="Batang"/>
          <w:lang w:val="en-US"/>
        </w:rPr>
        <w:t>CCDF</w:t>
      </w:r>
      <w:bookmarkEnd w:id="113"/>
    </w:p>
    <w:p w:rsidR="00850225" w:rsidRPr="00313E82" w:rsidRDefault="00850225">
      <w:pPr>
        <w:rPr>
          <w:rFonts w:eastAsia="Batang"/>
          <w:lang w:val="en-US"/>
        </w:rPr>
      </w:pPr>
      <w:r w:rsidRPr="00313E82">
        <w:rPr>
          <w:rFonts w:eastAsia="Batang"/>
          <w:lang w:val="en-US"/>
        </w:rPr>
        <w:t xml:space="preserve">With respect to recommending additional harmonized definition for the risk measure, the same applies to conditional core damage frequency as to conditional core damage </w:t>
      </w:r>
      <w:r w:rsidR="006D6008">
        <w:rPr>
          <w:rFonts w:eastAsia="Batang"/>
          <w:lang w:val="en-US"/>
        </w:rPr>
        <w:t>probability</w:t>
      </w:r>
      <w:r w:rsidR="006D6008" w:rsidRPr="00313E82">
        <w:rPr>
          <w:rFonts w:eastAsia="Batang"/>
          <w:lang w:val="en-US"/>
        </w:rPr>
        <w:t xml:space="preserve"> </w:t>
      </w:r>
      <w:r w:rsidRPr="00313E82">
        <w:rPr>
          <w:rFonts w:eastAsia="Batang"/>
          <w:lang w:val="en-US"/>
        </w:rPr>
        <w:t xml:space="preserve">(see section </w:t>
      </w:r>
      <w:r w:rsidR="009E768B" w:rsidRPr="007E0C24">
        <w:rPr>
          <w:rFonts w:eastAsia="Batang"/>
          <w:lang w:val="en-US"/>
        </w:rPr>
        <w:fldChar w:fldCharType="begin"/>
      </w:r>
      <w:r w:rsidRPr="00313E82">
        <w:rPr>
          <w:rFonts w:eastAsia="Batang"/>
          <w:lang w:val="en-US"/>
        </w:rPr>
        <w:instrText xml:space="preserve"> REF _Ref429576611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2.4.5</w:t>
      </w:r>
      <w:r w:rsidR="009E768B" w:rsidRPr="007E0C24">
        <w:rPr>
          <w:rFonts w:eastAsia="Batang"/>
          <w:lang w:val="en-US"/>
        </w:rPr>
        <w:fldChar w:fldCharType="end"/>
      </w:r>
      <w:r w:rsidRPr="00313E82">
        <w:rPr>
          <w:rFonts w:eastAsia="Batang"/>
          <w:lang w:val="en-US"/>
        </w:rPr>
        <w:t>).</w:t>
      </w:r>
    </w:p>
    <w:p w:rsidR="00850225" w:rsidRPr="00313E82" w:rsidRDefault="00850225" w:rsidP="00C94556">
      <w:pPr>
        <w:pStyle w:val="Titre2"/>
        <w:rPr>
          <w:rFonts w:eastAsia="Batang"/>
          <w:lang w:val="en-US"/>
        </w:rPr>
      </w:pPr>
      <w:bookmarkStart w:id="114" w:name="_Toc474430134"/>
      <w:r w:rsidRPr="00313E82">
        <w:rPr>
          <w:rFonts w:eastAsia="Batang"/>
          <w:lang w:val="en-US"/>
        </w:rPr>
        <w:t xml:space="preserve">Importance </w:t>
      </w:r>
      <w:r w:rsidR="00E7421B">
        <w:rPr>
          <w:rFonts w:eastAsia="Batang"/>
          <w:lang w:val="en-US"/>
        </w:rPr>
        <w:t xml:space="preserve">Risk </w:t>
      </w:r>
      <w:r w:rsidRPr="00313E82">
        <w:rPr>
          <w:rFonts w:eastAsia="Batang"/>
          <w:lang w:val="en-US"/>
        </w:rPr>
        <w:t>Measures</w:t>
      </w:r>
      <w:bookmarkEnd w:id="114"/>
    </w:p>
    <w:p w:rsidR="00850225" w:rsidRPr="00313E82" w:rsidRDefault="00850225" w:rsidP="00C94556">
      <w:pPr>
        <w:pStyle w:val="Titre3"/>
        <w:rPr>
          <w:rFonts w:eastAsia="Batang"/>
          <w:lang w:val="en-US"/>
        </w:rPr>
      </w:pPr>
      <w:bookmarkStart w:id="115" w:name="_Toc474430135"/>
      <w:r w:rsidRPr="00313E82">
        <w:rPr>
          <w:rFonts w:eastAsia="Batang"/>
          <w:lang w:val="en-US"/>
        </w:rPr>
        <w:t>Definition of Risk Measures</w:t>
      </w:r>
      <w:bookmarkEnd w:id="115"/>
    </w:p>
    <w:p w:rsidR="00850225" w:rsidRPr="00313E82" w:rsidRDefault="00850225">
      <w:pPr>
        <w:rPr>
          <w:rFonts w:eastAsia="Batang"/>
          <w:lang w:val="en-US"/>
        </w:rPr>
      </w:pPr>
      <w:r w:rsidRPr="00313E82">
        <w:rPr>
          <w:rFonts w:eastAsia="Batang"/>
          <w:lang w:val="en-US"/>
        </w:rPr>
        <w:t>One of the principal activities within a risk-informed regulatory process is the ranking of Structures, Systems and Components (SSCs)</w:t>
      </w:r>
      <w:r w:rsidRPr="00C94556">
        <w:rPr>
          <w:lang w:val="en-US"/>
        </w:rPr>
        <w:t xml:space="preserve">. </w:t>
      </w:r>
      <w:r w:rsidRPr="00313E82">
        <w:rPr>
          <w:rFonts w:eastAsia="Batang"/>
          <w:lang w:val="en-US"/>
        </w:rPr>
        <w:t xml:space="preserve">It can be performed through the estimation of Importance (and Sensitivity) measures. </w:t>
      </w:r>
    </w:p>
    <w:p w:rsidR="00850225" w:rsidRPr="00313E82" w:rsidRDefault="00850225" w:rsidP="00741D3C">
      <w:pPr>
        <w:rPr>
          <w:rFonts w:eastAsia="Batang"/>
          <w:lang w:val="en-US"/>
        </w:rPr>
      </w:pPr>
      <w:r w:rsidRPr="00313E82">
        <w:rPr>
          <w:rFonts w:eastAsia="Batang"/>
          <w:lang w:val="en-US"/>
        </w:rPr>
        <w:t xml:space="preserve">In the following, we refer to “traditional” importance measures, including the following ones </w:t>
      </w:r>
      <w:r w:rsidR="00CD0CBE">
        <w:fldChar w:fldCharType="begin"/>
      </w:r>
      <w:r w:rsidR="00CD0CBE">
        <w:instrText xml:space="preserve"> REF _Ref397353034 \r \h  \* MERGEFORMAT </w:instrText>
      </w:r>
      <w:r w:rsidR="00CD0CBE">
        <w:fldChar w:fldCharType="separate"/>
      </w:r>
      <w:r w:rsidR="00B772CA" w:rsidRPr="00B772CA">
        <w:rPr>
          <w:rFonts w:eastAsia="Batang"/>
          <w:lang w:val="en-US"/>
        </w:rPr>
        <w:t>[28]</w:t>
      </w:r>
      <w:r w:rsidR="00CD0CBE">
        <w:fldChar w:fldCharType="end"/>
      </w:r>
      <w:r w:rsidRPr="00313E82">
        <w:rPr>
          <w:rFonts w:eastAsia="Batang"/>
          <w:lang w:val="en-US"/>
        </w:rPr>
        <w:t>:</w:t>
      </w:r>
    </w:p>
    <w:p w:rsidR="00850225" w:rsidRPr="00313E82" w:rsidRDefault="00850225" w:rsidP="00D873A7">
      <w:pPr>
        <w:pStyle w:val="Paragraphedeliste"/>
        <w:numPr>
          <w:ilvl w:val="0"/>
          <w:numId w:val="22"/>
        </w:numPr>
        <w:rPr>
          <w:rFonts w:eastAsia="Batang"/>
          <w:lang w:val="en-US"/>
        </w:rPr>
      </w:pPr>
      <w:r w:rsidRPr="00313E82">
        <w:rPr>
          <w:rFonts w:eastAsia="Batang"/>
          <w:lang w:val="en-US"/>
        </w:rPr>
        <w:t>Fussell-Vesely measure;</w:t>
      </w:r>
    </w:p>
    <w:p w:rsidR="00850225" w:rsidRPr="00313E82" w:rsidRDefault="00850225" w:rsidP="003651CB">
      <w:pPr>
        <w:pStyle w:val="Paragraphedeliste"/>
        <w:numPr>
          <w:ilvl w:val="0"/>
          <w:numId w:val="22"/>
        </w:numPr>
        <w:rPr>
          <w:rFonts w:eastAsia="Batang"/>
          <w:lang w:val="en-US"/>
        </w:rPr>
      </w:pPr>
      <w:r w:rsidRPr="00313E82">
        <w:rPr>
          <w:rFonts w:eastAsia="Batang"/>
          <w:lang w:val="en-US"/>
        </w:rPr>
        <w:t>Risk Reduction Worth;</w:t>
      </w:r>
    </w:p>
    <w:p w:rsidR="00850225" w:rsidRPr="00313E82" w:rsidRDefault="00850225" w:rsidP="009E13CC">
      <w:pPr>
        <w:pStyle w:val="Paragraphedeliste"/>
        <w:numPr>
          <w:ilvl w:val="0"/>
          <w:numId w:val="22"/>
        </w:numPr>
        <w:rPr>
          <w:rFonts w:eastAsia="Batang"/>
          <w:lang w:val="en-US"/>
        </w:rPr>
      </w:pPr>
      <w:r w:rsidRPr="00313E82">
        <w:rPr>
          <w:rFonts w:eastAsia="Batang"/>
          <w:lang w:val="en-US"/>
        </w:rPr>
        <w:t>Risk Achievement Worth</w:t>
      </w:r>
      <w:r w:rsidR="001854C0">
        <w:rPr>
          <w:rFonts w:eastAsia="Batang"/>
          <w:lang w:val="en-US"/>
        </w:rPr>
        <w:t>/Risk Increase Factor</w:t>
      </w:r>
      <w:r w:rsidRPr="00313E82">
        <w:rPr>
          <w:rFonts w:eastAsia="Batang"/>
          <w:lang w:val="en-US"/>
        </w:rPr>
        <w:t>;</w:t>
      </w:r>
    </w:p>
    <w:p w:rsidR="00850225" w:rsidRPr="00313E82" w:rsidRDefault="00850225" w:rsidP="000C1ABB">
      <w:pPr>
        <w:pStyle w:val="Paragraphedeliste"/>
        <w:numPr>
          <w:ilvl w:val="0"/>
          <w:numId w:val="22"/>
        </w:numPr>
        <w:rPr>
          <w:rFonts w:eastAsia="Batang"/>
          <w:lang w:val="en-US"/>
        </w:rPr>
      </w:pPr>
      <w:r w:rsidRPr="00313E82">
        <w:rPr>
          <w:rFonts w:eastAsia="Batang"/>
          <w:lang w:val="en-US"/>
        </w:rPr>
        <w:t>Birnbaum measure;</w:t>
      </w:r>
    </w:p>
    <w:p w:rsidR="00850225" w:rsidRPr="00313E82" w:rsidRDefault="00850225" w:rsidP="0077117F">
      <w:pPr>
        <w:pStyle w:val="Paragraphedeliste"/>
        <w:numPr>
          <w:ilvl w:val="0"/>
          <w:numId w:val="22"/>
        </w:numPr>
        <w:rPr>
          <w:rFonts w:eastAsia="Batang"/>
          <w:lang w:val="en-US"/>
        </w:rPr>
      </w:pPr>
      <w:r w:rsidRPr="00313E82">
        <w:rPr>
          <w:rFonts w:eastAsia="Batang"/>
          <w:lang w:val="en-US"/>
        </w:rPr>
        <w:t>Criticality importance measure.</w:t>
      </w:r>
    </w:p>
    <w:p w:rsidR="00850225" w:rsidRPr="00313E82" w:rsidRDefault="00850225">
      <w:pPr>
        <w:rPr>
          <w:rFonts w:eastAsia="Batang"/>
          <w:strike/>
          <w:color w:val="FF0000"/>
          <w:lang w:val="en-US"/>
        </w:rPr>
      </w:pPr>
      <w:r w:rsidRPr="00C94556">
        <w:rPr>
          <w:lang w:val="en-US"/>
        </w:rPr>
        <w:t>The above measures</w:t>
      </w:r>
      <w:r w:rsidRPr="00313E82">
        <w:rPr>
          <w:rFonts w:eastAsia="Batang"/>
          <w:lang w:val="en-US"/>
        </w:rPr>
        <w:t xml:space="preserve"> were originally defined with reference to the probability of the top event of a Fault tree </w:t>
      </w:r>
      <m:oMath>
        <m:r>
          <w:rPr>
            <w:rFonts w:ascii="Cambria Math" w:hAnsi="Cambria Math"/>
            <w:lang w:val="en-US"/>
          </w:rPr>
          <m:t>φ</m:t>
        </m:r>
      </m:oMath>
      <w:r w:rsidRPr="00313E82">
        <w:rPr>
          <w:rFonts w:eastAsia="Batang"/>
          <w:lang w:val="en-US"/>
        </w:rPr>
        <w:t>, for the individual basic events</w:t>
      </w:r>
      <w:r w:rsidR="00EE51F4">
        <w:rPr>
          <w:rFonts w:eastAsia="Batang"/>
          <w:lang w:val="en-US"/>
        </w:rPr>
        <w:t>, but are more generally applicable as secondary risk measures in relation to an underlying risk measure</w:t>
      </w:r>
      <w:r w:rsidRPr="00313E82">
        <w:rPr>
          <w:rFonts w:eastAsia="Batang"/>
          <w:lang w:val="en-US"/>
        </w:rPr>
        <w:t xml:space="preserve">. </w:t>
      </w:r>
      <w:r w:rsidR="00EE51F4">
        <w:rPr>
          <w:rFonts w:eastAsia="Batang"/>
          <w:lang w:val="en-US"/>
        </w:rPr>
        <w:t>Therefore</w:t>
      </w:r>
      <w:r w:rsidRPr="00313E82">
        <w:rPr>
          <w:rFonts w:eastAsia="Batang"/>
          <w:lang w:val="en-US"/>
        </w:rPr>
        <w:t>, their definitions can be:</w:t>
      </w:r>
    </w:p>
    <w:p w:rsidR="00850225" w:rsidRPr="00313E82" w:rsidRDefault="00850225" w:rsidP="00C94556">
      <w:pPr>
        <w:pStyle w:val="Paragraphedeliste"/>
        <w:numPr>
          <w:ilvl w:val="0"/>
          <w:numId w:val="41"/>
        </w:numPr>
        <w:rPr>
          <w:rFonts w:eastAsia="Batang"/>
          <w:lang w:val="en-US"/>
        </w:rPr>
      </w:pPr>
      <w:r w:rsidRPr="00313E82">
        <w:rPr>
          <w:rFonts w:eastAsia="Batang"/>
          <w:lang w:val="en-US"/>
        </w:rPr>
        <w:t>applied to an Even</w:t>
      </w:r>
      <w:r w:rsidR="00AF3177">
        <w:rPr>
          <w:rFonts w:eastAsia="Batang"/>
          <w:lang w:val="en-US"/>
        </w:rPr>
        <w:t xml:space="preserve">t </w:t>
      </w:r>
      <w:r w:rsidRPr="00313E82">
        <w:rPr>
          <w:rFonts w:eastAsia="Batang"/>
          <w:lang w:val="en-US"/>
        </w:rPr>
        <w:t xml:space="preserve">tree-Fault tree model, with reference to the probability of defined undesired consequence </w:t>
      </w:r>
      <m:oMath>
        <m:d>
          <m:dPr>
            <m:ctrlPr>
              <w:rPr>
                <w:rFonts w:ascii="Cambria Math" w:eastAsia="Batang"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oMath>
      <w:r w:rsidRPr="00313E82">
        <w:rPr>
          <w:rFonts w:eastAsia="Batang"/>
          <w:lang w:val="en-US"/>
        </w:rPr>
        <w:t xml:space="preserve">, considering all sequences leading to it </w:t>
      </w:r>
      <m:oMath>
        <m:d>
          <m:dPr>
            <m:ctrlPr>
              <w:rPr>
                <w:rFonts w:ascii="Cambria Math" w:eastAsia="Batang"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e>
            </m:d>
          </m:e>
        </m:d>
      </m:oMath>
      <w:r w:rsidRPr="00313E82">
        <w:rPr>
          <w:rFonts w:eastAsia="Batang"/>
          <w:lang w:val="en-US"/>
        </w:rPr>
        <w:t>;</w:t>
      </w:r>
    </w:p>
    <w:p w:rsidR="00850225" w:rsidRPr="00313E82" w:rsidRDefault="00850225" w:rsidP="00C94556">
      <w:pPr>
        <w:pStyle w:val="Paragraphedeliste"/>
        <w:numPr>
          <w:ilvl w:val="0"/>
          <w:numId w:val="41"/>
        </w:numPr>
        <w:rPr>
          <w:rFonts w:eastAsia="Batang"/>
          <w:lang w:val="en-US"/>
        </w:rPr>
      </w:pPr>
      <w:r w:rsidRPr="00313E82">
        <w:rPr>
          <w:rFonts w:eastAsia="Batang"/>
          <w:lang w:val="en-US"/>
        </w:rPr>
        <w:t xml:space="preserve">specified in the general terms of </w:t>
      </w:r>
      <w:r w:rsidR="006E44B0">
        <w:rPr>
          <w:rFonts w:eastAsia="Batang"/>
          <w:lang w:val="en-US"/>
        </w:rPr>
        <w:t>s</w:t>
      </w:r>
      <w:r w:rsidR="006E44B0" w:rsidRPr="00313E82">
        <w:rPr>
          <w:rFonts w:eastAsia="Batang"/>
          <w:lang w:val="en-US"/>
        </w:rPr>
        <w:t xml:space="preserve">ystem </w:t>
      </w:r>
      <w:r w:rsidRPr="00313E82">
        <w:rPr>
          <w:rFonts w:eastAsia="Batang"/>
          <w:lang w:val="en-US"/>
        </w:rPr>
        <w:t>failure function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]=1) </m:t>
        </m:r>
      </m:oMath>
      <w:r w:rsidRPr="00313E82">
        <w:rPr>
          <w:rFonts w:eastAsia="Batang"/>
          <w:lang w:val="en-US"/>
        </w:rPr>
        <w:t xml:space="preserve"> when the consequence occurs;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oMath>
      <w:r w:rsidRPr="00313E82">
        <w:rPr>
          <w:rFonts w:eastAsia="Batang"/>
          <w:lang w:val="en-US"/>
        </w:rPr>
        <w:t xml:space="preserve"> are the states of the basic events) and by its specific representation through minimal cut sets </w:t>
      </w:r>
      <m:oMath>
        <m:d>
          <m:dPr>
            <m:ctrlPr>
              <w:rPr>
                <w:rFonts w:ascii="Cambria Math" w:hAnsi="Cambria Math"/>
                <w:i/>
                <w:sz w:val="16"/>
                <w:szCs w:val="16"/>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nary>
          </m:e>
        </m:d>
      </m:oMath>
      <w:r w:rsidRPr="00313E82">
        <w:rPr>
          <w:rFonts w:eastAsia="Batang"/>
          <w:lang w:val="en-US"/>
        </w:rPr>
        <w:t>;</w:t>
      </w:r>
    </w:p>
    <w:p w:rsidR="00850225" w:rsidRPr="00313E82" w:rsidRDefault="00850225" w:rsidP="00C94556">
      <w:pPr>
        <w:pStyle w:val="Paragraphedeliste"/>
        <w:numPr>
          <w:ilvl w:val="0"/>
          <w:numId w:val="41"/>
        </w:numPr>
        <w:rPr>
          <w:rFonts w:eastAsia="Batang"/>
          <w:lang w:val="en-US"/>
        </w:rPr>
      </w:pPr>
      <w:r w:rsidRPr="00313E82">
        <w:rPr>
          <w:rFonts w:eastAsia="Batang"/>
          <w:lang w:val="en-US"/>
        </w:rPr>
        <w:t xml:space="preserve">generalized with reference to a </w:t>
      </w:r>
      <w:r w:rsidR="00EE51F4">
        <w:rPr>
          <w:rFonts w:eastAsia="Batang"/>
          <w:lang w:val="en-US"/>
        </w:rPr>
        <w:t>direct</w:t>
      </w:r>
      <w:r w:rsidR="00EE51F4" w:rsidRPr="00313E82">
        <w:rPr>
          <w:rFonts w:eastAsia="Batang"/>
          <w:lang w:val="en-US"/>
        </w:rPr>
        <w:t xml:space="preserve"> </w:t>
      </w:r>
      <w:r w:rsidRPr="00313E82">
        <w:rPr>
          <w:rFonts w:eastAsia="Batang"/>
          <w:lang w:val="en-US"/>
        </w:rPr>
        <w:t>risk measure different than the probability</w:t>
      </w:r>
      <m:oMath>
        <m:r>
          <w:rPr>
            <w:rFonts w:ascii="Cambria Math" w:eastAsia="Batang" w:hAnsi="Cambria Math"/>
            <w:lang w:val="en-US"/>
          </w:rPr>
          <m:t xml:space="preserve"> </m:t>
        </m:r>
        <m:d>
          <m:dPr>
            <m:ctrlPr>
              <w:rPr>
                <w:rFonts w:ascii="Cambria Math" w:eastAsia="Batang"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e>
        </m:d>
      </m:oMath>
      <w:r w:rsidRPr="00313E82">
        <w:rPr>
          <w:rFonts w:eastAsia="Batang"/>
          <w:lang w:val="en-US"/>
        </w:rPr>
        <w:t>.</w:t>
      </w:r>
    </w:p>
    <w:p w:rsidR="00850225" w:rsidRPr="00313E82" w:rsidRDefault="00850225" w:rsidP="00741D3C">
      <w:pPr>
        <w:rPr>
          <w:rFonts w:eastAsia="Batang"/>
          <w:lang w:val="en-US"/>
        </w:rPr>
      </w:pPr>
      <w:r w:rsidRPr="00313E82">
        <w:rPr>
          <w:rFonts w:eastAsia="Batang"/>
          <w:lang w:val="en-US"/>
        </w:rPr>
        <w:t xml:space="preserve">It is useful to represent the probability of the undesired consequence as linear function of the basic events probability: </w:t>
      </w:r>
      <m:oMath>
        <m:r>
          <w:rPr>
            <w:rFonts w:ascii="Cambria Math" w:hAnsi="Cambria Math"/>
            <w:lang w:val="en-US"/>
          </w:rPr>
          <m:t>f=a</m:t>
        </m:r>
        <m:sSub>
          <m:sSubPr>
            <m:ctrlPr>
              <w:rPr>
                <w:rFonts w:ascii="Cambria Math" w:hAnsi="Cambria Math"/>
                <w:i/>
                <w:lang w:val="en-US"/>
              </w:rPr>
            </m:ctrlPr>
          </m:sSubPr>
          <m:e>
            <m:r>
              <w:rPr>
                <w:rFonts w:ascii="Cambria Math" w:eastAsia="Batang" w:hAnsi="Cambria Math"/>
                <w:lang w:val="en-US"/>
              </w:rPr>
              <m:t>∙</m:t>
            </m:r>
            <m:r>
              <w:rPr>
                <w:rFonts w:ascii="Cambria Math" w:hAnsi="Cambria Math"/>
                <w:lang w:val="en-US"/>
              </w:rPr>
              <m:t>P</m:t>
            </m:r>
          </m:e>
          <m:sub>
            <m:r>
              <w:rPr>
                <w:rFonts w:ascii="Cambria Math" w:hAnsi="Cambria Math"/>
                <w:lang w:val="en-US"/>
              </w:rPr>
              <m:t>i</m:t>
            </m:r>
          </m:sub>
        </m:sSub>
        <m:r>
          <w:rPr>
            <w:rFonts w:ascii="Cambria Math" w:hAnsi="Cambria Math"/>
            <w:lang w:val="en-US"/>
          </w:rPr>
          <m:t>+b</m:t>
        </m:r>
        <m:r>
          <m:rPr>
            <m:sty m:val="p"/>
          </m:rPr>
          <w:rPr>
            <w:rFonts w:ascii="Cambria Math" w:eastAsia="Batang" w:hAnsi="Cambria Math"/>
            <w:lang w:val="en-US"/>
          </w:rPr>
          <m:t xml:space="preserve">, where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=1</m:t>
            </m:r>
          </m:e>
        </m:d>
      </m:oMath>
      <w:r w:rsidRPr="00313E82">
        <w:rPr>
          <w:rFonts w:eastAsia="Batang"/>
          <w:lang w:val="en-US"/>
        </w:rPr>
        <w:t xml:space="preserve">. This formulation is strictly correct when basic events are independent </w:t>
      </w:r>
      <w:r w:rsidR="009E768B" w:rsidRPr="007E0C24">
        <w:rPr>
          <w:rFonts w:eastAsia="Batang"/>
          <w:lang w:val="en-US"/>
        </w:rPr>
        <w:fldChar w:fldCharType="begin"/>
      </w:r>
      <w:r w:rsidRPr="00313E82">
        <w:rPr>
          <w:rFonts w:eastAsia="Batang"/>
          <w:lang w:val="en-US"/>
        </w:rPr>
        <w:instrText xml:space="preserve"> REF _Ref432089752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[104]</w:t>
      </w:r>
      <w:r w:rsidR="009E768B" w:rsidRPr="007E0C24">
        <w:rPr>
          <w:rFonts w:eastAsia="Batang"/>
          <w:lang w:val="en-US"/>
        </w:rPr>
        <w:fldChar w:fldCharType="end"/>
      </w:r>
      <w:r w:rsidRPr="00313E82">
        <w:rPr>
          <w:rFonts w:eastAsia="Batang"/>
          <w:lang w:val="en-US"/>
        </w:rPr>
        <w:t>.</w:t>
      </w:r>
    </w:p>
    <w:p w:rsidR="00850225" w:rsidRPr="00313E82" w:rsidRDefault="00850225">
      <w:pPr>
        <w:rPr>
          <w:rFonts w:eastAsia="Batang"/>
          <w:u w:val="single"/>
          <w:lang w:val="en-US"/>
        </w:rPr>
      </w:pPr>
    </w:p>
    <w:p w:rsidR="00850225" w:rsidRPr="00313E82" w:rsidRDefault="00850225">
      <w:pPr>
        <w:rPr>
          <w:rFonts w:eastAsia="Batang"/>
          <w:u w:val="single"/>
          <w:lang w:val="en-US"/>
        </w:rPr>
      </w:pPr>
      <w:r w:rsidRPr="00313E82">
        <w:rPr>
          <w:rFonts w:eastAsia="Batang"/>
          <w:u w:val="single"/>
          <w:lang w:val="en-US"/>
        </w:rPr>
        <w:t>Fussell-Vesely Importance</w:t>
      </w:r>
    </w:p>
    <w:p w:rsidR="00850225" w:rsidRPr="00C94556" w:rsidRDefault="00850225">
      <w:pPr>
        <w:rPr>
          <w:lang w:val="en-US"/>
        </w:rPr>
      </w:pPr>
      <w:r w:rsidRPr="00313E82">
        <w:rPr>
          <w:rFonts w:eastAsia="Batang"/>
          <w:lang w:val="en-US"/>
        </w:rPr>
        <w:t xml:space="preserve">The Fussell-Vesely importance measure (FV) is </w:t>
      </w:r>
      <w:r w:rsidRPr="00C94556">
        <w:rPr>
          <w:lang w:val="en-US"/>
        </w:rPr>
        <w:t xml:space="preserve">the </w:t>
      </w:r>
      <w:r w:rsidRPr="00313E82">
        <w:rPr>
          <w:rFonts w:eastAsia="Batang"/>
          <w:lang w:val="en-US"/>
        </w:rPr>
        <w:t xml:space="preserve">fractional contribution of a given basic event to the probability of the undesired consequence when the basic event probability is changed from its base value to zero (i.e. the basic event never occurs) or equivalently the (conditional) probability that at least one “minimal cut set” containing the basic event occurs (given that the undesired consequence is occurred) </w:t>
      </w:r>
      <w:r w:rsidR="009E768B">
        <w:rPr>
          <w:rFonts w:eastAsia="Batang"/>
          <w:lang w:val="en-US"/>
        </w:rPr>
        <w:fldChar w:fldCharType="begin"/>
      </w:r>
      <w:r w:rsidR="006D6008">
        <w:rPr>
          <w:rFonts w:eastAsia="Batang"/>
          <w:lang w:val="en-US"/>
        </w:rPr>
        <w:instrText xml:space="preserve"> REF _Ref397353034 \r \h </w:instrText>
      </w:r>
      <w:r w:rsidR="009E768B">
        <w:rPr>
          <w:rFonts w:eastAsia="Batang"/>
          <w:lang w:val="en-US"/>
        </w:rPr>
      </w:r>
      <w:r w:rsidR="009E768B">
        <w:rPr>
          <w:rFonts w:eastAsia="Batang"/>
          <w:lang w:val="en-US"/>
        </w:rPr>
        <w:fldChar w:fldCharType="separate"/>
      </w:r>
      <w:r w:rsidR="00B772CA">
        <w:rPr>
          <w:rFonts w:eastAsia="Batang"/>
          <w:lang w:val="en-US"/>
        </w:rPr>
        <w:t>[28]</w:t>
      </w:r>
      <w:r w:rsidR="009E768B">
        <w:rPr>
          <w:rFonts w:eastAsia="Batang"/>
          <w:lang w:val="en-US"/>
        </w:rPr>
        <w:fldChar w:fldCharType="end"/>
      </w:r>
      <w:r w:rsidRPr="00313E82">
        <w:rPr>
          <w:rFonts w:eastAsia="Batang"/>
          <w:lang w:val="en-US"/>
        </w:rPr>
        <w:t>.</w:t>
      </w:r>
    </w:p>
    <w:p w:rsidR="00850225" w:rsidRPr="00313E82" w:rsidRDefault="00850225">
      <w:pPr>
        <w:rPr>
          <w:rFonts w:eastAsia="Batang"/>
          <w:lang w:val="en-US"/>
        </w:rPr>
      </w:pPr>
      <w:r w:rsidRPr="00313E82">
        <w:rPr>
          <w:rFonts w:eastAsia="Batang"/>
          <w:lang w:val="en-US"/>
        </w:rPr>
        <w:t>Referring to an individual basic event, the Fussell-Vesely Importance measure is defined as:</w:t>
      </w:r>
    </w:p>
    <w:p w:rsidR="00850225" w:rsidRPr="00313E82" w:rsidRDefault="00850225">
      <w:pPr>
        <w:spacing w:before="120" w:after="120"/>
        <w:rPr>
          <w:rFonts w:eastAsia="Batang"/>
          <w:lang w:val="en-US"/>
        </w:rPr>
      </w:pPr>
      <m:oMathPara>
        <m:oMath>
          <m:r>
            <w:rPr>
              <w:rFonts w:ascii="Cambria Math" w:eastAsia="Batang" w:hAnsi="Cambria Math"/>
              <w:lang w:val="en-US"/>
            </w:rPr>
            <m:t>F</m:t>
          </m:r>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r>
                <m:rPr>
                  <m:sty m:val="p"/>
                </m:rPr>
                <w:rPr>
                  <w:rFonts w:ascii="Cambria Math" w:eastAsia="Batang" w:hAnsi="Cambria Math"/>
                  <w:lang w:val="en-US"/>
                </w:rPr>
                <m:t xml:space="preserve"> </m:t>
              </m:r>
              <m:r>
                <w:rPr>
                  <w:rFonts w:ascii="Cambria Math" w:hAnsi="Cambria Math"/>
                  <w:lang w:val="en-US"/>
                </w:rPr>
                <m:t>f-f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num>
            <m:den>
              <m:r>
                <m:rPr>
                  <m:sty m:val="p"/>
                </m:rPr>
                <w:rPr>
                  <w:rFonts w:ascii="Cambria Math" w:eastAsia="Batang" w:hAnsi="Cambria Math"/>
                  <w:lang w:val="en-US"/>
                </w:rPr>
                <m:t xml:space="preserve"> </m:t>
              </m:r>
              <m:r>
                <w:rPr>
                  <w:rFonts w:ascii="Cambria Math" w:hAnsi="Cambria Math"/>
                  <w:lang w:val="en-US"/>
                </w:rPr>
                <m:t>f</m:t>
              </m:r>
            </m:den>
          </m:f>
          <m:r>
            <w:rPr>
              <w:rFonts w:ascii="Cambria Math" w:eastAsia="Batang" w:hAnsi="Cambria Math" w:hint="eastAsia"/>
              <w:lang w:val="en-US"/>
            </w:rPr>
            <m:t>~</m:t>
          </m:r>
          <m:f>
            <m:fPr>
              <m:ctrlPr>
                <w:rPr>
                  <w:rFonts w:ascii="Cambria Math" w:eastAsia="Batang" w:hAnsi="Cambria Math"/>
                  <w:i/>
                  <w:lang w:val="en-US"/>
                </w:rPr>
              </m:ctrlPr>
            </m:fPr>
            <m:num>
              <m:r>
                <m:rPr>
                  <m:sty m:val="p"/>
                </m:rPr>
                <w:rPr>
                  <w:rFonts w:ascii="Cambria Math" w:eastAsia="Batang" w:hAnsi="Cambria Math"/>
                  <w:lang w:val="en-US"/>
                </w:rPr>
                <m:t xml:space="preserve"> </m:t>
              </m:r>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MC</m:t>
                      </m:r>
                    </m:e>
                    <m:sub>
                      <m:r>
                        <w:rPr>
                          <w:rFonts w:ascii="Cambria Math" w:eastAsia="Batang" w:hAnsi="Cambria Math"/>
                          <w:lang w:val="en-US"/>
                        </w:rPr>
                        <m:t>including i</m:t>
                      </m:r>
                    </m:sub>
                  </m:sSub>
                </m:e>
              </m:d>
            </m:num>
            <m:den>
              <m:r>
                <m:rPr>
                  <m:sty m:val="p"/>
                </m:rPr>
                <w:rPr>
                  <w:rFonts w:ascii="Cambria Math" w:eastAsia="Batang" w:hAnsi="Cambria Math"/>
                  <w:lang w:val="en-US"/>
                </w:rPr>
                <m:t xml:space="preserve"> </m:t>
              </m:r>
              <m:r>
                <w:rPr>
                  <w:rFonts w:ascii="Cambria Math" w:hAnsi="Cambria Math"/>
                  <w:lang w:val="en-US"/>
                </w:rPr>
                <m:t>f</m:t>
              </m:r>
            </m:den>
          </m:f>
          <m:r>
            <w:rPr>
              <w:rFonts w:ascii="Cambria Math" w:eastAsia="Batang" w:hAnsi="Cambria Math" w:hint="eastAsia"/>
              <w:lang w:val="en-US"/>
            </w:rPr>
            <m:t xml:space="preserve">=  </m:t>
          </m:r>
          <m:f>
            <m:fPr>
              <m:ctrlPr>
                <w:rPr>
                  <w:rFonts w:ascii="Cambria Math" w:eastAsia="Batang" w:hAnsi="Cambria Math"/>
                  <w:i/>
                  <w:lang w:val="en-US"/>
                </w:rPr>
              </m:ctrlPr>
            </m:fPr>
            <m:num>
              <m:r>
                <w:rPr>
                  <w:rFonts w:ascii="Cambria Math" w:eastAsia="Batang" w:hAnsi="Cambria Math"/>
                  <w:lang w:val="en-US"/>
                </w:rPr>
                <m:t>a</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num>
            <m:den>
              <m:r>
                <w:rPr>
                  <w:rFonts w:ascii="Cambria Math" w:hAnsi="Cambria Math"/>
                  <w:lang w:val="en-US"/>
                </w:rPr>
                <m:t>a</m:t>
              </m:r>
              <m:r>
                <w:rPr>
                  <w:rFonts w:ascii="Cambria Math" w:eastAsia="Batang"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+b</m:t>
              </m:r>
            </m:den>
          </m:f>
        </m:oMath>
      </m:oMathPara>
    </w:p>
    <w:p w:rsidR="00850225" w:rsidRPr="00313E82" w:rsidRDefault="00850225">
      <w:pPr>
        <w:rPr>
          <w:rFonts w:eastAsia="Batang"/>
          <w:lang w:val="en-US"/>
        </w:rPr>
      </w:pPr>
      <w:r w:rsidRPr="00313E82">
        <w:rPr>
          <w:rFonts w:eastAsia="Batang"/>
          <w:lang w:val="en-US"/>
        </w:rPr>
        <w:t xml:space="preserve">where </w:t>
      </w:r>
      <m:oMath>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oMath>
      <w:r w:rsidRPr="00313E82">
        <w:rPr>
          <w:rFonts w:eastAsia="Batang"/>
          <w:lang w:val="en-US"/>
        </w:rPr>
        <w:t xml:space="preserve"> is the probability of the undesired consequence when the basic event probability is zero.</w:t>
      </w:r>
    </w:p>
    <w:p w:rsidR="00850225" w:rsidRPr="00313E82" w:rsidRDefault="00850225">
      <w:pPr>
        <w:rPr>
          <w:rFonts w:eastAsia="Batang"/>
          <w:u w:val="single"/>
          <w:lang w:val="en-US"/>
        </w:rPr>
      </w:pPr>
    </w:p>
    <w:p w:rsidR="00850225" w:rsidRPr="00313E82" w:rsidRDefault="00850225">
      <w:pPr>
        <w:rPr>
          <w:rFonts w:eastAsia="Batang"/>
          <w:u w:val="single"/>
          <w:lang w:val="en-US"/>
        </w:rPr>
      </w:pPr>
      <w:r w:rsidRPr="00313E82">
        <w:rPr>
          <w:rFonts w:eastAsia="Batang"/>
          <w:u w:val="single"/>
          <w:lang w:val="en-US"/>
        </w:rPr>
        <w:lastRenderedPageBreak/>
        <w:t>Risk Achievement Worth / Risk Increase Factor</w:t>
      </w:r>
    </w:p>
    <w:p w:rsidR="00850225" w:rsidRPr="00313E82" w:rsidRDefault="00850225">
      <w:pPr>
        <w:rPr>
          <w:rFonts w:eastAsia="Batang"/>
          <w:lang w:val="en-US"/>
        </w:rPr>
      </w:pPr>
      <w:r w:rsidRPr="00313E82">
        <w:rPr>
          <w:rFonts w:eastAsia="Batang"/>
          <w:lang w:val="en-US"/>
        </w:rPr>
        <w:t xml:space="preserve">The Risk Achievement Worth (RAW) measures the “worth” of a given basic event in achieving the present risk level (probability of the undesired consequence in the following), by considering its maximum that is when the basic event always occurred. It indicates the importance of maintaining the current level of reliability for the basic event </w:t>
      </w:r>
      <w:r w:rsidRPr="00313E82">
        <w:rPr>
          <w:rFonts w:eastAsia="Batang"/>
          <w:i/>
          <w:lang w:val="en-US"/>
        </w:rPr>
        <w:t>i</w:t>
      </w:r>
      <w:r w:rsidRPr="00313E82">
        <w:rPr>
          <w:rFonts w:eastAsia="Batang"/>
          <w:lang w:val="en-US"/>
        </w:rPr>
        <w:t>.</w:t>
      </w:r>
    </w:p>
    <w:p w:rsidR="00850225" w:rsidRPr="00313E82" w:rsidRDefault="00850225">
      <w:pPr>
        <w:rPr>
          <w:rFonts w:eastAsia="Batang"/>
          <w:lang w:val="en-US"/>
        </w:rPr>
      </w:pPr>
      <w:r w:rsidRPr="00313E82">
        <w:rPr>
          <w:rFonts w:eastAsia="Batang"/>
          <w:lang w:val="en-US"/>
        </w:rPr>
        <w:t>Referring to an individual basic event, the Risk Achievement Worth is defined as:</w:t>
      </w:r>
    </w:p>
    <w:p w:rsidR="00850225" w:rsidRPr="00313E82" w:rsidRDefault="00850225">
      <w:pPr>
        <w:spacing w:before="120" w:after="120"/>
        <w:rPr>
          <w:rFonts w:eastAsia="Batang"/>
          <w:lang w:val="en-US"/>
        </w:rPr>
      </w:pPr>
      <m:oMathPara>
        <m:oMath>
          <m:r>
            <w:rPr>
              <w:rFonts w:ascii="Cambria Math" w:eastAsia="Batang" w:hAnsi="Cambria Math"/>
              <w:lang w:val="en-US"/>
            </w:rPr>
            <m:t>RA</m:t>
          </m:r>
          <m:sSub>
            <m:sSubPr>
              <m:ctrlPr>
                <w:rPr>
                  <w:rFonts w:ascii="Cambria Math" w:eastAsia="Batang" w:hAnsi="Cambria Math"/>
                  <w:i/>
                  <w:lang w:val="en-US"/>
                </w:rPr>
              </m:ctrlPr>
            </m:sSubPr>
            <m:e>
              <m:r>
                <w:rPr>
                  <w:rFonts w:ascii="Cambria Math" w:eastAsia="Batang" w:hAnsi="Cambria Math"/>
                  <w:lang w:val="en-US"/>
                </w:rPr>
                <m:t>W</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r>
                <m:rPr>
                  <m:sty m:val="p"/>
                </m:rPr>
                <w:rPr>
                  <w:rFonts w:ascii="Cambria Math" w:eastAsia="Batang" w:hAnsi="Cambria Math"/>
                  <w:lang w:val="en-US"/>
                </w:rPr>
                <m:t xml:space="preserve"> </m:t>
              </m:r>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=1</m:t>
                  </m:r>
                </m:e>
              </m:d>
            </m:num>
            <m:den>
              <m:r>
                <m:rPr>
                  <m:sty m:val="p"/>
                </m:rPr>
                <w:rPr>
                  <w:rFonts w:ascii="Cambria Math" w:eastAsia="Batang" w:hAnsi="Cambria Math"/>
                  <w:lang w:val="en-US"/>
                </w:rPr>
                <m:t xml:space="preserve"> </m:t>
              </m:r>
              <m:r>
                <w:rPr>
                  <w:rFonts w:ascii="Cambria Math" w:hAnsi="Cambria Math"/>
                  <w:lang w:val="en-US"/>
                </w:rPr>
                <m:t>f</m:t>
              </m:r>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=1</m:t>
                  </m:r>
                </m:e>
              </m:d>
            </m:num>
            <m:den>
              <m:r>
                <w:rPr>
                  <w:rFonts w:ascii="Cambria Math" w:hAnsi="Cambria Math"/>
                  <w:lang w:val="en-US"/>
                </w:rPr>
                <m:t>f</m:t>
              </m:r>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a+b</m:t>
              </m:r>
            </m:num>
            <m:den>
              <m:r>
                <w:rPr>
                  <w:rFonts w:ascii="Cambria Math" w:hAnsi="Cambria Math"/>
                  <w:lang w:val="en-US"/>
                </w:rPr>
                <m:t>a</m:t>
              </m:r>
              <m:sSub>
                <m:sSubPr>
                  <m:ctrlPr>
                    <w:rPr>
                      <w:rFonts w:ascii="Cambria Math" w:hAnsi="Cambria Math"/>
                      <w:i/>
                      <w:lang w:val="en-US"/>
                    </w:rPr>
                  </m:ctrlPr>
                </m:sSubPr>
                <m:e>
                  <m:r>
                    <w:rPr>
                      <w:rFonts w:ascii="Cambria Math" w:eastAsia="Batang" w:hAnsi="Cambria Math"/>
                      <w:lang w:val="en-US"/>
                    </w:rPr>
                    <m:t>∙</m:t>
                  </m:r>
                  <m:r>
                    <w:rPr>
                      <w:rFonts w:ascii="Cambria Math" w:hAnsi="Cambria Math"/>
                      <w:lang w:val="en-US"/>
                    </w:rPr>
                    <m:t>P</m:t>
                  </m:r>
                </m:e>
                <m:sub>
                  <m:r>
                    <w:rPr>
                      <w:rFonts w:ascii="Cambria Math" w:hAnsi="Cambria Math"/>
                      <w:lang w:val="en-US"/>
                    </w:rPr>
                    <m:t>i</m:t>
                  </m:r>
                </m:sub>
              </m:sSub>
              <m:r>
                <w:rPr>
                  <w:rFonts w:ascii="Cambria Math" w:hAnsi="Cambria Math"/>
                  <w:lang w:val="en-US"/>
                </w:rPr>
                <m:t>+b</m:t>
              </m:r>
            </m:den>
          </m:f>
        </m:oMath>
      </m:oMathPara>
    </w:p>
    <w:p w:rsidR="00850225" w:rsidRDefault="00850225">
      <w:pPr>
        <w:rPr>
          <w:rFonts w:eastAsia="Batang"/>
          <w:lang w:val="en-US"/>
        </w:rPr>
      </w:pPr>
      <w:r w:rsidRPr="00313E82">
        <w:rPr>
          <w:rFonts w:eastAsia="Batang"/>
          <w:lang w:val="en-US"/>
        </w:rPr>
        <w:t xml:space="preserve">where </w:t>
      </w:r>
      <m:oMath>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=0</m:t>
            </m:r>
          </m:e>
        </m:d>
      </m:oMath>
      <w:r w:rsidRPr="00313E82">
        <w:rPr>
          <w:rFonts w:eastAsia="Batang"/>
          <w:lang w:val="en-US"/>
        </w:rPr>
        <w:t xml:space="preserve"> is the probability of the undesired consequence when </w:t>
      </w:r>
      <m:oMath>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hint="eastAsia"/>
            <w:lang w:val="en-US"/>
          </w:rPr>
          <m:t>=1</m:t>
        </m:r>
      </m:oMath>
      <w:r w:rsidRPr="00313E82">
        <w:rPr>
          <w:rFonts w:eastAsia="Batang"/>
          <w:lang w:val="en-US"/>
        </w:rPr>
        <w:t xml:space="preserve"> (i.e. the basic event always occurs).</w:t>
      </w:r>
    </w:p>
    <w:p w:rsidR="00626279" w:rsidRPr="00313E82" w:rsidRDefault="00626279">
      <w:pPr>
        <w:rPr>
          <w:rFonts w:eastAsia="Batang"/>
          <w:lang w:val="en-US"/>
        </w:rPr>
      </w:pPr>
    </w:p>
    <w:p w:rsidR="00850225" w:rsidRPr="00313E82" w:rsidRDefault="00850225">
      <w:pPr>
        <w:rPr>
          <w:rFonts w:eastAsia="Batang"/>
          <w:u w:val="single"/>
          <w:lang w:val="en-US"/>
        </w:rPr>
      </w:pPr>
      <w:r w:rsidRPr="00313E82">
        <w:rPr>
          <w:rFonts w:eastAsia="Batang"/>
          <w:u w:val="single"/>
          <w:lang w:val="en-US"/>
        </w:rPr>
        <w:t>Risk Reduction Worth / Risk Decrease Factor</w:t>
      </w:r>
    </w:p>
    <w:p w:rsidR="00850225" w:rsidRPr="00313E82" w:rsidRDefault="00850225">
      <w:pPr>
        <w:rPr>
          <w:rFonts w:eastAsia="Batang"/>
          <w:lang w:val="en-US"/>
        </w:rPr>
      </w:pPr>
      <w:r w:rsidRPr="00313E82">
        <w:rPr>
          <w:rFonts w:eastAsia="Batang"/>
          <w:lang w:val="en-US"/>
        </w:rPr>
        <w:t xml:space="preserve">The Risk Reduction Worth (RRW) measures the “worth” of a given basic event in reducing the risk level (probability of the undesired consequence in the following), by considering its maximum decrease that is when the basic event never occurs. It indicates the importance of reducing the current level of unreliability for the basic event </w:t>
      </w:r>
      <w:r w:rsidRPr="00313E82">
        <w:rPr>
          <w:rFonts w:eastAsia="Batang"/>
          <w:i/>
          <w:lang w:val="en-US"/>
        </w:rPr>
        <w:t>i</w:t>
      </w:r>
      <w:r w:rsidRPr="00313E82">
        <w:rPr>
          <w:rFonts w:eastAsia="Batang"/>
          <w:lang w:val="en-US"/>
        </w:rPr>
        <w:t>.</w:t>
      </w:r>
    </w:p>
    <w:p w:rsidR="00850225" w:rsidRPr="00313E82" w:rsidRDefault="00850225">
      <w:pPr>
        <w:rPr>
          <w:rFonts w:eastAsia="Batang"/>
          <w:lang w:val="en-US"/>
        </w:rPr>
      </w:pPr>
      <w:r w:rsidRPr="00313E82">
        <w:rPr>
          <w:rFonts w:eastAsia="Batang"/>
          <w:lang w:val="en-US"/>
        </w:rPr>
        <w:t>Referring to an individual basic event, the Risk Achievement Worth is defined as:</w:t>
      </w:r>
    </w:p>
    <w:p w:rsidR="00850225" w:rsidRPr="00313E82" w:rsidRDefault="00850225">
      <w:pPr>
        <w:spacing w:before="120" w:after="120"/>
        <w:rPr>
          <w:rFonts w:eastAsia="Batang"/>
          <w:lang w:val="en-US"/>
        </w:rPr>
      </w:pPr>
      <m:oMathPara>
        <m:oMath>
          <m:r>
            <w:rPr>
              <w:rFonts w:ascii="Cambria Math" w:eastAsia="Batang" w:hAnsi="Cambria Math"/>
              <w:lang w:val="en-US"/>
            </w:rPr>
            <m:t>RR</m:t>
          </m:r>
          <m:sSub>
            <m:sSubPr>
              <m:ctrlPr>
                <w:rPr>
                  <w:rFonts w:ascii="Cambria Math" w:eastAsia="Batang" w:hAnsi="Cambria Math"/>
                  <w:i/>
                  <w:lang w:val="en-US"/>
                </w:rPr>
              </m:ctrlPr>
            </m:sSubPr>
            <m:e>
              <m:r>
                <w:rPr>
                  <w:rFonts w:ascii="Cambria Math" w:eastAsia="Batang" w:hAnsi="Cambria Math"/>
                  <w:lang w:val="en-US"/>
                </w:rPr>
                <m:t>W</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r>
                <m:rPr>
                  <m:sty m:val="p"/>
                </m:rPr>
                <w:rPr>
                  <w:rFonts w:ascii="Cambria Math" w:eastAsia="Batang" w:hAnsi="Cambria Math"/>
                  <w:lang w:val="en-US"/>
                </w:rPr>
                <m:t xml:space="preserve"> </m:t>
              </m:r>
              <m:r>
                <w:rPr>
                  <w:rFonts w:ascii="Cambria Math" w:hAnsi="Cambria Math"/>
                  <w:lang w:val="en-US"/>
                </w:rPr>
                <m:t>f</m:t>
              </m:r>
            </m:num>
            <m:den>
              <m:r>
                <m:rPr>
                  <m:sty m:val="p"/>
                </m:rPr>
                <w:rPr>
                  <w:rFonts w:ascii="Cambria Math" w:eastAsia="Batang" w:hAnsi="Cambria Math"/>
                  <w:lang w:val="en-US"/>
                </w:rPr>
                <m:t xml:space="preserve"> </m:t>
              </m:r>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=0</m:t>
                  </m:r>
                </m:e>
              </m:d>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hAnsi="Cambria Math"/>
                  <w:lang w:val="en-US"/>
                </w:rPr>
                <m:t>f</m:t>
              </m:r>
            </m:num>
            <m:den>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a</m:t>
              </m:r>
              <m:sSub>
                <m:sSubPr>
                  <m:ctrlPr>
                    <w:rPr>
                      <w:rFonts w:ascii="Cambria Math" w:hAnsi="Cambria Math"/>
                      <w:i/>
                      <w:lang w:val="en-US"/>
                    </w:rPr>
                  </m:ctrlPr>
                </m:sSubPr>
                <m:e>
                  <m:r>
                    <w:rPr>
                      <w:rFonts w:ascii="Cambria Math" w:eastAsia="Batang" w:hAnsi="Cambria Math"/>
                      <w:lang w:val="en-US"/>
                    </w:rPr>
                    <m:t>∙</m:t>
                  </m:r>
                  <m:r>
                    <w:rPr>
                      <w:rFonts w:ascii="Cambria Math" w:hAnsi="Cambria Math"/>
                      <w:lang w:val="en-US"/>
                    </w:rPr>
                    <m:t>P</m:t>
                  </m:r>
                </m:e>
                <m:sub>
                  <m:r>
                    <w:rPr>
                      <w:rFonts w:ascii="Cambria Math" w:hAnsi="Cambria Math"/>
                      <w:lang w:val="en-US"/>
                    </w:rPr>
                    <m:t>i</m:t>
                  </m:r>
                </m:sub>
              </m:sSub>
              <m:r>
                <w:rPr>
                  <w:rFonts w:ascii="Cambria Math" w:eastAsia="Batang" w:hAnsi="Cambria Math"/>
                  <w:lang w:val="en-US"/>
                </w:rPr>
                <m:t>+b</m:t>
              </m:r>
            </m:num>
            <m:den>
              <m:r>
                <w:rPr>
                  <w:rFonts w:ascii="Cambria Math" w:hAnsi="Cambria Math"/>
                  <w:lang w:val="en-US"/>
                </w:rPr>
                <m:t>b</m:t>
              </m:r>
            </m:den>
          </m:f>
          <m:r>
            <w:rPr>
              <w:rFonts w:ascii="Cambria Math" w:eastAsia="Batang" w:hAnsi="Cambria Math"/>
              <w:lang w:val="en-US"/>
            </w:rPr>
            <m:t>=</m:t>
          </m:r>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1-F</m:t>
              </m:r>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m:t>
                  </m:r>
                </m:sub>
              </m:sSub>
            </m:den>
          </m:f>
        </m:oMath>
      </m:oMathPara>
    </w:p>
    <w:p w:rsidR="00850225" w:rsidRPr="00313E82" w:rsidRDefault="00850225">
      <w:pPr>
        <w:rPr>
          <w:rFonts w:eastAsia="Batang"/>
          <w:u w:val="single"/>
          <w:lang w:val="en-US"/>
        </w:rPr>
      </w:pPr>
    </w:p>
    <w:p w:rsidR="00850225" w:rsidRPr="00313E82" w:rsidRDefault="00850225">
      <w:pPr>
        <w:rPr>
          <w:rFonts w:eastAsia="Batang"/>
          <w:u w:val="single"/>
          <w:lang w:val="en-US"/>
        </w:rPr>
      </w:pPr>
      <w:r w:rsidRPr="00313E82">
        <w:rPr>
          <w:rFonts w:eastAsia="Batang"/>
          <w:u w:val="single"/>
          <w:lang w:val="en-US"/>
        </w:rPr>
        <w:t>Birnbaum Importance</w:t>
      </w:r>
    </w:p>
    <w:p w:rsidR="00850225" w:rsidRPr="00313E82" w:rsidRDefault="00850225">
      <w:pPr>
        <w:rPr>
          <w:rFonts w:eastAsia="Batang"/>
          <w:lang w:val="en-US"/>
        </w:rPr>
      </w:pPr>
      <w:r w:rsidRPr="00313E82">
        <w:rPr>
          <w:rFonts w:eastAsia="Batang"/>
          <w:lang w:val="en-US"/>
        </w:rPr>
        <w:t>The Birnbaum Importance measure (B) is the rate of change in the risk (probability of the undesired consequence in the following) as result of the change in the probability of a given basic event, or equivalently the difference in the probability of the undesired consequence when the basic events always occurs and never occurs, or equivalently the probability to be in a “critical” status for the particular basic event (i.e. the undesired consequence occurs only if the basic event occurs).</w:t>
      </w:r>
    </w:p>
    <w:p w:rsidR="00850225" w:rsidRPr="00313E82" w:rsidRDefault="00850225">
      <w:pPr>
        <w:rPr>
          <w:rFonts w:eastAsia="Batang"/>
          <w:lang w:val="en-US"/>
        </w:rPr>
      </w:pPr>
      <w:r w:rsidRPr="00313E82">
        <w:rPr>
          <w:rFonts w:eastAsia="Batang"/>
          <w:lang w:val="en-US"/>
        </w:rPr>
        <w:t>Referring to an individual basic event, the Birnbaum Importance is defined as:</w:t>
      </w:r>
    </w:p>
    <w:p w:rsidR="00850225" w:rsidRPr="00313E82" w:rsidRDefault="0043746A">
      <w:pPr>
        <w:spacing w:before="120" w:after="120"/>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i</m:t>
              </m:r>
            </m:sub>
          </m:sSub>
          <m:r>
            <w:rPr>
              <w:rFonts w:ascii="Cambria Math" w:eastAsia="Batang" w:hAnsi="Cambria Math" w:hint="eastAsia"/>
              <w:lang w:val="en-US"/>
            </w:rPr>
            <m:t>=</m:t>
          </m:r>
          <m:r>
            <w:rPr>
              <w:rFonts w:ascii="Cambria Math"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=1</m:t>
              </m:r>
            </m:e>
          </m:d>
          <m:r>
            <w:rPr>
              <w:rFonts w:ascii="Cambria Math" w:eastAsia="Batang" w:hAnsi="Cambria Math"/>
              <w:lang w:val="en-US"/>
            </w:rPr>
            <m:t>-</m:t>
          </m:r>
          <m:r>
            <w:rPr>
              <w:rFonts w:ascii="Cambria Math"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r>
                <w:rPr>
                  <w:rFonts w:ascii="Cambria Math" w:eastAsia="Batang" w:hAnsi="Cambria Math"/>
                  <w:lang w:val="en-US"/>
                </w:rPr>
                <m:t>=0</m:t>
              </m:r>
            </m:e>
          </m:d>
          <m:r>
            <w:rPr>
              <w:rFonts w:ascii="Cambria Math"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=1</m:t>
              </m:r>
            </m:e>
          </m:d>
          <m:r>
            <w:rPr>
              <w:rFonts w:ascii="Cambria Math" w:eastAsia="Batang" w:hAnsi="Cambria Math"/>
              <w:lang w:val="en-US"/>
            </w:rPr>
            <m:t>-</m:t>
          </m:r>
          <m:r>
            <w:rPr>
              <w:rFonts w:ascii="Cambria Math"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φ</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den>
          </m:f>
          <m:r>
            <w:rPr>
              <w:rFonts w:ascii="Cambria Math" w:eastAsia="Batang" w:hAnsi="Cambria Math" w:hint="eastAsia"/>
              <w:lang w:val="en-US"/>
            </w:rPr>
            <m:t>=</m:t>
          </m:r>
          <m:r>
            <w:rPr>
              <w:rFonts w:ascii="Cambria Math" w:eastAsia="Batang" w:hAnsi="Cambria Math"/>
              <w:lang w:val="en-US"/>
            </w:rPr>
            <m:t>a=</m:t>
          </m:r>
          <m:sSub>
            <m:sSubPr>
              <m:ctrlPr>
                <w:rPr>
                  <w:rFonts w:ascii="Cambria Math" w:eastAsia="Batang" w:hAnsi="Cambria Math"/>
                  <w:i/>
                  <w:lang w:val="en-US"/>
                </w:rPr>
              </m:ctrlPr>
            </m:sSubPr>
            <m:e>
              <m:r>
                <w:rPr>
                  <w:rFonts w:ascii="Cambria Math" w:eastAsia="Batang" w:hAnsi="Cambria Math"/>
                  <w:lang w:val="en-US"/>
                </w:rPr>
                <m:t>RAW</m:t>
              </m:r>
            </m:e>
            <m:sub>
              <m:r>
                <w:rPr>
                  <w:rFonts w:ascii="Cambria Math" w:eastAsia="Batang" w:hAnsi="Cambria Math"/>
                  <w:lang w:val="en-US"/>
                </w:rPr>
                <m:t>i</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RRW</m:t>
              </m:r>
            </m:e>
            <m:sub>
              <m:r>
                <w:rPr>
                  <w:rFonts w:ascii="Cambria Math" w:eastAsia="Batang" w:hAnsi="Cambria Math"/>
                  <w:lang w:val="en-US"/>
                </w:rPr>
                <m:t>i</m:t>
              </m:r>
            </m:sub>
          </m:sSub>
        </m:oMath>
      </m:oMathPara>
    </w:p>
    <w:p w:rsidR="00850225" w:rsidRPr="00313E82" w:rsidRDefault="00850225">
      <w:pPr>
        <w:rPr>
          <w:rFonts w:eastAsia="Batang"/>
          <w:u w:val="single"/>
          <w:lang w:val="en-US"/>
        </w:rPr>
      </w:pPr>
    </w:p>
    <w:p w:rsidR="00850225" w:rsidRPr="00313E82" w:rsidRDefault="00850225">
      <w:pPr>
        <w:rPr>
          <w:rFonts w:eastAsia="Batang"/>
          <w:u w:val="single"/>
          <w:lang w:val="en-US"/>
        </w:rPr>
      </w:pPr>
      <w:r w:rsidRPr="00313E82">
        <w:rPr>
          <w:rFonts w:eastAsia="Batang"/>
          <w:u w:val="single"/>
          <w:lang w:val="en-US"/>
        </w:rPr>
        <w:t>Criticality Importance</w:t>
      </w:r>
    </w:p>
    <w:p w:rsidR="00850225" w:rsidRPr="00313E82" w:rsidRDefault="00850225">
      <w:pPr>
        <w:rPr>
          <w:rFonts w:eastAsia="Batang"/>
          <w:lang w:val="en-US"/>
        </w:rPr>
      </w:pPr>
      <w:r w:rsidRPr="00313E82">
        <w:rPr>
          <w:rFonts w:eastAsia="Batang"/>
          <w:lang w:val="en-US"/>
        </w:rPr>
        <w:t xml:space="preserve">The </w:t>
      </w:r>
      <w:r w:rsidR="00EF10E0">
        <w:rPr>
          <w:rFonts w:eastAsia="Batang"/>
          <w:lang w:val="en-US"/>
        </w:rPr>
        <w:t>c</w:t>
      </w:r>
      <w:r w:rsidR="00EF10E0" w:rsidRPr="00313E82">
        <w:rPr>
          <w:rFonts w:eastAsia="Batang"/>
          <w:lang w:val="en-US"/>
        </w:rPr>
        <w:t xml:space="preserve">riticality </w:t>
      </w:r>
      <w:r w:rsidR="00EF10E0">
        <w:rPr>
          <w:rFonts w:eastAsia="Batang"/>
          <w:lang w:val="en-US"/>
        </w:rPr>
        <w:t>i</w:t>
      </w:r>
      <w:r w:rsidR="00EF10E0" w:rsidRPr="00313E82">
        <w:rPr>
          <w:rFonts w:eastAsia="Batang"/>
          <w:lang w:val="en-US"/>
        </w:rPr>
        <w:t xml:space="preserve">mportance </w:t>
      </w:r>
      <w:r w:rsidRPr="00313E82">
        <w:rPr>
          <w:rFonts w:eastAsia="Batang"/>
          <w:lang w:val="en-US"/>
        </w:rPr>
        <w:t>(C) measure is the (conditional) probability that the undesired consequence occurs because of the occurrence of a particular basic event (given that the undesired consequence occurs):</w:t>
      </w:r>
    </w:p>
    <w:p w:rsidR="00850225" w:rsidRPr="00313E82" w:rsidRDefault="0043746A">
      <w:pPr>
        <w:spacing w:before="120" w:after="120"/>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C</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d>
                    <m:dPr>
                      <m:ctrlPr>
                        <w:rPr>
                          <w:rFonts w:ascii="Cambria Math" w:eastAsia="Batang" w:hAnsi="Cambria Math"/>
                          <w:i/>
                          <w:lang w:val="en-US"/>
                        </w:rPr>
                      </m:ctrlPr>
                    </m:dPr>
                    <m:e>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=1</m:t>
                          </m:r>
                        </m:e>
                      </m:d>
                      <m:r>
                        <w:rPr>
                          <w:rFonts w:ascii="Cambria Math" w:eastAsia="Batang" w:hAnsi="Cambria Math"/>
                          <w:lang w:val="en-US"/>
                        </w:rPr>
                        <m:t>-</m:t>
                      </m:r>
                      <m:r>
                        <w:rPr>
                          <w:rFonts w:ascii="Cambria Math" w:hAnsi="Cambria Math"/>
                          <w:lang w:val="en-US"/>
                        </w:rPr>
                        <m:t>f</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=0</m:t>
                          </m:r>
                        </m:e>
                      </m:d>
                    </m:e>
                  </m:d>
                  <m:r>
                    <w:rPr>
                      <w:rFonts w:ascii="Cambria Math" w:eastAsia="Batang" w:hAnsi="Cambria Math"/>
                      <w:lang w:val="en-US"/>
                    </w:rPr>
                    <m:t>∙P</m:t>
                  </m:r>
                </m:e>
                <m:sub>
                  <m:r>
                    <w:rPr>
                      <w:rFonts w:ascii="Cambria Math" w:eastAsia="Batang" w:hAnsi="Cambria Math"/>
                      <w:lang w:val="en-US"/>
                    </w:rPr>
                    <m:t>i</m:t>
                  </m:r>
                </m:sub>
              </m:sSub>
            </m:num>
            <m:den>
              <m:r>
                <w:rPr>
                  <w:rFonts w:ascii="Cambria Math" w:hAnsi="Cambria Math"/>
                  <w:lang w:val="en-US"/>
                </w:rPr>
                <m:t>f</m:t>
              </m:r>
            </m:den>
          </m:f>
          <m:r>
            <w:rPr>
              <w:rFonts w:ascii="Cambria Math" w:eastAsia="Batang" w:hAnsi="Cambria Math" w:hint="eastAsia"/>
              <w:lang w:val="en-US"/>
            </w:rPr>
            <m:t xml:space="preserve">= </m:t>
          </m:r>
          <m:f>
            <m:fPr>
              <m:ctrlPr>
                <w:rPr>
                  <w:rFonts w:ascii="Cambria Math" w:eastAsia="Batang" w:hAnsi="Cambria Math"/>
                  <w:i/>
                  <w:lang w:val="en-US"/>
                </w:rPr>
              </m:ctrlPr>
            </m:fPr>
            <m:num>
              <m:r>
                <w:rPr>
                  <w:rFonts w:ascii="Cambria Math" w:eastAsia="Batang" w:hAnsi="Cambria Math"/>
                  <w:lang w:val="en-US"/>
                </w:rPr>
                <m:t>a</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num>
            <m:den>
              <m:r>
                <w:rPr>
                  <w:rFonts w:ascii="Cambria Math" w:hAnsi="Cambria Math"/>
                  <w:lang w:val="en-US"/>
                </w:rPr>
                <m:t>a</m:t>
              </m:r>
              <m:r>
                <w:rPr>
                  <w:rFonts w:ascii="Cambria Math" w:eastAsia="Batang"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+b</m:t>
              </m:r>
            </m:den>
          </m:f>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FV</m:t>
              </m:r>
            </m:e>
            <m:sub>
              <m:r>
                <w:rPr>
                  <w:rFonts w:ascii="Cambria Math" w:eastAsia="Batang" w:hAnsi="Cambria Math"/>
                  <w:lang w:val="en-US"/>
                </w:rPr>
                <m:t>i</m:t>
              </m:r>
            </m:sub>
          </m:sSub>
        </m:oMath>
      </m:oMathPara>
    </w:p>
    <w:p w:rsidR="00850225" w:rsidRPr="00313E82" w:rsidRDefault="00850225" w:rsidP="00C94556">
      <w:pPr>
        <w:pStyle w:val="Titre3"/>
        <w:rPr>
          <w:rFonts w:eastAsia="Batang"/>
          <w:lang w:val="en-US"/>
        </w:rPr>
      </w:pPr>
      <w:bookmarkStart w:id="116" w:name="_Toc474430136"/>
      <w:r w:rsidRPr="00313E82">
        <w:rPr>
          <w:rFonts w:eastAsia="Batang"/>
          <w:lang w:val="en-US"/>
        </w:rPr>
        <w:t>Areas of application</w:t>
      </w:r>
      <w:bookmarkEnd w:id="116"/>
    </w:p>
    <w:p w:rsidR="00850225" w:rsidRPr="00C94556" w:rsidRDefault="00850225" w:rsidP="00741D3C">
      <w:pPr>
        <w:rPr>
          <w:lang w:val="en-US"/>
        </w:rPr>
      </w:pPr>
      <w:r w:rsidRPr="00313E82">
        <w:rPr>
          <w:rFonts w:eastAsia="Batang"/>
          <w:lang w:val="en-US"/>
        </w:rPr>
        <w:t xml:space="preserve">Generally speaking, SSCs can be ranked with respect to their “risk-significance” and “safety-significance”, providing </w:t>
      </w:r>
      <w:r w:rsidRPr="00C94556">
        <w:rPr>
          <w:lang w:val="en-US"/>
        </w:rPr>
        <w:t xml:space="preserve">complementary ways to identifying their role </w:t>
      </w:r>
      <w:r w:rsidR="00CD0CBE">
        <w:fldChar w:fldCharType="begin"/>
      </w:r>
      <w:r w:rsidR="00CD0CBE">
        <w:instrText xml:space="preserve"> REF _Ref397353034 \r \h  \* MERGEFORMAT </w:instrText>
      </w:r>
      <w:r w:rsidR="00CD0CBE">
        <w:fldChar w:fldCharType="separate"/>
      </w:r>
      <w:r w:rsidR="00B772CA" w:rsidRPr="00B772CA">
        <w:rPr>
          <w:rFonts w:eastAsia="Batang"/>
          <w:lang w:val="en-US"/>
        </w:rPr>
        <w:t>[28]</w:t>
      </w:r>
      <w:r w:rsidR="00CD0CBE">
        <w:fldChar w:fldCharType="end"/>
      </w:r>
      <w:r w:rsidRPr="00C94556">
        <w:rPr>
          <w:lang w:val="en-US"/>
        </w:rPr>
        <w:t>.</w:t>
      </w:r>
      <w:r w:rsidRPr="00313E82">
        <w:rPr>
          <w:rFonts w:eastAsia="Batang"/>
          <w:lang w:val="en-US"/>
        </w:rPr>
        <w:t xml:space="preserve"> </w:t>
      </w:r>
      <w:r w:rsidRPr="00C94556">
        <w:rPr>
          <w:lang w:val="en-US"/>
        </w:rPr>
        <w:t>Conceptually, a risk-significant ranking is related to the role that the SSC plays in the current level of risk</w:t>
      </w:r>
      <w:r w:rsidR="007411E2">
        <w:rPr>
          <w:lang w:val="en-US"/>
        </w:rPr>
        <w:t xml:space="preserve"> and </w:t>
      </w:r>
      <w:r w:rsidRPr="00C94556">
        <w:rPr>
          <w:lang w:val="en-US"/>
        </w:rPr>
        <w:t xml:space="preserve">the prevention of the occurrence of the undesired consequence.  </w:t>
      </w:r>
    </w:p>
    <w:p w:rsidR="00850225" w:rsidRPr="00313E82" w:rsidRDefault="00850225">
      <w:pPr>
        <w:rPr>
          <w:rFonts w:eastAsia="Batang"/>
          <w:lang w:val="en-US"/>
        </w:rPr>
      </w:pPr>
      <w:r w:rsidRPr="00313E82">
        <w:rPr>
          <w:rFonts w:eastAsia="Batang"/>
          <w:lang w:val="en-US"/>
        </w:rPr>
        <w:lastRenderedPageBreak/>
        <w:t xml:space="preserve">Even if relationships exist among the above traditional importance measures, they provide some complementary information. It is commonly recognized that the Risk Achievement Worth produces a safety-significant ranking, while all the remaining ones produce risk-significant ones. </w:t>
      </w:r>
    </w:p>
    <w:p w:rsidR="00850225" w:rsidRPr="00313E82" w:rsidRDefault="00850225">
      <w:pPr>
        <w:rPr>
          <w:rFonts w:eastAsia="Batang"/>
          <w:lang w:val="en-US"/>
        </w:rPr>
      </w:pPr>
      <w:r w:rsidRPr="00313E82">
        <w:rPr>
          <w:rFonts w:eastAsia="Batang"/>
          <w:lang w:val="en-US"/>
        </w:rPr>
        <w:t>In many applications, only one risk-significance importance measure could be sufficient. To describe the influence of the SSCs exhaustively, the relevant basic events can be ranked through a “two-dimensional” criterion, by estimating a risk-significant measure (e.g. FV) and a safety-significant one (RAW). The concurrent use of two measures is advisable, even if the obtained results – in terms of SSCs ranking – could be less obvious.</w:t>
      </w:r>
    </w:p>
    <w:p w:rsidR="00850225" w:rsidRPr="00313E82" w:rsidRDefault="00850225" w:rsidP="00C94556">
      <w:pPr>
        <w:pStyle w:val="Titre3"/>
        <w:rPr>
          <w:rFonts w:eastAsia="Batang"/>
          <w:lang w:val="en-US"/>
        </w:rPr>
      </w:pPr>
      <w:bookmarkStart w:id="117" w:name="_Toc474430137"/>
      <w:r w:rsidRPr="00313E82">
        <w:rPr>
          <w:rFonts w:eastAsia="Batang"/>
          <w:lang w:val="en-US"/>
        </w:rPr>
        <w:t>Discussion</w:t>
      </w:r>
      <w:bookmarkEnd w:id="117"/>
    </w:p>
    <w:p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t xml:space="preserve">The traditional </w:t>
      </w:r>
      <w:r w:rsidR="006E44B0">
        <w:rPr>
          <w:rFonts w:eastAsia="Batang"/>
          <w:lang w:val="en-US"/>
        </w:rPr>
        <w:t>i</w:t>
      </w:r>
      <w:r w:rsidR="006E44B0" w:rsidRPr="00313E82">
        <w:rPr>
          <w:rFonts w:eastAsia="Batang"/>
          <w:lang w:val="en-US"/>
        </w:rPr>
        <w:t xml:space="preserve">mportance </w:t>
      </w:r>
      <w:r w:rsidRPr="00313E82">
        <w:rPr>
          <w:rFonts w:eastAsia="Batang"/>
          <w:lang w:val="en-US"/>
        </w:rPr>
        <w:t>measures are introduced with reference to the probability</w:t>
      </w:r>
      <m:oMath>
        <m:r>
          <w:rPr>
            <w:rFonts w:ascii="Cambria Math" w:eastAsia="Batang" w:hAnsi="Cambria Math"/>
            <w:lang w:val="en-US"/>
          </w:rPr>
          <m:t xml:space="preserve"> </m:t>
        </m:r>
        <m:r>
          <w:rPr>
            <w:rFonts w:ascii="Cambria Math" w:hAnsi="Cambria Math"/>
            <w:lang w:val="en-US"/>
          </w:rPr>
          <m:t>φ</m:t>
        </m:r>
      </m:oMath>
      <w:r w:rsidRPr="00313E82">
        <w:rPr>
          <w:rFonts w:eastAsia="Batang"/>
          <w:lang w:val="en-US"/>
        </w:rPr>
        <w:t xml:space="preserve"> of a defined undesired consequence, as basic </w:t>
      </w:r>
      <w:r w:rsidR="00DA0BF5">
        <w:rPr>
          <w:rFonts w:eastAsia="Batang"/>
          <w:lang w:val="en-US"/>
        </w:rPr>
        <w:t>direct</w:t>
      </w:r>
      <w:r w:rsidR="00DA0BF5" w:rsidRPr="00313E82">
        <w:rPr>
          <w:rFonts w:eastAsia="Batang"/>
          <w:lang w:val="en-US"/>
        </w:rPr>
        <w:t xml:space="preserve"> </w:t>
      </w:r>
      <w:r w:rsidRPr="00313E82">
        <w:rPr>
          <w:rFonts w:eastAsia="Batang"/>
          <w:lang w:val="en-US"/>
        </w:rPr>
        <w:t xml:space="preserve">risk measure. The same definitions apply to a generic </w:t>
      </w:r>
      <w:r w:rsidR="00DA0BF5">
        <w:rPr>
          <w:rFonts w:eastAsia="Batang"/>
          <w:lang w:val="en-US"/>
        </w:rPr>
        <w:t>direct</w:t>
      </w:r>
      <w:r w:rsidR="00DA0BF5" w:rsidRPr="00313E82">
        <w:rPr>
          <w:rFonts w:eastAsia="Batang"/>
          <w:lang w:val="en-US"/>
        </w:rPr>
        <w:t xml:space="preserve"> </w:t>
      </w:r>
      <w:r w:rsidRPr="00313E82">
        <w:rPr>
          <w:rFonts w:eastAsia="Batang"/>
          <w:lang w:val="en-US"/>
        </w:rPr>
        <w:t xml:space="preserve">risk measure </w:t>
      </w:r>
      <w:r w:rsidR="00680B18">
        <w:rPr>
          <w:rFonts w:eastAsia="Batang"/>
          <w:lang w:val="en-US"/>
        </w:rPr>
        <w:tab/>
      </w:r>
      <w:r w:rsidR="00680B18">
        <w:rPr>
          <w:rFonts w:eastAsia="Batang"/>
          <w:lang w:val="en-US"/>
        </w:rPr>
        <w:br/>
      </w:r>
      <m:oMathPara>
        <m:oMath>
          <m:r>
            <w:rPr>
              <w:rFonts w:ascii="Cambria Math" w:hAnsi="Cambria Math"/>
              <w:lang w:val="en-US"/>
            </w:rPr>
            <m:t>μ=μ</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=μ</m:t>
          </m:r>
          <m:d>
            <m:dPr>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e>
          </m:d>
          <m:r>
            <w:rPr>
              <w:rFonts w:ascii="Cambria Math" w:hAnsi="Cambria Math"/>
              <w:lang w:val="en-US"/>
            </w:rPr>
            <m:t>= 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]=1 </m:t>
              </m:r>
            </m:e>
          </m:d>
          <m:r>
            <w:rPr>
              <w:rFonts w:ascii="Cambria Math" w:hAnsi="Cambria Math"/>
              <w:lang w:val="en-US"/>
            </w:rPr>
            <m:t>~ μ</m:t>
          </m:r>
          <m:d>
            <m:dPr>
              <m:ctrlPr>
                <w:rPr>
                  <w:rFonts w:ascii="Cambria Math" w:hAnsi="Cambria Math"/>
                  <w:i/>
                  <w:lang w:val="en-US"/>
                </w:rPr>
              </m:ctrlPr>
            </m:dPr>
            <m:e>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nary>
            </m:e>
          </m:d>
          <m:r>
            <w:rPr>
              <w:rFonts w:ascii="Cambria Math" w:hAnsi="Cambria Math"/>
              <w:lang w:val="en-US"/>
            </w:rPr>
            <m:t>.</m:t>
          </m:r>
        </m:oMath>
      </m:oMathPara>
    </w:p>
    <w:p w:rsidR="00850225" w:rsidRPr="00313E82" w:rsidRDefault="00850225" w:rsidP="00B76953">
      <w:pPr>
        <w:ind w:left="709"/>
        <w:rPr>
          <w:rFonts w:eastAsia="Batang"/>
          <w:lang w:val="en-US"/>
        </w:rPr>
      </w:pPr>
      <w:r w:rsidRPr="00313E82">
        <w:rPr>
          <w:rFonts w:eastAsia="Batang"/>
          <w:lang w:val="en-US"/>
        </w:rPr>
        <w:t>Traditional importance measures are addressed by a number of scientific publications and guidelines and are widely used in the existing PSA of NPPs. Their estimation is supported by a number of software tools, typically based on minimal cut-sets to solve the probabilistic model.</w:t>
      </w:r>
    </w:p>
    <w:p w:rsidR="00850225" w:rsidRPr="00313E82" w:rsidRDefault="00850225" w:rsidP="00B76953">
      <w:pPr>
        <w:ind w:left="709"/>
        <w:rPr>
          <w:rFonts w:eastAsia="Batang"/>
          <w:lang w:val="en-US"/>
        </w:rPr>
      </w:pPr>
      <w:r w:rsidRPr="00C94556">
        <w:rPr>
          <w:lang w:val="en-US"/>
        </w:rPr>
        <w:t xml:space="preserve">The </w:t>
      </w:r>
      <w:r w:rsidRPr="00313E82">
        <w:rPr>
          <w:rFonts w:eastAsia="Batang"/>
          <w:lang w:val="en-US"/>
        </w:rPr>
        <w:t>Fussell-Vesely and the R</w:t>
      </w:r>
      <w:r w:rsidRPr="00C94556">
        <w:rPr>
          <w:lang w:val="en-US"/>
        </w:rPr>
        <w:t xml:space="preserve">isk </w:t>
      </w:r>
      <w:r w:rsidRPr="00313E82">
        <w:rPr>
          <w:rFonts w:eastAsia="Batang"/>
          <w:lang w:val="en-US"/>
        </w:rPr>
        <w:t>Achievement Worth (RAW) are the most widely used importance measure. Their contextual use could provide complementary insights, as previously indicated.</w:t>
      </w:r>
    </w:p>
    <w:p w:rsidR="00850225" w:rsidRPr="00313E82" w:rsidRDefault="00850225" w:rsidP="00B76953">
      <w:pPr>
        <w:ind w:left="709"/>
        <w:rPr>
          <w:rFonts w:eastAsia="Batang"/>
          <w:lang w:val="en-US"/>
        </w:rPr>
      </w:pPr>
      <w:r w:rsidRPr="00313E82">
        <w:rPr>
          <w:rFonts w:eastAsia="Batang"/>
          <w:lang w:val="en-US"/>
        </w:rPr>
        <w:t>About the use of RAW, because of its extreme nature, it is likely that the safety-significant SSCs would be a large set. About the Birnbaum measure, it’s useful to remark its relations with the Differential Importance Measures and with the linear regression method for sensitivity analysis (introduced in the following sections).</w:t>
      </w:r>
    </w:p>
    <w:p w:rsidR="00850225" w:rsidRPr="00313E82" w:rsidRDefault="00850225">
      <w:pPr>
        <w:rPr>
          <w:rFonts w:eastAsia="Batang"/>
          <w:u w:val="single"/>
          <w:lang w:val="en-US"/>
        </w:rPr>
      </w:pPr>
      <w:r w:rsidRPr="00313E82">
        <w:rPr>
          <w:rFonts w:eastAsia="Batang"/>
          <w:u w:val="single"/>
          <w:lang w:val="en-US"/>
        </w:rPr>
        <w:t>Reliability and Consistency:</w:t>
      </w:r>
    </w:p>
    <w:p w:rsidR="00850225" w:rsidRPr="00313E82" w:rsidRDefault="00850225" w:rsidP="00B76953">
      <w:pPr>
        <w:ind w:left="709"/>
        <w:rPr>
          <w:rFonts w:eastAsia="Batang"/>
          <w:lang w:val="en-US"/>
        </w:rPr>
      </w:pPr>
      <w:r w:rsidRPr="00313E82">
        <w:rPr>
          <w:rFonts w:eastAsia="Batang"/>
          <w:lang w:val="en-US"/>
        </w:rPr>
        <w:t>The traditional Importance measures are clearly defined. Different formulations are possible, maintaining consistency and assuring their reproducibility. Simple mathematical relationships hold among these importance measures at the individual basic event, allowing their indirect computation. These relationships also allow computing different measures (e.g. the Differential Importance measure introduced in the following) without additional evaluations of the model.</w:t>
      </w:r>
    </w:p>
    <w:p w:rsidR="00850225" w:rsidRPr="00313E82" w:rsidRDefault="00850225" w:rsidP="00B76953">
      <w:pPr>
        <w:ind w:left="709"/>
        <w:rPr>
          <w:lang w:val="en-US"/>
        </w:rPr>
      </w:pPr>
      <w:r w:rsidRPr="00313E82">
        <w:rPr>
          <w:rFonts w:eastAsia="Batang"/>
          <w:lang w:val="en-US"/>
        </w:rPr>
        <w:t xml:space="preserve">Although the basic philosophy is consistent and mathematical formulas are defined coherently, some inconsistency could be introduced in the calculation of the Importance measures. </w:t>
      </w:r>
      <w:r w:rsidRPr="00313E82">
        <w:rPr>
          <w:lang w:val="en-US"/>
        </w:rPr>
        <w:t xml:space="preserve">Indeed, the values obtained for the measure by setting to </w:t>
      </w:r>
      <w:r w:rsidR="0000015C" w:rsidRPr="00313E82">
        <w:rPr>
          <w:lang w:val="en-US"/>
        </w:rPr>
        <w:t>“</w:t>
      </w:r>
      <w:r w:rsidRPr="00313E82">
        <w:rPr>
          <w:lang w:val="en-US"/>
        </w:rPr>
        <w:t>true</w:t>
      </w:r>
      <w:r w:rsidR="0000015C" w:rsidRPr="00313E82">
        <w:rPr>
          <w:lang w:val="en-US"/>
        </w:rPr>
        <w:t>“</w:t>
      </w:r>
      <w:r w:rsidRPr="00313E82">
        <w:rPr>
          <w:lang w:val="en-US"/>
        </w:rPr>
        <w:t xml:space="preserve"> or “false</w:t>
      </w:r>
      <w:r w:rsidR="0000015C" w:rsidRPr="00313E82">
        <w:rPr>
          <w:lang w:val="en-US"/>
        </w:rPr>
        <w:t>“</w:t>
      </w:r>
      <w:r w:rsidRPr="00313E82">
        <w:rPr>
          <w:lang w:val="en-US"/>
        </w:rPr>
        <w:t xml:space="preserve"> the variables (binary state of the basic events) and solving the probabilistic model could not coincide with the values obtained by setting the basic event probabilities equal to their extreme values (0, 1).</w:t>
      </w:r>
    </w:p>
    <w:p w:rsidR="00850225" w:rsidRPr="00313E82" w:rsidRDefault="00850225">
      <w:pPr>
        <w:rPr>
          <w:rFonts w:eastAsia="Batang"/>
          <w:u w:val="single"/>
          <w:lang w:val="en-US"/>
        </w:rPr>
      </w:pPr>
      <w:r w:rsidRPr="00313E82">
        <w:rPr>
          <w:rFonts w:eastAsia="Batang"/>
          <w:u w:val="single"/>
          <w:lang w:val="en-US"/>
        </w:rPr>
        <w:t>Risk aggregation properties:</w:t>
      </w:r>
    </w:p>
    <w:p w:rsidR="00850225" w:rsidRPr="00C94556" w:rsidRDefault="00850225" w:rsidP="00B76953">
      <w:pPr>
        <w:ind w:left="709"/>
        <w:rPr>
          <w:lang w:val="en-US"/>
        </w:rPr>
      </w:pPr>
      <w:r w:rsidRPr="00313E82">
        <w:rPr>
          <w:rFonts w:eastAsia="Batang"/>
          <w:lang w:val="en-US"/>
        </w:rPr>
        <w:t xml:space="preserve">The SSCs ranking may require being able to consider many basic events as a part of a group. For instance: a particular SSC may be represented in the model by several basic events, which represent different failure modes; the analyst is interested in the ranking of different typologies of SSCs, whose basic events </w:t>
      </w:r>
      <w:r w:rsidRPr="00313E82">
        <w:rPr>
          <w:rFonts w:eastAsia="Batang"/>
          <w:lang w:val="en-US"/>
        </w:rPr>
        <w:lastRenderedPageBreak/>
        <w:t>are in different “parts” of the model. In this regard, as main limitation of the traditional Importance measures (see the following paragraph), they are not “additive”</w:t>
      </w:r>
      <w:r w:rsidRPr="00C94556">
        <w:rPr>
          <w:lang w:val="en-US"/>
        </w:rPr>
        <w:t>: the measure for a group of input variables cannot be computed as the sum of the measures estimated for each single variable.</w:t>
      </w:r>
    </w:p>
    <w:p w:rsidR="00850225" w:rsidRPr="00313E82" w:rsidRDefault="00850225">
      <w:pPr>
        <w:rPr>
          <w:rFonts w:eastAsia="Batang"/>
          <w:u w:val="single"/>
          <w:lang w:val="en-US"/>
        </w:rPr>
      </w:pPr>
      <w:r w:rsidRPr="00313E82">
        <w:rPr>
          <w:rFonts w:eastAsia="Batang"/>
          <w:u w:val="single"/>
          <w:lang w:val="en-US"/>
        </w:rPr>
        <w:t xml:space="preserve">Understandability to the PSA community: </w:t>
      </w:r>
    </w:p>
    <w:p w:rsidR="00850225" w:rsidRPr="00313E82" w:rsidRDefault="00850225" w:rsidP="00B76953">
      <w:pPr>
        <w:ind w:left="709"/>
        <w:rPr>
          <w:rFonts w:eastAsia="Batang"/>
          <w:u w:val="single"/>
          <w:lang w:val="en-US"/>
        </w:rPr>
      </w:pPr>
      <w:r w:rsidRPr="00313E82">
        <w:rPr>
          <w:rFonts w:eastAsia="Batang"/>
          <w:lang w:val="en-US"/>
        </w:rPr>
        <w:t>Being proposed and reviewed by a number of scientific publications and used in a number of PSA applications, the understandability of the traditional importance measure is not considered a major concern. Anyway, some limitations discussed in the following paragraph, if not well understood, could lead to some misunderstandings about the interpretation of the ranking produced by the measures.</w:t>
      </w:r>
    </w:p>
    <w:p w:rsidR="00850225" w:rsidRPr="00313E82" w:rsidRDefault="00850225" w:rsidP="00B76953">
      <w:pPr>
        <w:tabs>
          <w:tab w:val="left" w:pos="284"/>
        </w:tabs>
        <w:ind w:left="709"/>
        <w:rPr>
          <w:rFonts w:eastAsia="Batang"/>
          <w:lang w:val="en-US"/>
        </w:rPr>
      </w:pPr>
      <w:r w:rsidRPr="00313E82">
        <w:rPr>
          <w:rFonts w:eastAsia="Batang"/>
          <w:lang w:val="en-US"/>
        </w:rPr>
        <w:t>Additional difficulties in the interpretation of results could exist in the concurrent use of risk-significance and safety-significance measures.</w:t>
      </w:r>
    </w:p>
    <w:p w:rsidR="00850225" w:rsidRPr="00313E82" w:rsidRDefault="00850225" w:rsidP="00262C82">
      <w:pPr>
        <w:tabs>
          <w:tab w:val="left" w:pos="284"/>
        </w:tabs>
        <w:ind w:left="709"/>
        <w:rPr>
          <w:rFonts w:eastAsia="Batang"/>
          <w:lang w:val="en-US"/>
        </w:rPr>
      </w:pPr>
      <w:r w:rsidRPr="00313E82">
        <w:rPr>
          <w:rFonts w:eastAsia="Batang"/>
          <w:lang w:val="en-US"/>
        </w:rPr>
        <w:t xml:space="preserve">It is useful to remark that the above importance measure shall be considered as “relative” ones. As consequence, the comparison of results coming from Importance analyses developed for different plants shall be performed carefully or avoided. The use of a single value for the adopted measure as a “universal” criterion to screen for significance means, i.e. to establish group membership for SSCs (significant or non-significant), can lead </w:t>
      </w:r>
      <w:r w:rsidRPr="00C94556">
        <w:rPr>
          <w:lang w:val="en-US"/>
        </w:rPr>
        <w:t>to</w:t>
      </w:r>
      <w:r w:rsidRPr="00313E82">
        <w:rPr>
          <w:rFonts w:eastAsia="Batang"/>
          <w:lang w:val="en-US"/>
        </w:rPr>
        <w:t xml:space="preserve"> inconsistent SSCs ranking for different plants. Indeed, setting a fixed threshold for risk/safety-significance, the contributions of the same basic events are different for plants having different </w:t>
      </w:r>
      <w:r w:rsidR="00DA0BF5">
        <w:rPr>
          <w:rFonts w:eastAsia="Batang"/>
          <w:lang w:val="en-US"/>
        </w:rPr>
        <w:t>direct</w:t>
      </w:r>
      <w:r w:rsidR="00DA0BF5" w:rsidRPr="00313E82">
        <w:rPr>
          <w:rFonts w:eastAsia="Batang"/>
          <w:lang w:val="en-US"/>
        </w:rPr>
        <w:t xml:space="preserve"> </w:t>
      </w:r>
      <w:r w:rsidRPr="00313E82">
        <w:rPr>
          <w:rFonts w:eastAsia="Batang"/>
          <w:lang w:val="en-US"/>
        </w:rPr>
        <w:t xml:space="preserve">risk measure (e.g. CDFs or LERFs) </w:t>
      </w:r>
      <w:r w:rsidR="00CD0CBE">
        <w:fldChar w:fldCharType="begin"/>
      </w:r>
      <w:r w:rsidR="00CD0CBE">
        <w:instrText xml:space="preserve"> REF _Ref397353034 \r \h  \* MERGEFORMAT </w:instrText>
      </w:r>
      <w:r w:rsidR="00CD0CBE">
        <w:fldChar w:fldCharType="separate"/>
      </w:r>
      <w:r w:rsidR="00B772CA" w:rsidRPr="00B772CA">
        <w:rPr>
          <w:rFonts w:eastAsia="Batang"/>
          <w:lang w:val="en-US"/>
        </w:rPr>
        <w:t>[28]</w:t>
      </w:r>
      <w:r w:rsidR="00CD0CBE">
        <w:fldChar w:fldCharType="end"/>
      </w:r>
      <w:r w:rsidRPr="00C94556">
        <w:rPr>
          <w:lang w:val="en-US"/>
        </w:rPr>
        <w:t>.</w:t>
      </w:r>
    </w:p>
    <w:p w:rsidR="00850225" w:rsidRPr="00313E82" w:rsidRDefault="00850225" w:rsidP="00C94556">
      <w:pPr>
        <w:pStyle w:val="Titre3"/>
        <w:rPr>
          <w:rFonts w:eastAsia="Batang"/>
          <w:lang w:val="en-US"/>
        </w:rPr>
      </w:pPr>
      <w:bookmarkStart w:id="118" w:name="_Toc474430138"/>
      <w:r w:rsidRPr="00313E82">
        <w:rPr>
          <w:rFonts w:eastAsia="Batang"/>
          <w:lang w:val="en-US"/>
        </w:rPr>
        <w:t>Limitation</w:t>
      </w:r>
      <w:bookmarkEnd w:id="118"/>
    </w:p>
    <w:p w:rsidR="00850225" w:rsidRPr="00313E82" w:rsidRDefault="00850225">
      <w:pPr>
        <w:rPr>
          <w:rFonts w:eastAsia="Batang"/>
          <w:lang w:val="en-US"/>
        </w:rPr>
      </w:pPr>
      <w:r w:rsidRPr="00313E82">
        <w:rPr>
          <w:rFonts w:eastAsia="Batang"/>
          <w:lang w:val="en-US"/>
        </w:rPr>
        <w:t xml:space="preserve">As above remarked, the </w:t>
      </w:r>
      <w:r w:rsidRPr="00C94556">
        <w:rPr>
          <w:lang w:val="en-US"/>
        </w:rPr>
        <w:t xml:space="preserve">traditional Importance measures are not “additive”. Their </w:t>
      </w:r>
      <w:r w:rsidRPr="00313E82">
        <w:rPr>
          <w:rFonts w:eastAsia="Batang"/>
          <w:lang w:val="en-US"/>
        </w:rPr>
        <w:t xml:space="preserve">estimation </w:t>
      </w:r>
      <w:r w:rsidRPr="00C94556">
        <w:rPr>
          <w:lang w:val="en-US"/>
        </w:rPr>
        <w:t>for a group of variables requires new evaluations of the model (e.g. new selections among the minimal cut-sets).</w:t>
      </w:r>
    </w:p>
    <w:p w:rsidR="00850225" w:rsidRPr="00C94556" w:rsidRDefault="00850225">
      <w:pPr>
        <w:rPr>
          <w:lang w:val="en-US"/>
        </w:rPr>
      </w:pPr>
      <w:r w:rsidRPr="00313E82">
        <w:rPr>
          <w:rFonts w:eastAsia="Batang"/>
          <w:lang w:val="en-US"/>
        </w:rPr>
        <w:t>The</w:t>
      </w:r>
      <w:r w:rsidRPr="00C94556">
        <w:rPr>
          <w:lang w:val="en-US"/>
        </w:rPr>
        <w:t xml:space="preserve"> traditional Importance measures strictly apply to binary coherent systems/models. For non-coherent systems, whose non-monotonic </w:t>
      </w:r>
      <w:r w:rsidR="00DA0BF5">
        <w:rPr>
          <w:lang w:val="en-US"/>
        </w:rPr>
        <w:t>s</w:t>
      </w:r>
      <w:r w:rsidR="00DA0BF5" w:rsidRPr="00C94556">
        <w:rPr>
          <w:lang w:val="en-US"/>
        </w:rPr>
        <w:t xml:space="preserve">ystem </w:t>
      </w:r>
      <w:r w:rsidRPr="00C94556">
        <w:rPr>
          <w:lang w:val="en-US"/>
        </w:rPr>
        <w:t>failure function is represented by the “</w:t>
      </w:r>
      <w:r w:rsidR="00DA0BF5">
        <w:rPr>
          <w:lang w:val="en-US"/>
        </w:rPr>
        <w:t>p</w:t>
      </w:r>
      <w:r w:rsidR="00DA0BF5" w:rsidRPr="00C94556">
        <w:rPr>
          <w:lang w:val="en-US"/>
        </w:rPr>
        <w:t xml:space="preserve">rime </w:t>
      </w:r>
      <w:r w:rsidR="00DA0BF5">
        <w:rPr>
          <w:lang w:val="en-US"/>
        </w:rPr>
        <w:t>i</w:t>
      </w:r>
      <w:r w:rsidR="00DA0BF5" w:rsidRPr="00C94556">
        <w:rPr>
          <w:lang w:val="en-US"/>
        </w:rPr>
        <w:t>mplicant</w:t>
      </w:r>
      <w:r w:rsidRPr="00C94556">
        <w:rPr>
          <w:lang w:val="en-US"/>
        </w:rPr>
        <w:t xml:space="preserve">” sets (minimal combinations of basic event - in normal and negated forms - leading to the undesired consequence), some generalizations of the </w:t>
      </w:r>
      <w:r w:rsidR="00DA0BF5">
        <w:rPr>
          <w:lang w:val="en-US"/>
        </w:rPr>
        <w:t>i</w:t>
      </w:r>
      <w:r w:rsidR="00DA0BF5" w:rsidRPr="00C94556">
        <w:rPr>
          <w:lang w:val="en-US"/>
        </w:rPr>
        <w:t xml:space="preserve">mportance </w:t>
      </w:r>
      <w:r w:rsidRPr="00C94556">
        <w:rPr>
          <w:lang w:val="en-US"/>
        </w:rPr>
        <w:t xml:space="preserve">measures can be defined in order to account for the criticality of the occurrence and non-occurrence of the event separately. Anyway, the use of minimal cut sets as approximated form obtained by removing negated events from the </w:t>
      </w:r>
      <w:r w:rsidR="00DA0BF5">
        <w:rPr>
          <w:lang w:val="en-US"/>
        </w:rPr>
        <w:t>p</w:t>
      </w:r>
      <w:r w:rsidRPr="00C94556">
        <w:rPr>
          <w:lang w:val="en-US"/>
        </w:rPr>
        <w:t xml:space="preserve">rime </w:t>
      </w:r>
      <w:r w:rsidR="00DA0BF5">
        <w:rPr>
          <w:lang w:val="en-US"/>
        </w:rPr>
        <w:t>i</w:t>
      </w:r>
      <w:r w:rsidRPr="00C94556">
        <w:rPr>
          <w:lang w:val="en-US"/>
        </w:rPr>
        <w:t>mplicant sets of a non-coherent system/model, leads to conservative results, facilitates the interpretation of system failure modes and allows a significant reduction of computation time and working memory space.</w:t>
      </w:r>
    </w:p>
    <w:p w:rsidR="00850225" w:rsidRPr="00313E82" w:rsidRDefault="00850225">
      <w:pPr>
        <w:rPr>
          <w:rFonts w:eastAsia="Batang"/>
          <w:lang w:val="en-US"/>
        </w:rPr>
      </w:pPr>
      <w:r w:rsidRPr="00313E82">
        <w:rPr>
          <w:rFonts w:eastAsia="Batang"/>
          <w:lang w:val="en-US"/>
        </w:rPr>
        <w:t xml:space="preserve">The traditional </w:t>
      </w:r>
      <w:r w:rsidR="00DA0BF5">
        <w:rPr>
          <w:rFonts w:eastAsia="Batang"/>
          <w:lang w:val="en-US"/>
        </w:rPr>
        <w:t>i</w:t>
      </w:r>
      <w:r w:rsidR="00DA0BF5" w:rsidRPr="00313E82">
        <w:rPr>
          <w:rFonts w:eastAsia="Batang"/>
          <w:lang w:val="en-US"/>
        </w:rPr>
        <w:t xml:space="preserve">mportance </w:t>
      </w:r>
      <w:r w:rsidRPr="00313E82">
        <w:rPr>
          <w:rFonts w:eastAsia="Batang"/>
          <w:lang w:val="en-US"/>
        </w:rPr>
        <w:t xml:space="preserve">measures are “local” ones, meaning that they deal with point values and “small” changes of the input variables. They cannot be used in order to account for their finite changes or, in this case, they do not include the contributions of non-linear terms. These non-linear terms represent the “interactions” among input variables, whose effects are manifested for their simultaneous changes and are not taken into account by the super-imposition of the effects due to the One-At-Time (OAT) change of variables. </w:t>
      </w:r>
    </w:p>
    <w:p w:rsidR="00850225" w:rsidRPr="00313E82" w:rsidRDefault="00850225">
      <w:pPr>
        <w:rPr>
          <w:rFonts w:eastAsia="Batang"/>
          <w:lang w:val="en-US"/>
        </w:rPr>
      </w:pPr>
      <w:r w:rsidRPr="00313E82">
        <w:rPr>
          <w:rFonts w:eastAsia="Batang"/>
          <w:lang w:val="en-US"/>
        </w:rPr>
        <w:t xml:space="preserve">The traditional </w:t>
      </w:r>
      <w:r w:rsidR="00DA0BF5">
        <w:rPr>
          <w:rFonts w:eastAsia="Batang"/>
          <w:lang w:val="en-US"/>
        </w:rPr>
        <w:t>i</w:t>
      </w:r>
      <w:r w:rsidR="00DA0BF5" w:rsidRPr="00313E82">
        <w:rPr>
          <w:rFonts w:eastAsia="Batang"/>
          <w:lang w:val="en-US"/>
        </w:rPr>
        <w:t xml:space="preserve">mportance </w:t>
      </w:r>
      <w:r w:rsidRPr="00313E82">
        <w:rPr>
          <w:rFonts w:eastAsia="Batang"/>
          <w:lang w:val="en-US"/>
        </w:rPr>
        <w:t xml:space="preserve">measures assume that linear relations exist between the probability of the undesired consequence and the probability of the basic events. Indeed, the measures for the basic events can be computed starting from the extreme values of their probability. This limitation is particularly significant if the measure is </w:t>
      </w:r>
      <w:r w:rsidR="00DA0BF5" w:rsidRPr="00313E82">
        <w:rPr>
          <w:rFonts w:eastAsia="Batang"/>
          <w:lang w:val="en-US"/>
        </w:rPr>
        <w:lastRenderedPageBreak/>
        <w:t>referr</w:t>
      </w:r>
      <w:r w:rsidR="00DA0BF5">
        <w:rPr>
          <w:rFonts w:eastAsia="Batang"/>
          <w:lang w:val="en-US"/>
        </w:rPr>
        <w:t>ing</w:t>
      </w:r>
      <w:r w:rsidR="00DA0BF5" w:rsidRPr="00313E82">
        <w:rPr>
          <w:rFonts w:eastAsia="Batang"/>
          <w:lang w:val="en-US"/>
        </w:rPr>
        <w:t xml:space="preserve"> </w:t>
      </w:r>
      <w:r w:rsidRPr="00313E82">
        <w:rPr>
          <w:rFonts w:eastAsia="Batang"/>
          <w:lang w:val="en-US"/>
        </w:rPr>
        <w:t xml:space="preserve">to the parameters of the model. In this case, the probability distributions (typically exponential ones) for basic events introduce non-linear terms </w:t>
      </w:r>
      <w:r w:rsidRPr="00C94556">
        <w:rPr>
          <w:lang w:val="en-US"/>
        </w:rPr>
        <w:t>that</w:t>
      </w:r>
      <w:r w:rsidRPr="00313E82">
        <w:rPr>
          <w:rFonts w:eastAsia="Batang"/>
          <w:lang w:val="en-US"/>
        </w:rPr>
        <w:t xml:space="preserve"> are not accounted for.</w:t>
      </w:r>
    </w:p>
    <w:p w:rsidR="00850225" w:rsidRPr="00313E82" w:rsidRDefault="00850225">
      <w:pPr>
        <w:rPr>
          <w:rFonts w:eastAsia="Batang"/>
          <w:lang w:val="en-US"/>
        </w:rPr>
      </w:pPr>
      <w:r w:rsidRPr="00313E82">
        <w:rPr>
          <w:rFonts w:eastAsia="Batang"/>
          <w:lang w:val="en-US"/>
        </w:rPr>
        <w:t xml:space="preserve">The uncertainty on the input variables of the model (basic events probabilities or relevant parameters) makes it difficult to determine a robust ranking of SSCs through the traditional </w:t>
      </w:r>
      <w:r w:rsidR="00DA0BF5">
        <w:rPr>
          <w:rFonts w:eastAsia="Batang"/>
          <w:lang w:val="en-US"/>
        </w:rPr>
        <w:t>i</w:t>
      </w:r>
      <w:r w:rsidR="00DA0BF5" w:rsidRPr="00313E82">
        <w:rPr>
          <w:rFonts w:eastAsia="Batang"/>
          <w:lang w:val="en-US"/>
        </w:rPr>
        <w:t xml:space="preserve">mportance </w:t>
      </w:r>
      <w:r w:rsidRPr="00313E82">
        <w:rPr>
          <w:rFonts w:eastAsia="Batang"/>
          <w:lang w:val="en-US"/>
        </w:rPr>
        <w:t xml:space="preserve">measures. The typical approach is to represent probabilistically this uncertainty and to compute the </w:t>
      </w:r>
      <w:r w:rsidR="00DA0BF5">
        <w:rPr>
          <w:rFonts w:eastAsia="Batang"/>
          <w:lang w:val="en-US"/>
        </w:rPr>
        <w:t>i</w:t>
      </w:r>
      <w:r w:rsidR="00DA0BF5" w:rsidRPr="00313E82">
        <w:rPr>
          <w:rFonts w:eastAsia="Batang"/>
          <w:lang w:val="en-US"/>
        </w:rPr>
        <w:t xml:space="preserve">mportance </w:t>
      </w:r>
      <w:r w:rsidRPr="00313E82">
        <w:rPr>
          <w:rFonts w:eastAsia="Batang"/>
          <w:lang w:val="en-US"/>
        </w:rPr>
        <w:t>measures in terms of probability distributions, e.g. by means of sampling techniques. It could lead to the impossibility to define a unique raking of SCCs because of overlaps among the probability distributions of the measures for different events. Otherwise, different approaches shall be used within a</w:t>
      </w:r>
      <w:r w:rsidR="00DA0BF5">
        <w:rPr>
          <w:rFonts w:eastAsia="Batang"/>
          <w:lang w:val="en-US"/>
        </w:rPr>
        <w:t>n</w:t>
      </w:r>
      <w:r w:rsidRPr="00313E82">
        <w:rPr>
          <w:rFonts w:eastAsia="Batang"/>
          <w:lang w:val="en-US"/>
        </w:rPr>
        <w:t xml:space="preserve"> </w:t>
      </w:r>
      <w:r w:rsidR="00DA0BF5">
        <w:rPr>
          <w:rFonts w:eastAsia="Batang"/>
          <w:lang w:val="en-US"/>
        </w:rPr>
        <w:t>i</w:t>
      </w:r>
      <w:r w:rsidRPr="00313E82">
        <w:rPr>
          <w:rFonts w:eastAsia="Batang"/>
          <w:lang w:val="en-US"/>
        </w:rPr>
        <w:t xml:space="preserve">mportance and </w:t>
      </w:r>
      <w:r w:rsidR="00DA0BF5">
        <w:rPr>
          <w:rFonts w:eastAsia="Batang"/>
          <w:lang w:val="en-US"/>
        </w:rPr>
        <w:t>s</w:t>
      </w:r>
      <w:r w:rsidRPr="00313E82">
        <w:rPr>
          <w:rFonts w:eastAsia="Batang"/>
          <w:lang w:val="en-US"/>
        </w:rPr>
        <w:t>ensitivity analysis framework (as discussed in the following).</w:t>
      </w:r>
    </w:p>
    <w:p w:rsidR="00850225" w:rsidRPr="00313E82" w:rsidRDefault="00850225" w:rsidP="00741D3C">
      <w:pPr>
        <w:rPr>
          <w:rFonts w:eastAsia="Batang"/>
          <w:lang w:val="en-US"/>
        </w:rPr>
      </w:pPr>
      <w:r w:rsidRPr="00313E82">
        <w:rPr>
          <w:rFonts w:eastAsia="Batang"/>
          <w:lang w:val="en-US"/>
        </w:rPr>
        <w:t xml:space="preserve">Several tools for the solution of Fault Trees/Event Trees model are based on a common broadly accepted scheme: (i) event tree sequences (and linked fault trees) are transformed into Boolean formulae; (ii) minimal cut-sets of these formulae are determined; (iii) various probabilistic measures are assessed from the cut-sets (including secondary risk measures). However, this approach is based on some hypotheses to be fulfilled and relevant approximations: the “rare event” hypothesis introduces approximations mainly due to the dependences among minimal cut-sets; in order to minimize cut-sets, and therefore avoiding combinatorial explosion, truncation criteria are applied; in order to handle success branches, various procedures more or less mathematically justified are used </w:t>
      </w:r>
      <w:r w:rsidR="009E768B" w:rsidRPr="007E0C24">
        <w:rPr>
          <w:rFonts w:eastAsia="Batang"/>
          <w:szCs w:val="18"/>
          <w:lang w:val="en-US"/>
        </w:rPr>
        <w:fldChar w:fldCharType="begin"/>
      </w:r>
      <w:r w:rsidRPr="00313E82">
        <w:rPr>
          <w:rFonts w:eastAsia="Batang"/>
          <w:lang w:val="en-US"/>
        </w:rPr>
        <w:instrText xml:space="preserve"> REF _Ref432089776 \r \h </w:instrText>
      </w:r>
      <w:r w:rsidR="009E768B" w:rsidRPr="007E0C24">
        <w:rPr>
          <w:rFonts w:eastAsia="Batang"/>
          <w:szCs w:val="18"/>
          <w:lang w:val="en-US"/>
        </w:rPr>
      </w:r>
      <w:r w:rsidR="009E768B" w:rsidRPr="007E0C24">
        <w:rPr>
          <w:rFonts w:eastAsia="Batang"/>
          <w:szCs w:val="18"/>
          <w:lang w:val="en-US"/>
        </w:rPr>
        <w:fldChar w:fldCharType="separate"/>
      </w:r>
      <w:r w:rsidR="00B772CA">
        <w:rPr>
          <w:rFonts w:eastAsia="Batang"/>
          <w:lang w:val="en-US"/>
        </w:rPr>
        <w:t>[103]</w:t>
      </w:r>
      <w:r w:rsidR="009E768B" w:rsidRPr="007E0C24">
        <w:rPr>
          <w:rFonts w:eastAsia="Batang"/>
          <w:szCs w:val="18"/>
          <w:lang w:val="en-US"/>
        </w:rPr>
        <w:fldChar w:fldCharType="end"/>
      </w:r>
      <w:r w:rsidRPr="00313E82">
        <w:rPr>
          <w:rFonts w:eastAsia="Batang"/>
          <w:lang w:val="en-US"/>
        </w:rPr>
        <w:t xml:space="preserve">. </w:t>
      </w:r>
      <w:r w:rsidRPr="00313E82">
        <w:rPr>
          <w:rFonts w:eastAsia="Batang"/>
          <w:szCs w:val="18"/>
          <w:lang w:val="en-US"/>
        </w:rPr>
        <w:t xml:space="preserve">The use of the Binary Decision Diagram (BDD), being based on the Shannon decomposition formula, allows overcoming this limitation, providing an exact solution of the model in terms of combination of disjoint “paths” among the variables, in their normal or negated forms (i.e. for coherent and non-coherent systems) </w:t>
      </w:r>
      <w:r w:rsidR="009E768B" w:rsidRPr="007E0C24">
        <w:rPr>
          <w:rFonts w:eastAsia="Batang"/>
          <w:szCs w:val="18"/>
          <w:lang w:val="en-US"/>
        </w:rPr>
        <w:fldChar w:fldCharType="begin"/>
      </w:r>
      <w:r w:rsidRPr="00313E82">
        <w:rPr>
          <w:rFonts w:eastAsia="Batang"/>
          <w:szCs w:val="18"/>
          <w:lang w:val="en-US"/>
        </w:rPr>
        <w:instrText xml:space="preserve"> REF _Ref432410733 \r \h </w:instrText>
      </w:r>
      <w:r w:rsidR="009E768B" w:rsidRPr="007E0C24">
        <w:rPr>
          <w:rFonts w:eastAsia="Batang"/>
          <w:szCs w:val="18"/>
          <w:lang w:val="en-US"/>
        </w:rPr>
      </w:r>
      <w:r w:rsidR="009E768B" w:rsidRPr="007E0C24">
        <w:rPr>
          <w:rFonts w:eastAsia="Batang"/>
          <w:szCs w:val="18"/>
          <w:lang w:val="en-US"/>
        </w:rPr>
        <w:fldChar w:fldCharType="separate"/>
      </w:r>
      <w:r w:rsidR="00B772CA">
        <w:rPr>
          <w:rFonts w:eastAsia="Batang"/>
          <w:szCs w:val="18"/>
          <w:lang w:val="en-US"/>
        </w:rPr>
        <w:t>[106]</w:t>
      </w:r>
      <w:r w:rsidR="009E768B" w:rsidRPr="007E0C24">
        <w:rPr>
          <w:rFonts w:eastAsia="Batang"/>
          <w:szCs w:val="18"/>
          <w:lang w:val="en-US"/>
        </w:rPr>
        <w:fldChar w:fldCharType="end"/>
      </w:r>
      <w:r w:rsidRPr="00313E82">
        <w:rPr>
          <w:rFonts w:eastAsia="Batang"/>
          <w:szCs w:val="18"/>
          <w:lang w:val="en-US"/>
        </w:rPr>
        <w:t xml:space="preserve">. BDD also allows reducing the effort for the computation of the </w:t>
      </w:r>
      <w:r w:rsidR="00DA0BF5">
        <w:rPr>
          <w:rFonts w:eastAsia="Batang"/>
          <w:szCs w:val="18"/>
          <w:lang w:val="en-US"/>
        </w:rPr>
        <w:t>i</w:t>
      </w:r>
      <w:r w:rsidR="00DA0BF5" w:rsidRPr="00313E82">
        <w:rPr>
          <w:rFonts w:eastAsia="Batang"/>
          <w:szCs w:val="18"/>
          <w:lang w:val="en-US"/>
        </w:rPr>
        <w:t xml:space="preserve">mportance </w:t>
      </w:r>
      <w:r w:rsidRPr="00313E82">
        <w:rPr>
          <w:rFonts w:eastAsia="Batang"/>
          <w:szCs w:val="18"/>
          <w:lang w:val="en-US"/>
        </w:rPr>
        <w:t xml:space="preserve">measures </w:t>
      </w:r>
      <w:r w:rsidR="009E768B" w:rsidRPr="007E0C24">
        <w:rPr>
          <w:rFonts w:eastAsia="Batang"/>
          <w:szCs w:val="18"/>
          <w:lang w:val="en-US"/>
        </w:rPr>
        <w:fldChar w:fldCharType="begin"/>
      </w:r>
      <w:r w:rsidRPr="00313E82">
        <w:rPr>
          <w:rFonts w:eastAsia="Batang"/>
          <w:szCs w:val="18"/>
          <w:lang w:val="en-US"/>
        </w:rPr>
        <w:instrText xml:space="preserve"> REF _Ref432093575 \r \h </w:instrText>
      </w:r>
      <w:r w:rsidR="009E768B" w:rsidRPr="007E0C24">
        <w:rPr>
          <w:rFonts w:eastAsia="Batang"/>
          <w:szCs w:val="18"/>
          <w:lang w:val="en-US"/>
        </w:rPr>
      </w:r>
      <w:r w:rsidR="009E768B" w:rsidRPr="007E0C24">
        <w:rPr>
          <w:rFonts w:eastAsia="Batang"/>
          <w:szCs w:val="18"/>
          <w:lang w:val="en-US"/>
        </w:rPr>
        <w:fldChar w:fldCharType="separate"/>
      </w:r>
      <w:r w:rsidR="00B772CA">
        <w:rPr>
          <w:rFonts w:eastAsia="Batang"/>
          <w:szCs w:val="18"/>
          <w:lang w:val="en-US"/>
        </w:rPr>
        <w:t>[105]</w:t>
      </w:r>
      <w:r w:rsidR="009E768B" w:rsidRPr="007E0C24">
        <w:rPr>
          <w:rFonts w:eastAsia="Batang"/>
          <w:szCs w:val="18"/>
          <w:lang w:val="en-US"/>
        </w:rPr>
        <w:fldChar w:fldCharType="end"/>
      </w:r>
      <w:r w:rsidRPr="00313E82">
        <w:rPr>
          <w:rFonts w:eastAsia="Batang"/>
          <w:szCs w:val="18"/>
          <w:lang w:val="en-US"/>
        </w:rPr>
        <w:t xml:space="preserve">. Unfortunately, the full conversion of large fault trees into BDDs could remain out of reach in terms of computational resources, because of the size, non-coherency, redundancy, and complexity of the model. A potential solution is to design hybrid algorithms that combine the approximations due to the cut-offs introduced on the </w:t>
      </w:r>
      <w:r w:rsidR="00DA0BF5">
        <w:rPr>
          <w:rFonts w:eastAsia="Batang"/>
          <w:szCs w:val="18"/>
          <w:lang w:val="en-US"/>
        </w:rPr>
        <w:t>m</w:t>
      </w:r>
      <w:r w:rsidR="00DA0BF5" w:rsidRPr="00313E82">
        <w:rPr>
          <w:rFonts w:eastAsia="Batang"/>
          <w:szCs w:val="18"/>
          <w:lang w:val="en-US"/>
        </w:rPr>
        <w:t xml:space="preserve">inimal </w:t>
      </w:r>
      <w:r w:rsidRPr="00313E82">
        <w:rPr>
          <w:rFonts w:eastAsia="Batang"/>
          <w:szCs w:val="18"/>
          <w:lang w:val="en-US"/>
        </w:rPr>
        <w:t xml:space="preserve">cut sets probability (and/or order) and the exact solution through BDD applied to a “simplified” </w:t>
      </w:r>
      <w:r w:rsidR="00DA0BF5">
        <w:rPr>
          <w:rFonts w:eastAsia="Batang"/>
          <w:szCs w:val="18"/>
          <w:lang w:val="en-US"/>
        </w:rPr>
        <w:t>f</w:t>
      </w:r>
      <w:r w:rsidR="00DA0BF5" w:rsidRPr="00313E82">
        <w:rPr>
          <w:rFonts w:eastAsia="Batang"/>
          <w:szCs w:val="18"/>
          <w:lang w:val="en-US"/>
        </w:rPr>
        <w:t xml:space="preserve">ault </w:t>
      </w:r>
      <w:r w:rsidRPr="00313E82">
        <w:rPr>
          <w:rFonts w:eastAsia="Batang"/>
          <w:szCs w:val="18"/>
          <w:lang w:val="en-US"/>
        </w:rPr>
        <w:t>tree</w:t>
      </w:r>
      <w:r w:rsidRPr="00313E82">
        <w:rPr>
          <w:rFonts w:eastAsia="Batang"/>
          <w:lang w:val="en-US"/>
        </w:rPr>
        <w:t xml:space="preserve"> </w:t>
      </w:r>
      <w:r w:rsidR="009E768B" w:rsidRPr="007E0C24">
        <w:rPr>
          <w:rFonts w:eastAsia="Batang"/>
          <w:szCs w:val="18"/>
          <w:lang w:val="en-US"/>
        </w:rPr>
        <w:fldChar w:fldCharType="begin"/>
      </w:r>
      <w:r w:rsidRPr="00313E82">
        <w:rPr>
          <w:rFonts w:eastAsia="Batang"/>
          <w:lang w:val="en-US"/>
        </w:rPr>
        <w:instrText xml:space="preserve"> REF _Ref432089776 \r \h </w:instrText>
      </w:r>
      <w:r w:rsidR="009E768B" w:rsidRPr="007E0C24">
        <w:rPr>
          <w:rFonts w:eastAsia="Batang"/>
          <w:szCs w:val="18"/>
          <w:lang w:val="en-US"/>
        </w:rPr>
      </w:r>
      <w:r w:rsidR="009E768B" w:rsidRPr="007E0C24">
        <w:rPr>
          <w:rFonts w:eastAsia="Batang"/>
          <w:szCs w:val="18"/>
          <w:lang w:val="en-US"/>
        </w:rPr>
        <w:fldChar w:fldCharType="separate"/>
      </w:r>
      <w:r w:rsidR="00B772CA">
        <w:rPr>
          <w:rFonts w:eastAsia="Batang"/>
          <w:lang w:val="en-US"/>
        </w:rPr>
        <w:t>[103]</w:t>
      </w:r>
      <w:r w:rsidR="009E768B" w:rsidRPr="007E0C24">
        <w:rPr>
          <w:rFonts w:eastAsia="Batang"/>
          <w:szCs w:val="18"/>
          <w:lang w:val="en-US"/>
        </w:rPr>
        <w:fldChar w:fldCharType="end"/>
      </w:r>
      <w:r w:rsidRPr="00313E82">
        <w:rPr>
          <w:rFonts w:eastAsia="Batang"/>
          <w:szCs w:val="18"/>
          <w:lang w:val="en-US"/>
        </w:rPr>
        <w:t>.</w:t>
      </w:r>
    </w:p>
    <w:p w:rsidR="00850225" w:rsidRPr="00313E82" w:rsidRDefault="00AF3134" w:rsidP="00C94556">
      <w:pPr>
        <w:pStyle w:val="Titre2"/>
        <w:rPr>
          <w:rFonts w:eastAsia="Batang"/>
          <w:lang w:val="en-US"/>
        </w:rPr>
      </w:pPr>
      <w:bookmarkStart w:id="119" w:name="_Toc428956761"/>
      <w:bookmarkStart w:id="120" w:name="_Ref428892300"/>
      <w:bookmarkStart w:id="121" w:name="_Toc474430139"/>
      <w:r>
        <w:rPr>
          <w:rFonts w:eastAsia="Batang"/>
          <w:lang w:val="en-US"/>
        </w:rPr>
        <w:t>Differential Importance M</w:t>
      </w:r>
      <w:r w:rsidR="00850225" w:rsidRPr="00313E82">
        <w:rPr>
          <w:rFonts w:eastAsia="Batang"/>
          <w:lang w:val="en-US"/>
        </w:rPr>
        <w:t>easures</w:t>
      </w:r>
      <w:bookmarkEnd w:id="119"/>
      <w:bookmarkEnd w:id="120"/>
      <w:bookmarkEnd w:id="121"/>
    </w:p>
    <w:p w:rsidR="00850225" w:rsidRPr="00313E82" w:rsidRDefault="00850225" w:rsidP="00C94556">
      <w:pPr>
        <w:pStyle w:val="Titre3"/>
        <w:rPr>
          <w:rFonts w:eastAsia="Batang"/>
          <w:lang w:val="en-US"/>
        </w:rPr>
      </w:pPr>
      <w:bookmarkStart w:id="122" w:name="_Toc474430140"/>
      <w:r w:rsidRPr="00313E82">
        <w:rPr>
          <w:rFonts w:eastAsia="Batang"/>
          <w:lang w:val="en-US"/>
        </w:rPr>
        <w:t>Definition of Risk Measure</w:t>
      </w:r>
      <w:bookmarkEnd w:id="122"/>
    </w:p>
    <w:p w:rsidR="00850225" w:rsidRPr="00313E82" w:rsidRDefault="00850225" w:rsidP="00741D3C">
      <w:pPr>
        <w:rPr>
          <w:rFonts w:eastAsia="Batang"/>
          <w:lang w:val="en-US"/>
        </w:rPr>
      </w:pPr>
      <w:r w:rsidRPr="00313E82">
        <w:rPr>
          <w:rFonts w:eastAsia="Batang"/>
          <w:lang w:val="en-US"/>
        </w:rPr>
        <w:t>As introduced in the Appendix A</w:t>
      </w:r>
      <w:r w:rsidR="00190791">
        <w:rPr>
          <w:rFonts w:eastAsia="Batang"/>
          <w:lang w:val="en-US"/>
        </w:rPr>
        <w:t xml:space="preserve"> (Section </w:t>
      </w:r>
      <w:r w:rsidR="009E768B">
        <w:rPr>
          <w:rFonts w:eastAsia="Batang"/>
          <w:lang w:val="en-US"/>
        </w:rPr>
        <w:fldChar w:fldCharType="begin"/>
      </w:r>
      <w:r w:rsidR="00190791">
        <w:rPr>
          <w:rFonts w:eastAsia="Batang"/>
          <w:lang w:val="en-US"/>
        </w:rPr>
        <w:instrText xml:space="preserve"> REF _Ref413920393 \r \h </w:instrText>
      </w:r>
      <w:r w:rsidR="009E768B">
        <w:rPr>
          <w:rFonts w:eastAsia="Batang"/>
          <w:lang w:val="en-US"/>
        </w:rPr>
      </w:r>
      <w:r w:rsidR="009E768B">
        <w:rPr>
          <w:rFonts w:eastAsia="Batang"/>
          <w:lang w:val="en-US"/>
        </w:rPr>
        <w:fldChar w:fldCharType="separate"/>
      </w:r>
      <w:r w:rsidR="00B772CA">
        <w:rPr>
          <w:rFonts w:eastAsia="Batang"/>
          <w:lang w:val="en-US"/>
        </w:rPr>
        <w:t>8</w:t>
      </w:r>
      <w:r w:rsidR="009E768B">
        <w:rPr>
          <w:rFonts w:eastAsia="Batang"/>
          <w:lang w:val="en-US"/>
        </w:rPr>
        <w:fldChar w:fldCharType="end"/>
      </w:r>
      <w:r w:rsidR="00190791">
        <w:rPr>
          <w:rFonts w:eastAsia="Batang"/>
          <w:lang w:val="en-US"/>
        </w:rPr>
        <w:t>)</w:t>
      </w:r>
      <w:r w:rsidRPr="00313E82">
        <w:rPr>
          <w:rFonts w:eastAsia="Batang"/>
          <w:lang w:val="en-US"/>
        </w:rPr>
        <w:t xml:space="preserve">, the probability of the undesired consequence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n</m:t>
            </m:r>
          </m:sup>
        </m:sSup>
        <m:r>
          <m:rPr>
            <m:scr m:val="double-struck"/>
          </m:rPr>
          <w:rPr>
            <w:rFonts w:ascii="Cambria Math" w:hAnsi="Cambria Math"/>
            <w:lang w:val="en-US"/>
          </w:rPr>
          <m:t>→R</m:t>
        </m:r>
      </m:oMath>
      <w:r w:rsidRPr="00313E82">
        <w:rPr>
          <w:rFonts w:eastAsia="Batang"/>
          <w:lang w:val="en-US"/>
        </w:rPr>
        <w:t xml:space="preserve"> (or a different </w:t>
      </w:r>
      <w:r w:rsidR="00DA0BF5">
        <w:rPr>
          <w:rFonts w:eastAsia="Batang"/>
          <w:lang w:val="en-US"/>
        </w:rPr>
        <w:t>direct</w:t>
      </w:r>
      <w:r w:rsidR="00DA0BF5" w:rsidRPr="00313E82">
        <w:rPr>
          <w:rFonts w:eastAsia="Batang"/>
          <w:lang w:val="en-US"/>
        </w:rPr>
        <w:t xml:space="preserve"> </w:t>
      </w:r>
      <w:r w:rsidRPr="00313E82">
        <w:rPr>
          <w:rFonts w:eastAsia="Batang"/>
          <w:lang w:val="en-US"/>
        </w:rPr>
        <w:t>risk measure) can be written by its Taylor series representation (§</w:t>
      </w:r>
      <w:r w:rsidR="002C1877">
        <w:rPr>
          <w:rFonts w:eastAsia="Batang"/>
          <w:lang w:val="en-US"/>
        </w:rPr>
        <w:t xml:space="preserve"> 9.5.1</w:t>
      </w:r>
      <w:r w:rsidRPr="00313E82">
        <w:rPr>
          <w:rFonts w:eastAsia="Batang"/>
          <w:lang w:val="en-US"/>
        </w:rPr>
        <w:t xml:space="preserve">). </w:t>
      </w:r>
      <w:r w:rsidRPr="00313E82">
        <w:rPr>
          <w:lang w:val="en-US"/>
        </w:rPr>
        <w:t>Starting from it, t</w:t>
      </w:r>
      <w:r w:rsidRPr="00313E82">
        <w:rPr>
          <w:rFonts w:eastAsia="Batang"/>
          <w:lang w:val="en-US"/>
        </w:rPr>
        <w:t xml:space="preserve">he </w:t>
      </w:r>
      <w:r w:rsidR="00DA0BF5">
        <w:rPr>
          <w:rFonts w:eastAsia="Batang"/>
          <w:lang w:val="en-US"/>
        </w:rPr>
        <w:t>d</w:t>
      </w:r>
      <w:r w:rsidR="00DA0BF5" w:rsidRPr="00313E82">
        <w:rPr>
          <w:rFonts w:eastAsia="Batang"/>
          <w:lang w:val="en-US"/>
        </w:rPr>
        <w:t xml:space="preserve">ifferential </w:t>
      </w:r>
      <w:r w:rsidRPr="00313E82">
        <w:rPr>
          <w:rFonts w:eastAsia="Batang"/>
          <w:lang w:val="en-US"/>
        </w:rPr>
        <w:t xml:space="preserve">importance measure </w:t>
      </w:r>
      <w:r w:rsidR="00CD0CBE">
        <w:fldChar w:fldCharType="begin"/>
      </w:r>
      <w:r w:rsidR="00CD0CBE">
        <w:instrText xml:space="preserve"> REF _Ref428890562 \r \h  \* MERGEFORMAT </w:instrText>
      </w:r>
      <w:r w:rsidR="00CD0CBE">
        <w:fldChar w:fldCharType="separate"/>
      </w:r>
      <w:r w:rsidR="00B772CA" w:rsidRPr="00B772CA">
        <w:rPr>
          <w:rFonts w:eastAsia="Batang"/>
          <w:lang w:val="en-US"/>
        </w:rPr>
        <w:t>[95]</w:t>
      </w:r>
      <w:r w:rsidR="00CD0CBE">
        <w:fldChar w:fldCharType="end"/>
      </w:r>
      <w:r w:rsidRPr="00313E82">
        <w:rPr>
          <w:rFonts w:eastAsia="Batang"/>
          <w:lang w:val="en-US"/>
        </w:rPr>
        <w:t xml:space="preserve">, the </w:t>
      </w:r>
      <w:r w:rsidR="00DA0BF5">
        <w:rPr>
          <w:rFonts w:eastAsia="Batang"/>
          <w:lang w:val="en-US"/>
        </w:rPr>
        <w:t>j</w:t>
      </w:r>
      <w:r w:rsidR="00DA0BF5" w:rsidRPr="00313E82">
        <w:rPr>
          <w:rFonts w:eastAsia="Batang"/>
          <w:lang w:val="en-US"/>
        </w:rPr>
        <w:t xml:space="preserve">oint </w:t>
      </w:r>
      <w:r w:rsidRPr="00313E82">
        <w:rPr>
          <w:rFonts w:eastAsia="Batang"/>
          <w:lang w:val="en-US"/>
        </w:rPr>
        <w:t xml:space="preserve">importance measure </w:t>
      </w:r>
      <w:r w:rsidR="00CD0CBE">
        <w:fldChar w:fldCharType="begin"/>
      </w:r>
      <w:r w:rsidR="00CD0CBE">
        <w:instrText xml:space="preserve"> REF _Ref318039594 \r \h  \* MERGEFORMAT </w:instrText>
      </w:r>
      <w:r w:rsidR="00CD0CBE">
        <w:fldChar w:fldCharType="separate"/>
      </w:r>
      <w:r w:rsidR="00B772CA" w:rsidRPr="00B772CA">
        <w:rPr>
          <w:rFonts w:eastAsia="Batang"/>
          <w:lang w:val="en-US"/>
        </w:rPr>
        <w:t>[96]</w:t>
      </w:r>
      <w:r w:rsidR="00CD0CBE">
        <w:fldChar w:fldCharType="end"/>
      </w:r>
      <w:r w:rsidRPr="00313E82">
        <w:rPr>
          <w:rFonts w:eastAsia="Batang"/>
          <w:lang w:val="en-US"/>
        </w:rPr>
        <w:t xml:space="preserve"> and the </w:t>
      </w:r>
      <w:r w:rsidR="00DA0BF5">
        <w:rPr>
          <w:rFonts w:eastAsia="Batang"/>
          <w:lang w:val="en-US"/>
        </w:rPr>
        <w:t>t</w:t>
      </w:r>
      <w:r w:rsidR="00DA0BF5" w:rsidRPr="00313E82">
        <w:rPr>
          <w:rFonts w:eastAsia="Batang"/>
          <w:lang w:val="en-US"/>
        </w:rPr>
        <w:t xml:space="preserve">otal </w:t>
      </w:r>
      <w:r w:rsidRPr="00313E82">
        <w:rPr>
          <w:rFonts w:eastAsia="Batang"/>
          <w:lang w:val="en-US"/>
        </w:rPr>
        <w:t xml:space="preserve">order differential importance measure </w:t>
      </w:r>
      <w:r w:rsidR="00CD0CBE">
        <w:fldChar w:fldCharType="begin"/>
      </w:r>
      <w:r w:rsidR="00CD0CBE">
        <w:instrText xml:space="preserve"> REF _Ref428890563 \r \h  \* MERGEFORMAT </w:instrText>
      </w:r>
      <w:r w:rsidR="00CD0CBE">
        <w:fldChar w:fldCharType="separate"/>
      </w:r>
      <w:r w:rsidR="00B772CA" w:rsidRPr="00B772CA">
        <w:rPr>
          <w:rFonts w:eastAsia="Batang"/>
          <w:lang w:val="en-US"/>
        </w:rPr>
        <w:t>[97]</w:t>
      </w:r>
      <w:r w:rsidR="00CD0CBE">
        <w:fldChar w:fldCharType="end"/>
      </w:r>
      <w:r w:rsidRPr="00313E82">
        <w:rPr>
          <w:rFonts w:eastAsia="Batang"/>
          <w:lang w:val="en-US"/>
        </w:rPr>
        <w:t xml:space="preserve"> are introd</w:t>
      </w:r>
      <w:r w:rsidRPr="00C94556">
        <w:rPr>
          <w:lang w:val="en-US"/>
        </w:rPr>
        <w:t>u</w:t>
      </w:r>
      <w:r w:rsidRPr="00313E82">
        <w:rPr>
          <w:rFonts w:eastAsia="Batang"/>
          <w:lang w:val="en-US"/>
        </w:rPr>
        <w:t xml:space="preserve">ced. </w:t>
      </w:r>
    </w:p>
    <w:p w:rsidR="00850225" w:rsidRPr="00313E82" w:rsidRDefault="00850225">
      <w:pPr>
        <w:rPr>
          <w:rFonts w:eastAsia="Batang"/>
          <w:u w:val="single"/>
          <w:lang w:val="en-US"/>
        </w:rPr>
      </w:pPr>
      <w:r w:rsidRPr="00313E82">
        <w:rPr>
          <w:rFonts w:eastAsia="Batang"/>
          <w:u w:val="single"/>
          <w:lang w:val="en-US"/>
        </w:rPr>
        <w:t xml:space="preserve">First Order Differential Importance measures </w:t>
      </w:r>
    </w:p>
    <w:p w:rsidR="00850225" w:rsidRPr="00313E82" w:rsidRDefault="00850225" w:rsidP="00741D3C">
      <w:pPr>
        <w:rPr>
          <w:rFonts w:eastAsia="Batang"/>
          <w:lang w:val="en-US"/>
        </w:rPr>
      </w:pPr>
      <w:r w:rsidRPr="00313E82">
        <w:rPr>
          <w:rFonts w:eastAsia="Batang"/>
          <w:lang w:val="en-US"/>
        </w:rPr>
        <w:t xml:space="preserve">The </w:t>
      </w:r>
      <w:r w:rsidR="00DA0BF5">
        <w:rPr>
          <w:rFonts w:eastAsia="Batang"/>
          <w:lang w:val="en-US"/>
        </w:rPr>
        <w:t>d</w:t>
      </w:r>
      <w:r w:rsidR="00DA0BF5" w:rsidRPr="00313E82">
        <w:rPr>
          <w:rFonts w:eastAsia="Batang"/>
          <w:lang w:val="en-US"/>
        </w:rPr>
        <w:t xml:space="preserve">ifferential </w:t>
      </w:r>
      <w:r w:rsidR="00DA0BF5">
        <w:rPr>
          <w:rFonts w:eastAsia="Batang"/>
          <w:lang w:val="en-US"/>
        </w:rPr>
        <w:t>i</w:t>
      </w:r>
      <w:r w:rsidR="00DA0BF5" w:rsidRPr="00313E82">
        <w:rPr>
          <w:rFonts w:eastAsia="Batang"/>
          <w:lang w:val="en-US"/>
        </w:rPr>
        <w:t xml:space="preserve">mportance </w:t>
      </w:r>
      <w:r w:rsidRPr="00313E82">
        <w:rPr>
          <w:rFonts w:eastAsia="Batang"/>
          <w:lang w:val="en-US"/>
        </w:rPr>
        <w:t xml:space="preserve">measure (DIM) is the fraction of the total change of the risk measure due to </w:t>
      </w:r>
      <w:r w:rsidR="00DA0BF5">
        <w:rPr>
          <w:rFonts w:eastAsia="Batang"/>
          <w:lang w:val="en-US"/>
        </w:rPr>
        <w:t>o</w:t>
      </w:r>
      <w:r w:rsidR="00DA0BF5" w:rsidRPr="00313E82">
        <w:rPr>
          <w:rFonts w:eastAsia="Batang"/>
          <w:lang w:val="en-US"/>
        </w:rPr>
        <w:t>ne</w:t>
      </w:r>
      <w:r w:rsidRPr="00313E82">
        <w:rPr>
          <w:rFonts w:eastAsia="Batang"/>
          <w:lang w:val="en-US"/>
        </w:rPr>
        <w:t>-</w:t>
      </w:r>
      <w:r w:rsidR="00DA0BF5">
        <w:rPr>
          <w:rFonts w:eastAsia="Batang"/>
          <w:lang w:val="en-US"/>
        </w:rPr>
        <w:t>a</w:t>
      </w:r>
      <w:r w:rsidR="00DA0BF5" w:rsidRPr="00313E82">
        <w:rPr>
          <w:rFonts w:eastAsia="Batang"/>
          <w:lang w:val="en-US"/>
        </w:rPr>
        <w:t>t</w:t>
      </w:r>
      <w:r w:rsidRPr="00313E82">
        <w:rPr>
          <w:rFonts w:eastAsia="Batang"/>
          <w:lang w:val="en-US"/>
        </w:rPr>
        <w:t>-</w:t>
      </w:r>
      <w:r w:rsidR="00DA0BF5">
        <w:rPr>
          <w:rFonts w:eastAsia="Batang"/>
          <w:lang w:val="en-US"/>
        </w:rPr>
        <w:t>t</w:t>
      </w:r>
      <w:r w:rsidR="00DA0BF5" w:rsidRPr="00313E82">
        <w:rPr>
          <w:rFonts w:eastAsia="Batang"/>
          <w:lang w:val="en-US"/>
        </w:rPr>
        <w:t xml:space="preserve">ime </w:t>
      </w:r>
      <w:r w:rsidRPr="00313E82">
        <w:rPr>
          <w:rFonts w:eastAsia="Batang"/>
          <w:lang w:val="en-US"/>
        </w:rPr>
        <w:t xml:space="preserve">“small change” of the input variables (basic events probability) </w:t>
      </w:r>
      <w:r w:rsidR="00CD0CBE">
        <w:fldChar w:fldCharType="begin"/>
      </w:r>
      <w:r w:rsidR="00CD0CBE">
        <w:instrText xml:space="preserve"> REF _Ref428890562 \r \h  \* MERGEFORMAT </w:instrText>
      </w:r>
      <w:r w:rsidR="00CD0CBE">
        <w:fldChar w:fldCharType="separate"/>
      </w:r>
      <w:r w:rsidR="00B772CA" w:rsidRPr="00B772CA">
        <w:rPr>
          <w:rFonts w:eastAsia="Batang"/>
          <w:lang w:val="en-US"/>
        </w:rPr>
        <w:t>[95]</w:t>
      </w:r>
      <w:r w:rsidR="00CD0CBE">
        <w:fldChar w:fldCharType="end"/>
      </w:r>
      <w:r w:rsidRPr="00313E82">
        <w:rPr>
          <w:rFonts w:eastAsia="Batang"/>
          <w:lang w:val="en-US"/>
        </w:rPr>
        <w:t>:</w:t>
      </w:r>
    </w:p>
    <w:p w:rsidR="00850225" w:rsidRPr="00313E82" w:rsidRDefault="0043746A">
      <w:pPr>
        <w:spacing w:before="120" w:after="120"/>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DIM</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num>
            <m:den>
              <m:nary>
                <m:naryPr>
                  <m:chr m:val="∑"/>
                  <m:limLoc m:val="undOvr"/>
                  <m:ctrlPr>
                    <w:rPr>
                      <w:rFonts w:ascii="Cambria Math" w:eastAsia="Batang" w:hAnsi="Cambria Math"/>
                      <w:i/>
                      <w:lang w:val="en-US"/>
                    </w:rPr>
                  </m:ctrlPr>
                </m:naryPr>
                <m:sub>
                  <m:r>
                    <w:rPr>
                      <w:rFonts w:ascii="Cambria Math" w:eastAsia="Batang" w:hAnsi="Cambria Math"/>
                      <w:lang w:val="en-US"/>
                    </w:rPr>
                    <m:t>j=1</m:t>
                  </m:r>
                </m:sub>
                <m:sup>
                  <m:r>
                    <w:rPr>
                      <w:rFonts w:ascii="Cambria Math" w:eastAsia="Batang" w:hAnsi="Cambria Math"/>
                      <w:lang w:val="en-US"/>
                    </w:rPr>
                    <m:t>n</m:t>
                  </m:r>
                </m:sup>
                <m:e>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ctrlPr>
                        <w:rPr>
                          <w:rFonts w:ascii="Cambria Math" w:eastAsia="Batang" w:hAnsi="Cambria Math" w:cs="Cambria Math"/>
                          <w:i/>
                          <w:lang w:val="en-US"/>
                        </w:rPr>
                      </m:ctrlP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e>
              </m:nary>
            </m:den>
          </m:f>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i</m:t>
                  </m:r>
                </m:sub>
              </m:sSub>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num>
            <m:den>
              <m:nary>
                <m:naryPr>
                  <m:chr m:val="∑"/>
                  <m:limLoc m:val="undOvr"/>
                  <m:ctrlPr>
                    <w:rPr>
                      <w:rFonts w:ascii="Cambria Math" w:eastAsia="Batang" w:hAnsi="Cambria Math"/>
                      <w:i/>
                      <w:lang w:val="en-US"/>
                    </w:rPr>
                  </m:ctrlPr>
                </m:naryPr>
                <m:sub>
                  <m:r>
                    <w:rPr>
                      <w:rFonts w:ascii="Cambria Math" w:eastAsia="Batang" w:hAnsi="Cambria Math"/>
                      <w:lang w:val="en-US"/>
                    </w:rPr>
                    <m:t>j=1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j</m:t>
                      </m:r>
                    </m:sub>
                  </m:sSub>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j</m:t>
                      </m:r>
                    </m:sub>
                  </m:sSub>
                </m:e>
              </m:nary>
            </m:den>
          </m:f>
        </m:oMath>
      </m:oMathPara>
    </w:p>
    <w:p w:rsidR="00850225" w:rsidRPr="00313E82" w:rsidRDefault="00850225">
      <w:pPr>
        <w:rPr>
          <w:rFonts w:eastAsia="Batang"/>
          <w:lang w:val="en-US"/>
        </w:rPr>
      </w:pPr>
      <w:r w:rsidRPr="00313E82">
        <w:rPr>
          <w:rFonts w:eastAsia="Batang"/>
          <w:lang w:val="en-US"/>
        </w:rPr>
        <w:lastRenderedPageBreak/>
        <w:t>where:</w:t>
      </w:r>
    </w:p>
    <w:p w:rsidR="00850225" w:rsidRPr="00313E82" w:rsidRDefault="0043746A" w:rsidP="00C94556">
      <w:pPr>
        <w:pStyle w:val="Paragraphedeliste"/>
        <w:numPr>
          <w:ilvl w:val="0"/>
          <w:numId w:val="42"/>
        </w:numPr>
        <w:rPr>
          <w:rFonts w:eastAsia="Batang"/>
          <w:lang w:val="en-US"/>
        </w:rPr>
      </w:pPr>
      <m:oMath>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i</m:t>
            </m:r>
          </m:sub>
        </m:sSub>
      </m:oMath>
      <w:r w:rsidR="00850225" w:rsidRPr="00313E82">
        <w:rPr>
          <w:rFonts w:eastAsia="Batang"/>
          <w:lang w:val="en-US"/>
        </w:rPr>
        <w:t xml:space="preserve"> is the Birnbaum </w:t>
      </w:r>
      <w:r w:rsidR="00DA0BF5">
        <w:rPr>
          <w:rFonts w:eastAsia="Batang"/>
          <w:lang w:val="en-US"/>
        </w:rPr>
        <w:t>i</w:t>
      </w:r>
      <w:r w:rsidR="00DA0BF5" w:rsidRPr="00313E82">
        <w:rPr>
          <w:rFonts w:eastAsia="Batang"/>
          <w:lang w:val="en-US"/>
        </w:rPr>
        <w:t xml:space="preserve">mportance </w:t>
      </w:r>
      <w:r w:rsidR="00850225" w:rsidRPr="00313E82">
        <w:rPr>
          <w:rFonts w:eastAsia="Batang"/>
          <w:lang w:val="en-US"/>
        </w:rPr>
        <w:t xml:space="preserve">for the basic event </w:t>
      </w:r>
      <w:r w:rsidR="00850225" w:rsidRPr="00313E82">
        <w:rPr>
          <w:rFonts w:eastAsia="Batang"/>
          <w:i/>
          <w:lang w:val="en-US"/>
        </w:rPr>
        <w:t>i</w:t>
      </w:r>
      <w:r w:rsidR="00850225" w:rsidRPr="00313E82">
        <w:rPr>
          <w:rFonts w:eastAsia="Batang"/>
          <w:lang w:val="en-US"/>
        </w:rPr>
        <w:t>;</w:t>
      </w:r>
    </w:p>
    <w:p w:rsidR="00850225" w:rsidRPr="00313E82" w:rsidRDefault="0043746A" w:rsidP="00C94556">
      <w:pPr>
        <w:pStyle w:val="Paragraphedeliste"/>
        <w:numPr>
          <w:ilvl w:val="0"/>
          <w:numId w:val="42"/>
        </w:numPr>
        <w:rPr>
          <w:rFonts w:eastAsia="Batang"/>
          <w:lang w:val="en-US"/>
        </w:rPr>
      </w:pPr>
      <m:oMath>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hint="eastAsia"/>
            <w:lang w:val="en-US"/>
          </w:rPr>
          <m:t>=1</m:t>
        </m:r>
      </m:oMath>
      <w:r w:rsidR="00850225" w:rsidRPr="00313E82">
        <w:rPr>
          <w:rFonts w:eastAsia="Batang"/>
          <w:lang w:val="en-US"/>
        </w:rPr>
        <w:t xml:space="preserve"> under the hypothesis of “</w:t>
      </w:r>
      <w:r w:rsidR="00DA0BF5">
        <w:rPr>
          <w:rFonts w:eastAsia="Batang"/>
          <w:lang w:val="en-US"/>
        </w:rPr>
        <w:t>u</w:t>
      </w:r>
      <w:r w:rsidR="00DA0BF5" w:rsidRPr="00313E82">
        <w:rPr>
          <w:rFonts w:eastAsia="Batang"/>
          <w:lang w:val="en-US"/>
        </w:rPr>
        <w:t xml:space="preserve">niform </w:t>
      </w:r>
      <w:r w:rsidR="00850225" w:rsidRPr="00313E82">
        <w:rPr>
          <w:rFonts w:eastAsia="Batang"/>
          <w:lang w:val="en-US"/>
        </w:rPr>
        <w:t>changes” of the basic events probability (</w:t>
      </w:r>
      <m:oMath>
        <m:sSub>
          <m:sSubPr>
            <m:ctrlPr>
              <w:rPr>
                <w:rFonts w:ascii="Cambria Math" w:eastAsia="Batang" w:hAnsi="Cambria Math"/>
                <w:i/>
                <w:lang w:val="en-US"/>
              </w:rPr>
            </m:ctrlPr>
          </m:sSubPr>
          <m:e>
            <m:r>
              <w:rPr>
                <w:rFonts w:ascii="Cambria Math" w:eastAsia="Batang" w:hAnsi="Cambria Math"/>
                <w:lang w:val="en-US"/>
              </w:rPr>
              <m:t>dP</m:t>
            </m:r>
          </m:e>
          <m:sub>
            <m:r>
              <w:rPr>
                <w:rFonts w:ascii="Cambria Math" w:eastAsia="Batang" w:hAnsi="Cambria Math"/>
                <w:lang w:val="en-US"/>
              </w:rPr>
              <m:t>i</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dP</m:t>
            </m:r>
          </m:e>
          <m:sub>
            <m:r>
              <w:rPr>
                <w:rFonts w:ascii="Cambria Math" w:eastAsia="Batang" w:hAnsi="Cambria Math"/>
                <w:lang w:val="en-US"/>
              </w:rPr>
              <m:t>j</m:t>
            </m:r>
          </m:sub>
        </m:sSub>
        <m:r>
          <w:rPr>
            <w:rFonts w:ascii="Cambria Math" w:eastAsia="Batang" w:hAnsi="Cambria Math" w:hint="eastAsia"/>
            <w:lang w:val="en-US"/>
          </w:rPr>
          <m:t xml:space="preserve"> </m:t>
        </m:r>
        <m:r>
          <w:rPr>
            <w:rFonts w:ascii="Cambria Math" w:eastAsia="Batang" w:hAnsi="Cambria Math" w:hint="eastAsia"/>
            <w:lang w:val="en-US"/>
          </w:rPr>
          <m:t>∀</m:t>
        </m:r>
        <m:r>
          <w:rPr>
            <w:rFonts w:ascii="Cambria Math" w:eastAsia="Batang" w:hAnsi="Cambria Math"/>
            <w:lang w:val="en-US"/>
          </w:rPr>
          <m:t>i,j</m:t>
        </m:r>
      </m:oMath>
      <w:r w:rsidR="00850225" w:rsidRPr="00313E82">
        <w:rPr>
          <w:rFonts w:eastAsia="Batang"/>
          <w:lang w:val="en-US"/>
        </w:rPr>
        <w:t>);</w:t>
      </w:r>
    </w:p>
    <w:p w:rsidR="00850225" w:rsidRPr="00313E82" w:rsidRDefault="0043746A">
      <w:pPr>
        <w:pStyle w:val="Paragraphedeliste"/>
        <w:ind w:left="360"/>
        <w:rPr>
          <w:rFonts w:eastAsia="Batang"/>
          <w:lang w:val="en-US"/>
        </w:rPr>
      </w:pPr>
      <m:oMath>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hint="eastAsia"/>
            <w:lang w:val="en-US"/>
          </w:rPr>
          <m:t>=</m:t>
        </m:r>
        <m:r>
          <w:rPr>
            <w:rFonts w:ascii="Cambria Math" w:eastAsia="Batang" w:hAnsi="Cambria Math"/>
            <w:lang w:val="en-US"/>
          </w:rPr>
          <m:t>Pi</m:t>
        </m:r>
      </m:oMath>
      <w:r w:rsidR="00850225" w:rsidRPr="00313E82">
        <w:rPr>
          <w:rFonts w:eastAsia="Batang"/>
          <w:lang w:val="en-US"/>
        </w:rPr>
        <w:t xml:space="preserve"> under the hypothesis of “</w:t>
      </w:r>
      <w:r w:rsidR="00DA0BF5">
        <w:rPr>
          <w:rFonts w:eastAsia="Batang"/>
          <w:lang w:val="en-US"/>
        </w:rPr>
        <w:t>u</w:t>
      </w:r>
      <w:r w:rsidR="00DA0BF5" w:rsidRPr="00313E82">
        <w:rPr>
          <w:rFonts w:eastAsia="Batang"/>
          <w:lang w:val="en-US"/>
        </w:rPr>
        <w:t xml:space="preserve">niform </w:t>
      </w:r>
      <w:r w:rsidR="00850225" w:rsidRPr="00313E82">
        <w:rPr>
          <w:rFonts w:eastAsia="Batang"/>
          <w:lang w:val="en-US"/>
        </w:rPr>
        <w:t>percentage changes”</w:t>
      </w:r>
      <w:r w:rsidR="00850225" w:rsidRPr="00313E82">
        <w:rPr>
          <w:rFonts w:eastAsia="Batang"/>
          <w:vertAlign w:val="superscript"/>
          <w:lang w:val="en-US"/>
        </w:rPr>
        <w:footnoteReference w:id="7"/>
      </w:r>
      <w:r w:rsidR="00850225" w:rsidRPr="00313E82">
        <w:rPr>
          <w:rFonts w:eastAsia="Batang"/>
          <w:lang w:val="en-US"/>
        </w:rPr>
        <w:t xml:space="preserve"> of the basic events probability (</w:t>
      </w:r>
      <m:oMath>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dP</m:t>
                </m:r>
              </m:e>
              <m:sub>
                <m:r>
                  <w:rPr>
                    <w:rFonts w:ascii="Cambria Math" w:eastAsia="Batang" w:hAnsi="Cambria Math"/>
                    <w:lang w:val="en-US"/>
                  </w:rPr>
                  <m:t>i</m:t>
                </m:r>
              </m:sub>
            </m:sSub>
          </m:num>
          <m:den>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den>
        </m:f>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dP</m:t>
                </m:r>
              </m:e>
              <m:sub>
                <m:r>
                  <w:rPr>
                    <w:rFonts w:ascii="Cambria Math" w:eastAsia="Batang" w:hAnsi="Cambria Math"/>
                    <w:lang w:val="en-US"/>
                  </w:rPr>
                  <m:t>j</m:t>
                </m:r>
              </m:sub>
            </m:sSub>
          </m:num>
          <m:den>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den>
        </m:f>
        <m:r>
          <w:rPr>
            <w:rFonts w:ascii="Cambria Math" w:eastAsia="Batang" w:hAnsi="Cambria Math" w:hint="eastAsia"/>
            <w:lang w:val="en-US"/>
          </w:rPr>
          <m:t xml:space="preserve"> </m:t>
        </m:r>
        <m:r>
          <w:rPr>
            <w:rFonts w:ascii="Cambria Math" w:eastAsia="Batang" w:hAnsi="Cambria Math" w:hint="eastAsia"/>
            <w:lang w:val="en-US"/>
          </w:rPr>
          <m:t>∀</m:t>
        </m:r>
        <m:r>
          <w:rPr>
            <w:rFonts w:ascii="Cambria Math" w:eastAsia="Batang" w:hAnsi="Cambria Math"/>
            <w:lang w:val="en-US"/>
          </w:rPr>
          <m:t>i,j</m:t>
        </m:r>
      </m:oMath>
      <w:r w:rsidR="00850225" w:rsidRPr="00313E82">
        <w:rPr>
          <w:rFonts w:eastAsia="Batang"/>
          <w:lang w:val="en-US"/>
        </w:rPr>
        <w:t>).</w:t>
      </w:r>
    </w:p>
    <w:p w:rsidR="00850225" w:rsidRPr="00313E82" w:rsidRDefault="00850225">
      <w:pPr>
        <w:rPr>
          <w:rFonts w:eastAsia="Batang"/>
          <w:u w:val="single"/>
          <w:lang w:val="en-US"/>
        </w:rPr>
      </w:pPr>
      <w:r w:rsidRPr="00313E82">
        <w:rPr>
          <w:rFonts w:eastAsia="Batang"/>
          <w:u w:val="single"/>
          <w:lang w:val="en-US"/>
        </w:rPr>
        <w:t xml:space="preserve">Joint and Total </w:t>
      </w:r>
      <w:r w:rsidR="00190791">
        <w:rPr>
          <w:rFonts w:eastAsia="Batang"/>
          <w:u w:val="single"/>
          <w:lang w:val="en-US"/>
        </w:rPr>
        <w:t>O</w:t>
      </w:r>
      <w:r w:rsidRPr="00313E82">
        <w:rPr>
          <w:rFonts w:eastAsia="Batang"/>
          <w:u w:val="single"/>
          <w:lang w:val="en-US"/>
        </w:rPr>
        <w:t xml:space="preserve">rder Differential Importance </w:t>
      </w:r>
      <w:r w:rsidR="00190791">
        <w:rPr>
          <w:rFonts w:eastAsia="Batang"/>
          <w:u w:val="single"/>
          <w:lang w:val="en-US"/>
        </w:rPr>
        <w:t>M</w:t>
      </w:r>
      <w:r w:rsidRPr="00313E82">
        <w:rPr>
          <w:rFonts w:eastAsia="Batang"/>
          <w:u w:val="single"/>
          <w:lang w:val="en-US"/>
        </w:rPr>
        <w:t>easure</w:t>
      </w:r>
    </w:p>
    <w:p w:rsidR="00850225" w:rsidRPr="00313E82" w:rsidRDefault="00850225">
      <w:pPr>
        <w:rPr>
          <w:rFonts w:eastAsia="Batang"/>
          <w:lang w:val="en-US"/>
        </w:rPr>
      </w:pPr>
      <w:r w:rsidRPr="00313E82">
        <w:rPr>
          <w:rFonts w:eastAsia="Batang"/>
          <w:lang w:val="en-US"/>
        </w:rPr>
        <w:t xml:space="preserve">Generally, the Taylor series representation requires an infinite number of terms to represent exactly the model output. It can be proved that the failure probability of any (coherent and non-coherent) system, coming from a </w:t>
      </w:r>
      <w:r w:rsidR="0089581E">
        <w:rPr>
          <w:rFonts w:eastAsia="Batang"/>
          <w:lang w:val="en-US"/>
        </w:rPr>
        <w:t>s</w:t>
      </w:r>
      <w:r w:rsidR="0089581E" w:rsidRPr="00313E82">
        <w:rPr>
          <w:rFonts w:eastAsia="Batang"/>
          <w:lang w:val="en-US"/>
        </w:rPr>
        <w:t xml:space="preserve">ystem </w:t>
      </w:r>
      <w:r w:rsidRPr="00313E82">
        <w:rPr>
          <w:rFonts w:eastAsia="Batang"/>
          <w:lang w:val="en-US"/>
        </w:rPr>
        <w:t>failure function represented by a Boolean equation, is a multi-linear function of the failure probability of its components</w:t>
      </w:r>
      <w:r w:rsidRPr="00313E82">
        <w:rPr>
          <w:rFonts w:eastAsia="Batang"/>
          <w:vertAlign w:val="superscript"/>
          <w:lang w:val="en-US"/>
        </w:rPr>
        <w:footnoteReference w:id="8"/>
      </w:r>
      <w:r w:rsidRPr="00313E82">
        <w:rPr>
          <w:rFonts w:eastAsia="Batang"/>
          <w:lang w:val="en-US"/>
        </w:rPr>
        <w:t>.</w:t>
      </w:r>
    </w:p>
    <w:p w:rsidR="00850225" w:rsidRPr="00313E82" w:rsidRDefault="00850225" w:rsidP="00741D3C">
      <w:pPr>
        <w:rPr>
          <w:rFonts w:eastAsia="Batang"/>
          <w:lang w:val="en-US"/>
        </w:rPr>
      </w:pPr>
      <w:r w:rsidRPr="00313E82">
        <w:rPr>
          <w:rFonts w:eastAsia="Batang"/>
          <w:lang w:val="en-US"/>
        </w:rPr>
        <w:t xml:space="preserve">It follows that its Taylor series representation has a finite number of terms, allowing the introduction of a measure related to the “total change” of the model output </w:t>
      </w:r>
      <w:r w:rsidR="00CD0CBE">
        <w:fldChar w:fldCharType="begin"/>
      </w:r>
      <w:r w:rsidR="00CD0CBE">
        <w:instrText xml:space="preserve"> REF _Ref318039594 \r \h  \* MERGEFORMAT </w:instrText>
      </w:r>
      <w:r w:rsidR="00CD0CBE">
        <w:fldChar w:fldCharType="separate"/>
      </w:r>
      <w:r w:rsidR="00B772CA" w:rsidRPr="00B772CA">
        <w:rPr>
          <w:rFonts w:eastAsia="Batang"/>
          <w:lang w:val="en-US"/>
        </w:rPr>
        <w:t>[96]</w:t>
      </w:r>
      <w:r w:rsidR="00CD0CBE">
        <w:fldChar w:fldCharType="end"/>
      </w:r>
      <w:r w:rsidRPr="00313E82">
        <w:rPr>
          <w:rFonts w:eastAsia="Batang"/>
          <w:lang w:val="en-US"/>
        </w:rPr>
        <w:t>.</w:t>
      </w:r>
    </w:p>
    <w:p w:rsidR="00850225" w:rsidRPr="00313E82" w:rsidRDefault="00850225">
      <w:pPr>
        <w:rPr>
          <w:rFonts w:eastAsia="Batang"/>
          <w:lang w:val="en-US"/>
        </w:rPr>
      </w:pPr>
      <w:r w:rsidRPr="00313E82">
        <w:rPr>
          <w:rFonts w:eastAsia="Batang"/>
          <w:lang w:val="en-US"/>
        </w:rPr>
        <w:t xml:space="preserve">The </w:t>
      </w:r>
      <w:r w:rsidR="00EF10E0">
        <w:rPr>
          <w:rFonts w:eastAsia="Batang"/>
          <w:lang w:val="en-US"/>
        </w:rPr>
        <w:t>t</w:t>
      </w:r>
      <w:r w:rsidR="00EF10E0" w:rsidRPr="00313E82">
        <w:rPr>
          <w:rFonts w:eastAsia="Batang"/>
          <w:lang w:val="en-US"/>
        </w:rPr>
        <w:t xml:space="preserve">otal </w:t>
      </w:r>
      <w:r w:rsidRPr="00313E82">
        <w:rPr>
          <w:rFonts w:eastAsia="Batang"/>
          <w:lang w:val="en-US"/>
        </w:rPr>
        <w:t xml:space="preserve">order </w:t>
      </w:r>
      <w:r w:rsidR="00EF10E0">
        <w:rPr>
          <w:rFonts w:eastAsia="Batang"/>
          <w:lang w:val="en-US"/>
        </w:rPr>
        <w:t>d</w:t>
      </w:r>
      <w:r w:rsidR="00EF10E0" w:rsidRPr="00313E82">
        <w:rPr>
          <w:rFonts w:eastAsia="Batang"/>
          <w:lang w:val="en-US"/>
        </w:rPr>
        <w:t xml:space="preserve">ifferential </w:t>
      </w:r>
      <w:r w:rsidRPr="00313E82">
        <w:rPr>
          <w:rFonts w:eastAsia="Batang"/>
          <w:lang w:val="en-US"/>
        </w:rPr>
        <w:t xml:space="preserve">Importance measure for the basic event </w:t>
      </w:r>
      <w:r w:rsidRPr="00313E82">
        <w:rPr>
          <w:rFonts w:eastAsia="Batang"/>
          <w:i/>
          <w:lang w:val="en-US"/>
        </w:rPr>
        <w:t>i</w:t>
      </w:r>
      <w:r w:rsidRPr="00313E82">
        <w:rPr>
          <w:rFonts w:eastAsia="Batang"/>
          <w:lang w:val="en-US"/>
        </w:rPr>
        <w:t xml:space="preserve"> is the fraction of the total change of the </w:t>
      </w:r>
      <m:oMath>
        <m:r>
          <w:rPr>
            <w:rFonts w:ascii="Cambria Math" w:hAnsi="Cambria Math"/>
            <w:lang w:val="en-US"/>
          </w:rPr>
          <m:t>f</m:t>
        </m:r>
      </m:oMath>
      <w:r w:rsidRPr="00313E82">
        <w:rPr>
          <w:rFonts w:eastAsia="Batang"/>
          <w:lang w:val="en-US"/>
        </w:rPr>
        <w:t xml:space="preserve"> that is due to the change of </w:t>
      </w:r>
      <m:oMath>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oMath>
      <w:r w:rsidRPr="00313E82">
        <w:rPr>
          <w:rFonts w:eastAsia="Batang"/>
          <w:lang w:val="en-US"/>
        </w:rPr>
        <w:t xml:space="preserve">, alone and together with the changes of the remaining </w:t>
      </w:r>
      <m:oMath>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r>
          <w:rPr>
            <w:rFonts w:ascii="Cambria Math" w:eastAsia="Batang" w:hAnsi="Cambria Math" w:hint="eastAsia"/>
            <w:lang w:val="en-US"/>
          </w:rPr>
          <m:t xml:space="preserve"> </m:t>
        </m:r>
        <m:d>
          <m:dPr>
            <m:ctrlPr>
              <w:rPr>
                <w:rFonts w:ascii="Cambria Math" w:eastAsia="Batang" w:hAnsi="Cambria Math"/>
                <w:i/>
                <w:lang w:val="en-US"/>
              </w:rPr>
            </m:ctrlPr>
          </m:dPr>
          <m:e>
            <m:r>
              <w:rPr>
                <w:rFonts w:ascii="Cambria Math" w:eastAsia="Batang" w:hAnsi="Cambria Math"/>
                <w:lang w:val="en-US"/>
              </w:rPr>
              <m:t>j</m:t>
            </m:r>
            <m:r>
              <w:rPr>
                <w:rFonts w:ascii="Cambria Math" w:eastAsia="Batang" w:hAnsi="Cambria Math" w:hint="eastAsia"/>
                <w:lang w:val="en-US"/>
              </w:rPr>
              <m:t>≠</m:t>
            </m:r>
            <m:r>
              <w:rPr>
                <w:rFonts w:ascii="Cambria Math" w:eastAsia="Batang" w:hAnsi="Cambria Math"/>
                <w:lang w:val="en-US"/>
              </w:rPr>
              <m:t>i</m:t>
            </m:r>
          </m:e>
        </m:d>
      </m:oMath>
      <w:r w:rsidRPr="00313E82">
        <w:rPr>
          <w:rFonts w:eastAsia="Batang"/>
          <w:lang w:val="en-US"/>
        </w:rPr>
        <w:t>, in any number and combination:</w:t>
      </w:r>
    </w:p>
    <w:p w:rsidR="00850225" w:rsidRPr="00313E82" w:rsidRDefault="0043746A">
      <w:pPr>
        <w:spacing w:before="120" w:line="360" w:lineRule="auto"/>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lang w:val="en-US"/>
                </w:rPr>
                <m:t>D</m:t>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hint="eastAsia"/>
              <w:lang w:val="en-US"/>
            </w:rPr>
            <m:t>=</m:t>
          </m:r>
          <m:f>
            <m:fPr>
              <m:ctrlPr>
                <w:rPr>
                  <w:rFonts w:ascii="Cambria Math" w:eastAsia="Batang" w:hAnsi="Cambria Math"/>
                  <w:i/>
                  <w:lang w:val="en-US"/>
                </w:rPr>
              </m:ctrlPr>
            </m:fPr>
            <m:num>
              <m:sPre>
                <m:sPrePr>
                  <m:ctrlPr>
                    <w:rPr>
                      <w:rFonts w:ascii="Cambria Math" w:eastAsia="Batang" w:hAnsi="Cambria Math"/>
                      <w:i/>
                      <w:lang w:val="en-US"/>
                    </w:rPr>
                  </m:ctrlPr>
                </m:sPrePr>
                <m:sub/>
                <m:sup>
                  <m:r>
                    <w:rPr>
                      <w:rFonts w:ascii="Cambria Math" w:eastAsia="Batang" w:hAnsi="Cambria Math"/>
                      <w:lang w:val="en-US"/>
                    </w:rPr>
                    <m:t>T</m:t>
                  </m:r>
                </m:sup>
                <m:e>
                  <m:r>
                    <w:rPr>
                      <w:rFonts w:ascii="Cambria Math" w:eastAsia="Batang" w:hAnsi="Cambria Math"/>
                      <w:lang w:val="en-US"/>
                    </w:rPr>
                    <m:t>Δ</m:t>
                  </m:r>
                  <m:sSub>
                    <m:sSubPr>
                      <m:ctrlPr>
                        <w:rPr>
                          <w:rFonts w:ascii="Cambria Math" w:eastAsia="Batang" w:hAnsi="Cambria Math"/>
                          <w:i/>
                          <w:lang w:val="en-US"/>
                        </w:rPr>
                      </m:ctrlPr>
                    </m:sSubPr>
                    <m:e>
                      <m:r>
                        <w:rPr>
                          <w:rFonts w:ascii="Cambria Math" w:hAnsi="Cambria Math"/>
                          <w:lang w:val="en-US"/>
                        </w:rPr>
                        <m:t>φ</m:t>
                      </m:r>
                    </m:e>
                    <m:sub>
                      <m:r>
                        <w:rPr>
                          <w:rFonts w:ascii="Cambria Math" w:eastAsia="Batang" w:hAnsi="Cambria Math"/>
                          <w:lang w:val="en-US"/>
                        </w:rPr>
                        <m:t>i</m:t>
                      </m:r>
                    </m:sub>
                  </m:sSub>
                </m:e>
              </m:sPre>
            </m:num>
            <m:den>
              <m:sPre>
                <m:sPrePr>
                  <m:ctrlPr>
                    <w:rPr>
                      <w:rFonts w:ascii="Cambria Math" w:eastAsia="Batang" w:hAnsi="Cambria Math"/>
                      <w:i/>
                      <w:lang w:val="en-US"/>
                    </w:rPr>
                  </m:ctrlPr>
                </m:sPrePr>
                <m:sub/>
                <m:sup>
                  <m:r>
                    <w:rPr>
                      <w:rFonts w:ascii="Cambria Math" w:eastAsia="Batang" w:hAnsi="Cambria Math"/>
                      <w:lang w:val="en-US"/>
                    </w:rPr>
                    <m:t>T</m:t>
                  </m:r>
                </m:sup>
                <m:e>
                  <m:r>
                    <w:rPr>
                      <w:rFonts w:ascii="Cambria Math" w:eastAsia="Batang" w:hAnsi="Cambria Math"/>
                      <w:lang w:val="en-US"/>
                    </w:rPr>
                    <m:t>Δ</m:t>
                  </m:r>
                  <m:r>
                    <w:rPr>
                      <w:rFonts w:ascii="Cambria Math" w:hAnsi="Cambria Math"/>
                      <w:lang w:val="en-US"/>
                    </w:rPr>
                    <m:t>φ</m:t>
                  </m:r>
                </m:e>
              </m:sPre>
            </m:den>
          </m:f>
          <m:r>
            <w:rPr>
              <w:rFonts w:ascii="Cambria Math" w:eastAsia="Batang" w:hAnsi="Cambria Math" w:hint="eastAsia"/>
              <w:lang w:val="en-US"/>
            </w:rPr>
            <m:t xml:space="preserve">  =</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l</m:t>
                  </m:r>
                </m:sub>
              </m:sSub>
              <m:sSub>
                <m:sSubPr>
                  <m:ctrlPr>
                    <w:rPr>
                      <w:rFonts w:ascii="Cambria Math" w:eastAsia="Batang" w:hAnsi="Cambria Math"/>
                      <w:i/>
                      <w:lang w:val="en-US"/>
                    </w:rPr>
                  </m:ctrlPr>
                </m:sSubPr>
                <m:e>
                  <m:r>
                    <w:rPr>
                      <w:rFonts w:ascii="Cambria Math" w:eastAsia="Batang" w:hAnsi="Cambria Math"/>
                      <w:lang w:val="en-US"/>
                    </w:rPr>
                    <m:t>ΔP</m:t>
                  </m:r>
                </m:e>
                <m:sub>
                  <m:r>
                    <w:rPr>
                      <w:rFonts w:ascii="Cambria Math" w:eastAsia="Batang" w:hAnsi="Cambria Math"/>
                      <w:lang w:val="en-US"/>
                    </w:rPr>
                    <m:t>i</m:t>
                  </m:r>
                </m:sub>
              </m:sSub>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k=2</m:t>
                  </m:r>
                </m:sub>
                <m:sup>
                  <m:r>
                    <w:rPr>
                      <w:rFonts w:ascii="Cambria Math" w:eastAsia="Batang" w:hAnsi="Cambria Math"/>
                      <w:lang w:val="en-US"/>
                    </w:rPr>
                    <m:t>m</m:t>
                  </m:r>
                </m:sup>
                <m:e>
                  <m:nary>
                    <m:naryPr>
                      <m:chr m:val="∑"/>
                      <m:limLoc m:val="undOvr"/>
                      <m:supHide m:val="1"/>
                      <m:ctrlPr>
                        <w:rPr>
                          <w:rFonts w:ascii="Cambria Math" w:eastAsia="Batang" w:hAnsi="Cambria Math"/>
                          <w:i/>
                          <w:lang w:val="en-US"/>
                        </w:rPr>
                      </m:ctrlPr>
                    </m:naryPr>
                    <m:sub>
                      <m:eqArr>
                        <m:eqArrPr>
                          <m:ctrlPr>
                            <w:rPr>
                              <w:rFonts w:ascii="Cambria Math" w:eastAsia="Batang" w:hAnsi="Cambria Math"/>
                              <w:i/>
                              <w:lang w:val="en-US"/>
                            </w:rPr>
                          </m:ctrlPr>
                        </m:eqArrPr>
                        <m:e>
                          <m:r>
                            <w:rPr>
                              <w:rFonts w:ascii="Cambria Math" w:eastAsia="Batang" w:hAnsi="Cambria Math"/>
                              <w:lang w:val="en-US"/>
                            </w:rPr>
                            <m:t>l&lt;</m:t>
                          </m:r>
                          <m:r>
                            <w:rPr>
                              <w:rFonts w:ascii="Cambria Math" w:eastAsia="Batang" w:hAnsi="Cambria Math" w:hint="eastAsia"/>
                              <w:lang w:val="en-US"/>
                            </w:rPr>
                            <m:t>…</m:t>
                          </m:r>
                          <m:r>
                            <w:rPr>
                              <w:rFonts w:ascii="Cambria Math" w:eastAsia="Batang" w:hAnsi="Cambria Math"/>
                              <w:lang w:val="en-US"/>
                            </w:rPr>
                            <m:t>&lt;k</m:t>
                          </m:r>
                        </m:e>
                        <m:e>
                          <m:r>
                            <w:rPr>
                              <w:rFonts w:ascii="Cambria Math" w:eastAsia="Batang" w:hAnsi="Cambria Math"/>
                              <w:lang w:val="en-US"/>
                            </w:rPr>
                            <m:t>i</m:t>
                          </m:r>
                          <m:r>
                            <w:rPr>
                              <w:rFonts w:ascii="Cambria Math" w:eastAsia="Batang" w:hAnsi="Cambria Math" w:hint="eastAsia"/>
                              <w:lang w:val="en-US"/>
                            </w:rPr>
                            <m:t>∈</m:t>
                          </m:r>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e>
                      </m:eqArr>
                    </m:sub>
                    <m:sup/>
                    <m:e>
                      <m:d>
                        <m:dPr>
                          <m:ctrlPr>
                            <w:rPr>
                              <w:rFonts w:ascii="Cambria Math" w:eastAsia="Batang" w:hAnsi="Cambria Math"/>
                              <w:i/>
                              <w:lang w:val="en-US"/>
                            </w:rPr>
                          </m:ctrlPr>
                        </m:dPr>
                        <m:e>
                          <m:sPre>
                            <m:sPrePr>
                              <m:ctrlPr>
                                <w:rPr>
                                  <w:rFonts w:ascii="Cambria Math" w:eastAsia="Batang" w:hAnsi="Cambria Math"/>
                                  <w:i/>
                                  <w:lang w:val="en-US"/>
                                </w:rPr>
                              </m:ctrlPr>
                            </m:sPrePr>
                            <m:sub/>
                            <m:sup>
                              <m:r>
                                <w:rPr>
                                  <w:rFonts w:ascii="Cambria Math" w:eastAsia="Batang" w:hAnsi="Cambria Math"/>
                                  <w:lang w:val="en-US"/>
                                </w:rPr>
                                <m:t>k</m:t>
                              </m:r>
                            </m:sup>
                            <m:e>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sub>
                              </m:sSub>
                            </m:e>
                          </m:sPre>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s=1</m:t>
                              </m:r>
                            </m:sub>
                            <m:sup>
                              <m:r>
                                <w:rPr>
                                  <w:rFonts w:ascii="Cambria Math" w:eastAsia="Batang" w:hAnsi="Cambria Math"/>
                                  <w:lang w:val="en-US"/>
                                </w:rPr>
                                <m:t>k</m:t>
                              </m:r>
                            </m:sup>
                            <m:e>
                              <m:r>
                                <w:rPr>
                                  <w:rFonts w:ascii="Cambria Math" w:eastAsia="Batang" w:hAnsi="Cambria Math"/>
                                  <w:lang w:val="en-US"/>
                                </w:rPr>
                                <m:t>Δ</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s</m:t>
                                  </m:r>
                                </m:sub>
                              </m:sSub>
                            </m:e>
                          </m:nary>
                        </m:e>
                      </m:d>
                    </m:e>
                  </m:nary>
                </m:e>
              </m:nary>
            </m:num>
            <m:den>
              <m:nary>
                <m:naryPr>
                  <m:chr m:val="∑"/>
                  <m:limLoc m:val="undOvr"/>
                  <m:ctrlPr>
                    <w:rPr>
                      <w:rFonts w:ascii="Cambria Math" w:eastAsia="Batang" w:hAnsi="Cambria Math"/>
                      <w:i/>
                      <w:lang w:val="en-US"/>
                    </w:rPr>
                  </m:ctrlPr>
                </m:naryPr>
                <m:sub>
                  <m:r>
                    <w:rPr>
                      <w:rFonts w:ascii="Cambria Math" w:eastAsia="Batang" w:hAnsi="Cambria Math"/>
                      <w:lang w:val="en-US"/>
                    </w:rPr>
                    <m:t>l=1</m:t>
                  </m:r>
                </m:sub>
                <m:sup>
                  <m:r>
                    <w:rPr>
                      <w:rFonts w:ascii="Cambria Math" w:eastAsia="Batang" w:hAnsi="Cambria Math"/>
                      <w:lang w:val="en-US"/>
                    </w:rPr>
                    <m:t>n</m:t>
                  </m:r>
                </m:sup>
                <m:e>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B</m:t>
                          </m:r>
                        </m:e>
                        <m:sub>
                          <m:r>
                            <w:rPr>
                              <w:rFonts w:ascii="Cambria Math" w:eastAsia="Batang" w:hAnsi="Cambria Math"/>
                              <w:lang w:val="en-US"/>
                            </w:rPr>
                            <m:t>l</m:t>
                          </m:r>
                        </m:sub>
                      </m:sSub>
                      <m:sSub>
                        <m:sSubPr>
                          <m:ctrlPr>
                            <w:rPr>
                              <w:rFonts w:ascii="Cambria Math" w:eastAsia="Batang" w:hAnsi="Cambria Math"/>
                              <w:i/>
                              <w:lang w:val="en-US"/>
                            </w:rPr>
                          </m:ctrlPr>
                        </m:sSubPr>
                        <m:e>
                          <m:r>
                            <w:rPr>
                              <w:rFonts w:ascii="Cambria Math" w:eastAsia="Batang" w:hAnsi="Cambria Math"/>
                              <w:lang w:val="en-US"/>
                            </w:rPr>
                            <m:t>ΔP</m:t>
                          </m:r>
                        </m:e>
                        <m:sub>
                          <m:r>
                            <w:rPr>
                              <w:rFonts w:ascii="Cambria Math" w:eastAsia="Batang" w:hAnsi="Cambria Math"/>
                              <w:lang w:val="en-US"/>
                            </w:rPr>
                            <m:t>l</m:t>
                          </m:r>
                        </m:sub>
                      </m:sSub>
                    </m:e>
                  </m:d>
                </m:e>
              </m:nary>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k=2</m:t>
                  </m:r>
                </m:sub>
                <m:sup>
                  <m:r>
                    <w:rPr>
                      <w:rFonts w:ascii="Cambria Math" w:eastAsia="Batang" w:hAnsi="Cambria Math"/>
                      <w:lang w:val="en-US"/>
                    </w:rPr>
                    <m:t>m</m:t>
                  </m:r>
                </m:sup>
                <m:e>
                  <m:nary>
                    <m:naryPr>
                      <m:chr m:val="∑"/>
                      <m:limLoc m:val="undOvr"/>
                      <m:supHide m:val="1"/>
                      <m:ctrlPr>
                        <w:rPr>
                          <w:rFonts w:ascii="Cambria Math" w:eastAsia="Batang" w:hAnsi="Cambria Math"/>
                          <w:i/>
                          <w:lang w:val="en-US"/>
                        </w:rPr>
                      </m:ctrlPr>
                    </m:naryPr>
                    <m:sub>
                      <m:eqArr>
                        <m:eqArrPr>
                          <m:ctrlPr>
                            <w:rPr>
                              <w:rFonts w:ascii="Cambria Math" w:eastAsia="Batang" w:hAnsi="Cambria Math"/>
                              <w:i/>
                              <w:lang w:val="en-US"/>
                            </w:rPr>
                          </m:ctrlPr>
                        </m:eqArrPr>
                        <m:e>
                          <m:r>
                            <w:rPr>
                              <w:rFonts w:ascii="Cambria Math" w:eastAsia="Batang" w:hAnsi="Cambria Math"/>
                              <w:lang w:val="en-US"/>
                            </w:rPr>
                            <m:t>l&lt;</m:t>
                          </m:r>
                          <m:r>
                            <w:rPr>
                              <w:rFonts w:ascii="Cambria Math" w:eastAsia="Batang" w:hAnsi="Cambria Math" w:hint="eastAsia"/>
                              <w:lang w:val="en-US"/>
                            </w:rPr>
                            <m:t>…</m:t>
                          </m:r>
                          <m:r>
                            <w:rPr>
                              <w:rFonts w:ascii="Cambria Math" w:eastAsia="Batang" w:hAnsi="Cambria Math"/>
                              <w:lang w:val="en-US"/>
                            </w:rPr>
                            <m:t>&lt;k</m:t>
                          </m:r>
                        </m:e>
                        <m:e>
                          <m:r>
                            <w:rPr>
                              <w:rFonts w:ascii="Cambria Math" w:eastAsia="Batang" w:hAnsi="Cambria Math"/>
                              <w:lang w:val="en-US"/>
                            </w:rPr>
                            <m:t>i</m:t>
                          </m:r>
                          <m:r>
                            <w:rPr>
                              <w:rFonts w:ascii="Cambria Math" w:eastAsia="Batang" w:hAnsi="Cambria Math" w:hint="eastAsia"/>
                              <w:lang w:val="en-US"/>
                            </w:rPr>
                            <m:t>∈</m:t>
                          </m:r>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e>
                      </m:eqArr>
                    </m:sub>
                    <m:sup/>
                    <m:e>
                      <m:d>
                        <m:dPr>
                          <m:ctrlPr>
                            <w:rPr>
                              <w:rFonts w:ascii="Cambria Math" w:eastAsia="Batang" w:hAnsi="Cambria Math"/>
                              <w:i/>
                              <w:lang w:val="en-US"/>
                            </w:rPr>
                          </m:ctrlPr>
                        </m:dPr>
                        <m:e>
                          <m:sPre>
                            <m:sPrePr>
                              <m:ctrlPr>
                                <w:rPr>
                                  <w:rFonts w:ascii="Cambria Math" w:eastAsia="Batang" w:hAnsi="Cambria Math"/>
                                  <w:i/>
                                  <w:lang w:val="en-US"/>
                                </w:rPr>
                              </m:ctrlPr>
                            </m:sPrePr>
                            <m:sub/>
                            <m:sup>
                              <m:r>
                                <w:rPr>
                                  <w:rFonts w:ascii="Cambria Math" w:eastAsia="Batang" w:hAnsi="Cambria Math"/>
                                  <w:lang w:val="en-US"/>
                                </w:rPr>
                                <m:t>k</m:t>
                              </m:r>
                            </m:sup>
                            <m:e>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sub>
                              </m:sSub>
                            </m:e>
                          </m:sPre>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s=1</m:t>
                              </m:r>
                            </m:sub>
                            <m:sup>
                              <m:r>
                                <w:rPr>
                                  <w:rFonts w:ascii="Cambria Math" w:eastAsia="Batang" w:hAnsi="Cambria Math"/>
                                  <w:lang w:val="en-US"/>
                                </w:rPr>
                                <m:t>k</m:t>
                              </m:r>
                            </m:sup>
                            <m:e>
                              <m:r>
                                <w:rPr>
                                  <w:rFonts w:ascii="Cambria Math" w:eastAsia="Batang" w:hAnsi="Cambria Math"/>
                                  <w:lang w:val="en-US"/>
                                </w:rPr>
                                <m:t>Δ</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s</m:t>
                                  </m:r>
                                </m:sub>
                              </m:sSub>
                            </m:e>
                          </m:nary>
                        </m:e>
                      </m:d>
                    </m:e>
                  </m:nary>
                </m:e>
              </m:nary>
            </m:den>
          </m:f>
        </m:oMath>
      </m:oMathPara>
    </w:p>
    <w:p w:rsidR="00850225" w:rsidRPr="00313E82" w:rsidRDefault="00850225">
      <w:pPr>
        <w:spacing w:before="120" w:line="360" w:lineRule="auto"/>
        <w:rPr>
          <w:rFonts w:cs="Arial"/>
          <w:lang w:val="en-US"/>
        </w:rPr>
      </w:pPr>
      <w:r w:rsidRPr="00313E82">
        <w:rPr>
          <w:rFonts w:cs="Arial"/>
          <w:lang w:val="en-US"/>
        </w:rPr>
        <w:t>where:</w:t>
      </w:r>
    </w:p>
    <w:tbl>
      <w:tblPr>
        <w:tblStyle w:val="Grilledutableau"/>
        <w:tblW w:w="96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850225" w:rsidRPr="00557A1D" w:rsidTr="0054091C">
        <w:tc>
          <w:tcPr>
            <w:tcW w:w="9639" w:type="dxa"/>
            <w:hideMark/>
          </w:tcPr>
          <w:p w:rsidR="00850225" w:rsidRPr="00C94556" w:rsidRDefault="0043746A" w:rsidP="00D873A7">
            <w:pPr>
              <w:pStyle w:val="Paragraphedeliste"/>
              <w:numPr>
                <w:ilvl w:val="0"/>
                <w:numId w:val="43"/>
              </w:numPr>
              <w:spacing w:before="120" w:after="120"/>
              <w:rPr>
                <w:rFonts w:cs="Arial"/>
                <w:sz w:val="20"/>
                <w:szCs w:val="20"/>
                <w:lang w:val="en-US"/>
              </w:rPr>
            </w:pPr>
            <m:oMath>
              <m:sSub>
                <m:sSubPr>
                  <m:ctrlPr>
                    <w:rPr>
                      <w:rFonts w:ascii="Cambria Math" w:eastAsia="Batang" w:hAnsi="Cambria Math"/>
                      <w:i/>
                      <w:szCs w:val="22"/>
                      <w:lang w:val="en-US"/>
                    </w:rPr>
                  </m:ctrlPr>
                </m:sSubPr>
                <m:e>
                  <m:r>
                    <w:rPr>
                      <w:rFonts w:ascii="Cambria Math" w:eastAsia="Batang" w:hAnsi="Cambria Math"/>
                      <w:lang w:val="en-US"/>
                    </w:rPr>
                    <m:t>B</m:t>
                  </m:r>
                </m:e>
                <m:sub>
                  <m: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szCs w:val="22"/>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szCs w:val="22"/>
                          <w:lang w:val="en-US"/>
                        </w:rPr>
                      </m:ctrlPr>
                    </m:sSubPr>
                    <m:e>
                      <m:r>
                        <w:rPr>
                          <w:rFonts w:ascii="Cambria Math" w:eastAsia="Batang" w:hAnsi="Cambria Math"/>
                          <w:lang w:val="en-US"/>
                        </w:rPr>
                        <m:t>P</m:t>
                      </m:r>
                    </m:e>
                    <m:sub>
                      <m:r>
                        <w:rPr>
                          <w:rFonts w:ascii="Cambria Math" w:eastAsia="Batang" w:hAnsi="Cambria Math"/>
                          <w:lang w:val="en-US"/>
                        </w:rPr>
                        <m:t>i</m:t>
                      </m:r>
                    </m:sub>
                  </m:sSub>
                </m:den>
              </m:f>
            </m:oMath>
            <w:r w:rsidR="00850225" w:rsidRPr="00313E82">
              <w:rPr>
                <w:rFonts w:cs="Arial"/>
                <w:lang w:val="en-US"/>
              </w:rPr>
              <w:t xml:space="preserve"> </w:t>
            </w:r>
            <w:r w:rsidR="00850225" w:rsidRPr="00313E82">
              <w:rPr>
                <w:rFonts w:eastAsia="Batang"/>
                <w:lang w:val="en-US"/>
              </w:rPr>
              <w:t xml:space="preserve">is the Birnbaum measure for the basic event </w:t>
            </w:r>
            <w:r w:rsidR="00850225" w:rsidRPr="00313E82">
              <w:rPr>
                <w:rFonts w:eastAsia="Batang"/>
                <w:i/>
                <w:lang w:val="en-US"/>
              </w:rPr>
              <w:t>i</w:t>
            </w:r>
            <w:r w:rsidR="00850225" w:rsidRPr="00313E82">
              <w:rPr>
                <w:rFonts w:eastAsia="Batang"/>
                <w:lang w:val="en-US"/>
              </w:rPr>
              <w:t>;</w:t>
            </w:r>
          </w:p>
        </w:tc>
      </w:tr>
      <w:tr w:rsidR="00850225" w:rsidRPr="00557A1D" w:rsidTr="0054091C">
        <w:tc>
          <w:tcPr>
            <w:tcW w:w="9639" w:type="dxa"/>
            <w:hideMark/>
          </w:tcPr>
          <w:p w:rsidR="00850225" w:rsidRPr="00C94556" w:rsidRDefault="0043746A" w:rsidP="00D873A7">
            <w:pPr>
              <w:pStyle w:val="Paragraphedeliste"/>
              <w:numPr>
                <w:ilvl w:val="0"/>
                <w:numId w:val="43"/>
              </w:numPr>
              <w:spacing w:before="120" w:after="120"/>
              <w:rPr>
                <w:rFonts w:cs="Arial"/>
                <w:sz w:val="20"/>
                <w:szCs w:val="20"/>
                <w:lang w:val="en-US"/>
              </w:rPr>
            </w:pPr>
            <m:oMath>
              <m:sPre>
                <m:sPrePr>
                  <m:ctrlPr>
                    <w:rPr>
                      <w:rFonts w:ascii="Cambria Math" w:eastAsia="Batang" w:hAnsi="Cambria Math"/>
                      <w:i/>
                      <w:szCs w:val="22"/>
                      <w:lang w:val="en-US"/>
                    </w:rPr>
                  </m:ctrlPr>
                </m:sPrePr>
                <m:sub/>
                <m:sup>
                  <m:r>
                    <w:rPr>
                      <w:rFonts w:ascii="Cambria Math" w:eastAsia="Batang" w:hAnsi="Cambria Math"/>
                      <w:lang w:val="en-US"/>
                    </w:rPr>
                    <m:t>k</m:t>
                  </m:r>
                </m:sup>
                <m:e>
                  <m:sSub>
                    <m:sSubPr>
                      <m:ctrlPr>
                        <w:rPr>
                          <w:rFonts w:ascii="Cambria Math" w:eastAsia="Batang" w:hAnsi="Cambria Math"/>
                          <w:i/>
                          <w:szCs w:val="22"/>
                          <w:lang w:val="en-US"/>
                        </w:rPr>
                      </m:ctrlPr>
                    </m:sSubPr>
                    <m:e>
                      <m:r>
                        <w:rPr>
                          <w:rFonts w:ascii="Cambria Math" w:eastAsia="Batang" w:hAnsi="Cambria Math"/>
                          <w:lang w:val="en-US"/>
                        </w:rPr>
                        <m:t>J</m:t>
                      </m:r>
                    </m:e>
                    <m:sub>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sub>
                  </m:sSub>
                </m:e>
              </m:sPre>
              <m:r>
                <w:rPr>
                  <w:rFonts w:ascii="Cambria Math" w:eastAsia="Batang" w:hAnsi="Cambria Math" w:hint="eastAsia"/>
                  <w:lang w:val="en-US"/>
                </w:rPr>
                <m:t>=</m:t>
              </m:r>
              <m:f>
                <m:fPr>
                  <m:ctrlPr>
                    <w:rPr>
                      <w:rFonts w:ascii="Cambria Math" w:eastAsia="Batang" w:hAnsi="Cambria Math"/>
                      <w:i/>
                      <w:szCs w:val="22"/>
                      <w:lang w:val="en-US"/>
                    </w:rPr>
                  </m:ctrlPr>
                </m:fPr>
                <m:num>
                  <m:sSup>
                    <m:sSupPr>
                      <m:ctrlPr>
                        <w:rPr>
                          <w:rFonts w:ascii="Cambria Math" w:eastAsia="Batang" w:hAnsi="Cambria Math"/>
                          <w:i/>
                          <w:szCs w:val="22"/>
                          <w:lang w:val="en-US"/>
                        </w:rPr>
                      </m:ctrlPr>
                    </m:sSupPr>
                    <m:e>
                      <m:r>
                        <w:rPr>
                          <w:rFonts w:ascii="Cambria Math" w:eastAsia="Batang" w:hAnsi="Cambria Math"/>
                          <w:lang w:val="en-US"/>
                        </w:rPr>
                        <m:t>∂</m:t>
                      </m:r>
                    </m:e>
                    <m:sup>
                      <m:r>
                        <w:rPr>
                          <w:rFonts w:ascii="Cambria Math" w:eastAsia="Batang" w:hAnsi="Cambria Math"/>
                          <w:lang w:val="en-US"/>
                        </w:rPr>
                        <m:t>k</m:t>
                      </m:r>
                    </m:sup>
                  </m:sSup>
                  <m:r>
                    <w:rPr>
                      <w:rFonts w:ascii="Cambria Math" w:hAnsi="Cambria Math"/>
                      <w:lang w:val="en-US"/>
                    </w:rPr>
                    <m:t>f</m:t>
                  </m:r>
                  <m:ctrlPr>
                    <w:rPr>
                      <w:rFonts w:ascii="Cambria Math" w:hAnsi="Cambria Math" w:cs="Arial"/>
                      <w:i/>
                      <w:szCs w:val="22"/>
                      <w:lang w:val="en-US"/>
                    </w:rPr>
                  </m:ctrlPr>
                </m:num>
                <m:den>
                  <m:r>
                    <w:rPr>
                      <w:rFonts w:ascii="Cambria Math" w:hAnsi="Cambria Math" w:cs="Arial"/>
                      <w:lang w:val="en-US"/>
                    </w:rPr>
                    <m:t>∂</m:t>
                  </m:r>
                  <m:sSub>
                    <m:sSubPr>
                      <m:ctrlPr>
                        <w:rPr>
                          <w:rFonts w:ascii="Cambria Math" w:hAnsi="Cambria Math" w:cs="Arial"/>
                          <w:i/>
                          <w:szCs w:val="22"/>
                          <w:lang w:val="en-US"/>
                        </w:rPr>
                      </m:ctrlPr>
                    </m:sSubPr>
                    <m:e>
                      <m:r>
                        <w:rPr>
                          <w:rFonts w:ascii="Cambria Math" w:hAnsi="Cambria Math" w:cs="Arial"/>
                          <w:lang w:val="en-US"/>
                        </w:rPr>
                        <m:t>P</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szCs w:val="22"/>
                          <w:lang w:val="en-US"/>
                        </w:rPr>
                      </m:ctrlPr>
                    </m:sSubPr>
                    <m:e>
                      <m:r>
                        <w:rPr>
                          <w:rFonts w:ascii="Cambria Math" w:hAnsi="Cambria Math" w:cs="Arial"/>
                          <w:lang w:val="en-US"/>
                        </w:rPr>
                        <m:t>P</m:t>
                      </m:r>
                    </m:e>
                    <m:sub>
                      <m:r>
                        <w:rPr>
                          <w:rFonts w:ascii="Cambria Math" w:hAnsi="Cambria Math" w:cs="Arial"/>
                          <w:lang w:val="en-US"/>
                        </w:rPr>
                        <m:t>k</m:t>
                      </m:r>
                    </m:sub>
                  </m:sSub>
                </m:den>
              </m:f>
            </m:oMath>
            <w:r w:rsidR="00850225" w:rsidRPr="00313E82">
              <w:rPr>
                <w:rFonts w:cs="Arial"/>
                <w:lang w:val="en-US"/>
              </w:rPr>
              <w:t xml:space="preserve"> </w:t>
            </w:r>
            <w:r w:rsidR="00850225" w:rsidRPr="00313E82">
              <w:rPr>
                <w:rFonts w:eastAsia="Batang"/>
                <w:lang w:val="en-US"/>
              </w:rPr>
              <w:t>is the “</w:t>
            </w:r>
            <w:r w:rsidR="00DA0BF5">
              <w:rPr>
                <w:rFonts w:eastAsia="Batang"/>
                <w:lang w:val="en-US"/>
              </w:rPr>
              <w:t>j</w:t>
            </w:r>
            <w:r w:rsidR="00DA0BF5" w:rsidRPr="00313E82">
              <w:rPr>
                <w:rFonts w:eastAsia="Batang"/>
                <w:lang w:val="en-US"/>
              </w:rPr>
              <w:t xml:space="preserve">oint </w:t>
            </w:r>
            <w:r w:rsidR="00DA0BF5">
              <w:rPr>
                <w:rFonts w:eastAsia="Batang"/>
                <w:lang w:val="en-US"/>
              </w:rPr>
              <w:t>i</w:t>
            </w:r>
            <w:r w:rsidR="00DA0BF5" w:rsidRPr="00313E82">
              <w:rPr>
                <w:rFonts w:eastAsia="Batang"/>
                <w:lang w:val="en-US"/>
              </w:rPr>
              <w:t xml:space="preserve">mportance </w:t>
            </w:r>
            <w:r w:rsidR="00850225" w:rsidRPr="00313E82">
              <w:rPr>
                <w:rFonts w:eastAsia="Batang"/>
                <w:lang w:val="en-US"/>
              </w:rPr>
              <w:t xml:space="preserve">of k-order” and gives information about how the basic events </w:t>
            </w:r>
            <m:oMath>
              <m:r>
                <w:rPr>
                  <w:rFonts w:ascii="Cambria Math" w:eastAsia="Batang" w:hAnsi="Cambria Math"/>
                  <w:lang w:val="en-US"/>
                </w:rPr>
                <m:t>l</m:t>
              </m:r>
              <m:r>
                <w:rPr>
                  <w:rFonts w:ascii="Cambria Math" w:eastAsia="Batang" w:hAnsi="Cambria Math" w:hint="eastAsia"/>
                  <w:lang w:val="en-US"/>
                </w:rPr>
                <m:t>…</m:t>
              </m:r>
              <m:r>
                <w:rPr>
                  <w:rFonts w:ascii="Cambria Math" w:eastAsia="Batang" w:hAnsi="Cambria Math"/>
                  <w:lang w:val="en-US"/>
                </w:rPr>
                <m:t>k</m:t>
              </m:r>
            </m:oMath>
            <w:r w:rsidR="00850225" w:rsidRPr="00313E82">
              <w:rPr>
                <w:rFonts w:eastAsia="Batang"/>
                <w:lang w:val="en-US"/>
              </w:rPr>
              <w:t xml:space="preserve">  “interact”, i.e. how their simultaneous change modify the model output</w:t>
            </w:r>
            <w:r w:rsidR="00850225" w:rsidRPr="00313E82">
              <w:rPr>
                <w:rFonts w:cs="Arial"/>
                <w:lang w:val="en-US"/>
              </w:rPr>
              <w:t>;</w:t>
            </w:r>
          </w:p>
        </w:tc>
      </w:tr>
      <w:tr w:rsidR="00850225" w:rsidRPr="00313E82" w:rsidTr="0054091C">
        <w:tc>
          <w:tcPr>
            <w:tcW w:w="9639" w:type="dxa"/>
            <w:hideMark/>
          </w:tcPr>
          <w:p w:rsidR="00850225" w:rsidRPr="00C94556" w:rsidRDefault="0043746A" w:rsidP="00C94556">
            <w:pPr>
              <w:pStyle w:val="Paragraphedeliste"/>
              <w:numPr>
                <w:ilvl w:val="0"/>
                <w:numId w:val="43"/>
              </w:numPr>
              <w:spacing w:before="120" w:after="120"/>
              <w:rPr>
                <w:rFonts w:cs="Arial"/>
                <w:sz w:val="20"/>
                <w:szCs w:val="20"/>
                <w:lang w:val="en-US"/>
              </w:rPr>
            </w:pPr>
            <m:oMath>
              <m:nary>
                <m:naryPr>
                  <m:chr m:val="∑"/>
                  <m:limLoc m:val="undOvr"/>
                  <m:supHide m:val="1"/>
                  <m:ctrlPr>
                    <w:rPr>
                      <w:rFonts w:ascii="Cambria Math" w:eastAsia="Batang" w:hAnsi="Cambria Math"/>
                      <w:i/>
                      <w:lang w:val="en-US"/>
                    </w:rPr>
                  </m:ctrlPr>
                </m:naryPr>
                <m:sub>
                  <m:r>
                    <w:rPr>
                      <w:rFonts w:ascii="Cambria Math" w:eastAsia="Batang" w:hAnsi="Cambria Math"/>
                      <w:lang w:val="en-US"/>
                    </w:rPr>
                    <m:t>l&lt;...&lt;k</m:t>
                  </m:r>
                </m:sub>
                <m:sup/>
                <m:e>
                  <m:r>
                    <w:rPr>
                      <w:rFonts w:ascii="Cambria Math" w:eastAsia="Batang" w:hAnsi="Cambria Math" w:hint="eastAsia"/>
                      <w:lang w:val="en-US"/>
                    </w:rPr>
                    <m:t>…</m:t>
                  </m:r>
                  <m:r>
                    <w:rPr>
                      <w:rFonts w:ascii="Cambria Math" w:eastAsia="Batang" w:hAnsi="Cambria Math"/>
                      <w:lang w:val="en-US"/>
                    </w:rPr>
                    <m:t>=</m:t>
                  </m:r>
                </m:e>
              </m:nary>
              <m:nary>
                <m:naryPr>
                  <m:chr m:val="∑"/>
                  <m:limLoc m:val="undOvr"/>
                  <m:ctrlPr>
                    <w:rPr>
                      <w:rFonts w:ascii="Cambria Math" w:eastAsia="Batang" w:hAnsi="Cambria Math"/>
                      <w:i/>
                      <w:lang w:val="en-US"/>
                    </w:rPr>
                  </m:ctrlPr>
                </m:naryPr>
                <m:sub>
                  <m:r>
                    <w:rPr>
                      <w:rFonts w:ascii="Cambria Math" w:eastAsia="Batang" w:hAnsi="Cambria Math"/>
                      <w:lang w:val="en-US"/>
                    </w:rPr>
                    <m:t>l=1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r>
                        <w:rPr>
                          <w:rFonts w:ascii="Cambria Math" w:eastAsia="Batang" w:hAnsi="Cambria Math"/>
                          <w:lang w:val="en-US"/>
                        </w:rPr>
                        <m:t>j=l</m:t>
                      </m:r>
                    </m:sub>
                    <m:sup>
                      <m:r>
                        <w:rPr>
                          <w:rFonts w:ascii="Cambria Math" w:eastAsia="Batang" w:hAnsi="Cambria Math"/>
                          <w:lang w:val="en-US"/>
                        </w:rPr>
                        <m:t>n</m:t>
                      </m:r>
                    </m:sup>
                    <m:e>
                      <m:r>
                        <w:rPr>
                          <w:rFonts w:ascii="Cambria Math" w:eastAsia="Batang" w:hAnsi="Cambria Math" w:hint="eastAsia"/>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m=...</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r>
                                <w:rPr>
                                  <w:rFonts w:ascii="Cambria Math" w:eastAsia="Batang" w:hAnsi="Cambria Math"/>
                                  <w:lang w:val="en-US"/>
                                </w:rPr>
                                <m:t>k=m</m:t>
                              </m:r>
                            </m:sub>
                            <m:sup>
                              <m:r>
                                <w:rPr>
                                  <w:rFonts w:ascii="Cambria Math" w:eastAsia="Batang" w:hAnsi="Cambria Math"/>
                                  <w:lang w:val="en-US"/>
                                </w:rPr>
                                <m:t>n</m:t>
                              </m:r>
                            </m:sup>
                            <m:e>
                              <m:r>
                                <w:rPr>
                                  <w:rFonts w:ascii="Cambria Math" w:eastAsia="Batang" w:hAnsi="Cambria Math" w:hint="eastAsia"/>
                                  <w:lang w:val="en-US"/>
                                </w:rPr>
                                <m:t>…</m:t>
                              </m:r>
                            </m:e>
                          </m:nary>
                        </m:e>
                      </m:nary>
                    </m:e>
                  </m:nary>
                </m:e>
              </m:nary>
            </m:oMath>
          </w:p>
        </w:tc>
      </w:tr>
    </w:tbl>
    <w:p w:rsidR="00850225" w:rsidRPr="00313E82" w:rsidRDefault="00850225" w:rsidP="00C94556">
      <w:pPr>
        <w:pStyle w:val="Titre3"/>
        <w:rPr>
          <w:rFonts w:eastAsia="Batang"/>
          <w:lang w:val="en-US"/>
        </w:rPr>
      </w:pPr>
      <w:bookmarkStart w:id="123" w:name="_Toc474430141"/>
      <w:r w:rsidRPr="00313E82">
        <w:rPr>
          <w:rFonts w:eastAsia="Batang"/>
          <w:lang w:val="en-US"/>
        </w:rPr>
        <w:t>Areas of application</w:t>
      </w:r>
      <w:bookmarkEnd w:id="123"/>
    </w:p>
    <w:p w:rsidR="00850225" w:rsidRPr="00313E82" w:rsidRDefault="00850225">
      <w:pPr>
        <w:rPr>
          <w:rFonts w:eastAsia="Batang"/>
          <w:lang w:val="en-US"/>
        </w:rPr>
      </w:pPr>
      <w:r w:rsidRPr="00313E82">
        <w:rPr>
          <w:rFonts w:eastAsia="Batang"/>
          <w:lang w:val="en-US"/>
        </w:rPr>
        <w:t xml:space="preserve">The DIM is a risk-significance measure, which refers to the first order approximation of the Taylor series representation. It has been introduced by a number of years in the scientific literature and, as previously noted, it could be computed starting from the traditional Importance measures (as post elaboration of the results coming from the available software tools). It provides remarkable improvements with respect, for instance, to the Birnbaum measure, first of all the additivity of the measure and its definition within a framework (Taylor series representation of the primary risk measure) which allows the consistent introduction of further measures able to assess the interactions among variables, which are not accounted by the traditional </w:t>
      </w:r>
      <w:r w:rsidR="00D05ACE">
        <w:rPr>
          <w:rFonts w:eastAsia="Batang"/>
          <w:lang w:val="en-US"/>
        </w:rPr>
        <w:t>i</w:t>
      </w:r>
      <w:r w:rsidRPr="00313E82">
        <w:rPr>
          <w:rFonts w:eastAsia="Batang"/>
          <w:lang w:val="en-US"/>
        </w:rPr>
        <w:t>mportance measure.</w:t>
      </w:r>
    </w:p>
    <w:p w:rsidR="00850225" w:rsidRPr="00313E82" w:rsidRDefault="00850225">
      <w:pPr>
        <w:rPr>
          <w:rFonts w:eastAsia="Batang"/>
          <w:lang w:val="en-US"/>
        </w:rPr>
      </w:pPr>
      <w:r w:rsidRPr="00313E82">
        <w:rPr>
          <w:rFonts w:eastAsia="Batang"/>
          <w:lang w:val="en-US"/>
        </w:rPr>
        <w:lastRenderedPageBreak/>
        <w:t xml:space="preserve">The </w:t>
      </w:r>
      <w:r w:rsidR="0089581E">
        <w:rPr>
          <w:rFonts w:eastAsia="Batang"/>
          <w:lang w:val="en-US"/>
        </w:rPr>
        <w:t>j</w:t>
      </w:r>
      <w:r w:rsidR="0089581E" w:rsidRPr="00313E82">
        <w:rPr>
          <w:rFonts w:eastAsia="Batang"/>
          <w:lang w:val="en-US"/>
        </w:rPr>
        <w:t xml:space="preserve">oint </w:t>
      </w:r>
      <w:r w:rsidR="0089581E">
        <w:rPr>
          <w:rFonts w:eastAsia="Batang"/>
          <w:lang w:val="en-US"/>
        </w:rPr>
        <w:t>i</w:t>
      </w:r>
      <w:r w:rsidRPr="00313E82">
        <w:rPr>
          <w:rFonts w:eastAsia="Batang"/>
          <w:lang w:val="en-US"/>
        </w:rPr>
        <w:t xml:space="preserve">mportance measure and 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measure are relatively new and probably never used in the existing PSA of NPP. Anyway, scientific papers address their potentialities and limitations and provide a number of examples of applications.</w:t>
      </w:r>
    </w:p>
    <w:p w:rsidR="00850225" w:rsidRPr="00313E82" w:rsidRDefault="00850225">
      <w:pPr>
        <w:rPr>
          <w:rFonts w:eastAsia="Batang"/>
          <w:lang w:val="en-US"/>
        </w:rPr>
      </w:pPr>
      <w:r w:rsidRPr="00313E82">
        <w:rPr>
          <w:rFonts w:eastAsia="Batang"/>
          <w:lang w:val="en-US"/>
        </w:rPr>
        <w:t xml:space="preserve">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 refers to the influence of a basic event as result of its individual effect and of all possible interactions with the other basic events. It combines in a unique measure the information provided by the Birnbaum measure and by the </w:t>
      </w:r>
      <w:r w:rsidR="0089581E">
        <w:rPr>
          <w:rFonts w:eastAsia="Batang"/>
          <w:lang w:val="en-US"/>
        </w:rPr>
        <w:t>j</w:t>
      </w:r>
      <w:r w:rsidR="0089581E" w:rsidRPr="00313E82">
        <w:rPr>
          <w:rFonts w:eastAsia="Batang"/>
          <w:lang w:val="en-US"/>
        </w:rPr>
        <w:t xml:space="preserve">oint </w:t>
      </w:r>
      <w:r w:rsidRPr="00313E82">
        <w:rPr>
          <w:rFonts w:eastAsia="Batang"/>
          <w:lang w:val="en-US"/>
        </w:rPr>
        <w:t xml:space="preserve">importance measures of any order. </w:t>
      </w:r>
    </w:p>
    <w:p w:rsidR="00850225" w:rsidRPr="00313E82" w:rsidRDefault="00850225">
      <w:pPr>
        <w:rPr>
          <w:rFonts w:eastAsia="Batang"/>
          <w:lang w:val="en-US"/>
        </w:rPr>
      </w:pPr>
      <w:r w:rsidRPr="00313E82">
        <w:rPr>
          <w:rFonts w:eastAsia="Batang"/>
          <w:lang w:val="en-US"/>
        </w:rPr>
        <w:t xml:space="preserve">For a “small enough” (i.e. differential) change of the input, 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 coincides with the </w:t>
      </w:r>
      <w:r w:rsidR="0089581E">
        <w:rPr>
          <w:rFonts w:eastAsia="Batang"/>
          <w:lang w:val="en-US"/>
        </w:rPr>
        <w:t>f</w:t>
      </w:r>
      <w:r w:rsidR="0089581E" w:rsidRPr="00313E82">
        <w:rPr>
          <w:rFonts w:eastAsia="Batang"/>
          <w:lang w:val="en-US"/>
        </w:rPr>
        <w:t xml:space="preserve">irst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measure (</w:t>
      </w:r>
      <m:oMath>
        <m:sSubSup>
          <m:sSubSupPr>
            <m:ctrlPr>
              <w:rPr>
                <w:rFonts w:ascii="Cambria Math" w:eastAsia="Batang" w:hAnsi="Cambria Math"/>
                <w:i/>
                <w:lang w:val="en-US"/>
              </w:rPr>
            </m:ctrlPr>
          </m:sSubSupPr>
          <m:e>
            <m:r>
              <w:rPr>
                <w:rFonts w:ascii="Cambria Math" w:eastAsia="Batang" w:hAnsi="Cambria Math"/>
                <w:lang w:val="en-US"/>
              </w:rPr>
              <m:t>DI</m:t>
            </m:r>
            <m:sSub>
              <m:sSubPr>
                <m:ctrlPr>
                  <w:rPr>
                    <w:rFonts w:ascii="Cambria Math" w:eastAsia="Batang" w:hAnsi="Cambria Math"/>
                    <w:i/>
                    <w:lang w:val="en-US"/>
                  </w:rPr>
                </m:ctrlPr>
              </m:sSubPr>
              <m:e>
                <m:r>
                  <w:rPr>
                    <w:rFonts w:ascii="Cambria Math" w:eastAsia="Batang" w:hAnsi="Cambria Math"/>
                    <w:lang w:val="en-US"/>
                  </w:rPr>
                  <m:t>M</m:t>
                </m:r>
              </m:e>
              <m:sub>
                <m:r>
                  <w:rPr>
                    <w:rFonts w:ascii="Cambria Math" w:eastAsia="Batang" w:hAnsi="Cambria Math"/>
                    <w:lang w:val="en-US"/>
                  </w:rPr>
                  <m:t>i</m:t>
                </m:r>
              </m:sub>
            </m:sSub>
            <m:r>
              <w:rPr>
                <w:rFonts w:ascii="Cambria Math" w:eastAsia="Batang" w:hAnsi="Cambria Math"/>
                <w:lang w:val="en-US"/>
              </w:rPr>
              <m:t>=D</m:t>
            </m:r>
          </m:e>
          <m:sub>
            <m:r>
              <w:rPr>
                <w:rFonts w:ascii="Cambria Math" w:eastAsia="Batang" w:hAnsi="Cambria Math"/>
                <w:lang w:val="en-US"/>
              </w:rPr>
              <m:t>i</m:t>
            </m:r>
          </m:sub>
          <m:sup>
            <m:r>
              <w:rPr>
                <w:rFonts w:ascii="Cambria Math" w:eastAsia="Batang" w:hAnsi="Cambria Math"/>
                <w:lang w:val="en-US"/>
              </w:rPr>
              <m:t>T</m:t>
            </m:r>
          </m:sup>
        </m:sSubSup>
      </m:oMath>
      <w:r w:rsidRPr="00313E82">
        <w:rPr>
          <w:rFonts w:eastAsia="Batang"/>
          <w:lang w:val="en-US"/>
        </w:rPr>
        <w:t>).</w:t>
      </w:r>
    </w:p>
    <w:p w:rsidR="00850225" w:rsidRPr="00313E82" w:rsidRDefault="00850225">
      <w:pPr>
        <w:rPr>
          <w:rFonts w:eastAsia="Batang"/>
          <w:lang w:val="en-US"/>
        </w:rPr>
      </w:pPr>
      <w:r w:rsidRPr="00313E82">
        <w:rPr>
          <w:rFonts w:eastAsia="Batang"/>
          <w:lang w:val="en-US"/>
        </w:rPr>
        <w:t xml:space="preserve">It is remarkable </w:t>
      </w:r>
      <w:r w:rsidR="0089581E">
        <w:rPr>
          <w:rFonts w:eastAsia="Batang"/>
          <w:lang w:val="en-US"/>
        </w:rPr>
        <w:t>that i</w:t>
      </w:r>
      <w:r w:rsidR="00D05ACE">
        <w:rPr>
          <w:rFonts w:eastAsia="Batang"/>
          <w:lang w:val="en-US"/>
        </w:rPr>
        <w:t>t</w:t>
      </w:r>
      <w:r w:rsidR="0089581E">
        <w:rPr>
          <w:rFonts w:eastAsia="Batang"/>
          <w:lang w:val="en-US"/>
        </w:rPr>
        <w:t xml:space="preserve"> opens </w:t>
      </w:r>
      <w:r w:rsidRPr="00313E82">
        <w:rPr>
          <w:rFonts w:eastAsia="Batang"/>
          <w:lang w:val="en-US"/>
        </w:rPr>
        <w:t>the possibility to investigate the interactions among the basic events of the PSA model (i.e. among SSCs). For instance, the estimation of the (</w:t>
      </w:r>
      <w:r w:rsidR="0089581E">
        <w:rPr>
          <w:rFonts w:eastAsia="Batang"/>
          <w:lang w:val="en-US"/>
        </w:rPr>
        <w:t>j</w:t>
      </w:r>
      <w:r w:rsidR="0089581E" w:rsidRPr="00313E82">
        <w:rPr>
          <w:rFonts w:eastAsia="Batang"/>
          <w:lang w:val="en-US"/>
        </w:rPr>
        <w:t xml:space="preserve">oint </w:t>
      </w:r>
      <w:r w:rsidRPr="00313E82">
        <w:rPr>
          <w:rFonts w:eastAsia="Batang"/>
          <w:lang w:val="en-US"/>
        </w:rPr>
        <w:t xml:space="preserve">and 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measure(s) could support the identification of potential dependent failures: </w:t>
      </w:r>
      <w:r w:rsidR="0089581E">
        <w:rPr>
          <w:rFonts w:eastAsia="Batang"/>
          <w:lang w:val="en-US"/>
        </w:rPr>
        <w:t xml:space="preserve">the </w:t>
      </w:r>
      <w:r w:rsidRPr="00313E82">
        <w:rPr>
          <w:rFonts w:eastAsia="Batang"/>
          <w:lang w:val="en-US"/>
        </w:rPr>
        <w:t>higher the significance of interactions among a set of variables</w:t>
      </w:r>
      <w:r w:rsidR="0089581E">
        <w:rPr>
          <w:rFonts w:eastAsia="Batang"/>
          <w:lang w:val="en-US"/>
        </w:rPr>
        <w:t xml:space="preserve">, the </w:t>
      </w:r>
      <w:r w:rsidRPr="00313E82">
        <w:rPr>
          <w:rFonts w:eastAsia="Batang"/>
          <w:lang w:val="en-US"/>
        </w:rPr>
        <w:t xml:space="preserve">higher is the potential impact on the risk if credible common root causes exist. This could extend the evaluations beyond the assessment of the common-cause groups identified </w:t>
      </w:r>
      <w:r w:rsidR="0089581E">
        <w:rPr>
          <w:rFonts w:eastAsia="Batang"/>
          <w:lang w:val="en-US"/>
        </w:rPr>
        <w:t xml:space="preserve">beforehand </w:t>
      </w:r>
      <w:r w:rsidRPr="00313E82">
        <w:rPr>
          <w:rFonts w:eastAsia="Batang"/>
          <w:lang w:val="en-US"/>
        </w:rPr>
        <w:t xml:space="preserve">(e.g. redundant items performing the same function), allowing </w:t>
      </w:r>
      <w:r w:rsidR="0089581E">
        <w:rPr>
          <w:rFonts w:eastAsia="Batang"/>
          <w:lang w:val="en-US"/>
        </w:rPr>
        <w:t xml:space="preserve">for </w:t>
      </w:r>
      <w:r w:rsidRPr="00313E82">
        <w:rPr>
          <w:rFonts w:eastAsia="Batang"/>
          <w:lang w:val="en-US"/>
        </w:rPr>
        <w:t>the identification of “latent” dependencies (not obvious in large models, specifically for different typologies of SSCs, e.g. different SSCs implementing different lines of protection but vulnerable to the same cause - e.g. internal flooding).</w:t>
      </w:r>
    </w:p>
    <w:p w:rsidR="00850225" w:rsidRPr="00313E82" w:rsidRDefault="00850225" w:rsidP="00C94556">
      <w:pPr>
        <w:pStyle w:val="Titre3"/>
        <w:rPr>
          <w:rFonts w:eastAsia="Batang"/>
          <w:lang w:val="en-US"/>
        </w:rPr>
      </w:pPr>
      <w:bookmarkStart w:id="124" w:name="_Toc474430142"/>
      <w:r w:rsidRPr="00313E82">
        <w:rPr>
          <w:rFonts w:eastAsia="Batang"/>
          <w:lang w:val="en-US"/>
        </w:rPr>
        <w:t>Discussion</w:t>
      </w:r>
      <w:bookmarkEnd w:id="124"/>
    </w:p>
    <w:p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 xml:space="preserve">: </w:t>
      </w:r>
    </w:p>
    <w:p w:rsidR="00850225" w:rsidRPr="00313E82" w:rsidRDefault="00850225" w:rsidP="00B76953">
      <w:pPr>
        <w:ind w:left="709"/>
        <w:rPr>
          <w:rFonts w:eastAsia="Batang"/>
          <w:lang w:val="en-US"/>
        </w:rPr>
      </w:pPr>
      <w:r w:rsidRPr="00C94556">
        <w:rPr>
          <w:lang w:val="en-US"/>
        </w:rPr>
        <w:t xml:space="preserve">The </w:t>
      </w:r>
      <w:r w:rsidR="0089581E">
        <w:rPr>
          <w:lang w:val="en-US"/>
        </w:rPr>
        <w:t>d</w:t>
      </w:r>
      <w:r w:rsidR="0089581E" w:rsidRPr="00C94556">
        <w:rPr>
          <w:lang w:val="en-US"/>
        </w:rPr>
        <w:t xml:space="preserve">ifferential </w:t>
      </w:r>
      <w:r w:rsidR="0089581E">
        <w:rPr>
          <w:lang w:val="en-US"/>
        </w:rPr>
        <w:t>i</w:t>
      </w:r>
      <w:r w:rsidR="0089581E" w:rsidRPr="00C94556">
        <w:rPr>
          <w:lang w:val="en-US"/>
        </w:rPr>
        <w:t xml:space="preserve">mportance </w:t>
      </w:r>
      <w:r w:rsidRPr="00C94556">
        <w:rPr>
          <w:lang w:val="en-US"/>
        </w:rPr>
        <w:t>measures</w:t>
      </w:r>
      <w:r w:rsidRPr="00313E82">
        <w:rPr>
          <w:rFonts w:eastAsia="Batang"/>
          <w:lang w:val="en-US"/>
        </w:rPr>
        <w:t xml:space="preserve"> have a very general scope. With reference to PSA applications, they can be referred to the basic events (as in the above definitions), as well as to the parameters of the model (which typically define the probability distributions of the basic events). However, only in the first case there is a simplified procedure to estimate the total 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measures without computing each one of its terms.</w:t>
      </w:r>
    </w:p>
    <w:p w:rsidR="00850225" w:rsidRPr="00313E82" w:rsidRDefault="00850225" w:rsidP="00B76953">
      <w:pPr>
        <w:ind w:left="709"/>
        <w:rPr>
          <w:rFonts w:eastAsia="Batang"/>
          <w:lang w:val="en-US"/>
        </w:rPr>
      </w:pPr>
      <w:r w:rsidRPr="00313E82">
        <w:rPr>
          <w:rFonts w:eastAsia="Batang"/>
          <w:lang w:val="en-US"/>
        </w:rPr>
        <w:t xml:space="preserve">The DIM provides information about the “main“ (i.e. first order) contribution of each input variable. The </w:t>
      </w:r>
      <w:r w:rsidR="0089581E">
        <w:rPr>
          <w:rFonts w:eastAsia="Batang"/>
          <w:lang w:val="en-US"/>
        </w:rPr>
        <w:t>j</w:t>
      </w:r>
      <w:r w:rsidR="0089581E" w:rsidRPr="00313E82">
        <w:rPr>
          <w:rFonts w:eastAsia="Batang"/>
          <w:lang w:val="en-US"/>
        </w:rPr>
        <w:t xml:space="preserve">oint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 provides information on the interactions about a specific group of input variables. The </w:t>
      </w:r>
      <w:r w:rsidR="0089581E">
        <w:rPr>
          <w:rFonts w:eastAsia="Batang"/>
          <w:lang w:val="en-US"/>
        </w:rPr>
        <w:t>t</w:t>
      </w:r>
      <w:r w:rsidR="0089581E" w:rsidRPr="00313E82">
        <w:rPr>
          <w:rFonts w:eastAsia="Batang"/>
          <w:lang w:val="en-US"/>
        </w:rPr>
        <w:t xml:space="preserve">otal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Pr="00313E82">
        <w:rPr>
          <w:rFonts w:eastAsia="Batang"/>
          <w:lang w:val="en-US"/>
        </w:rPr>
        <w:t>measure provides information that includes the contribution of the interactions between the variable at issue and all the remaining on in any number and combination.</w:t>
      </w:r>
    </w:p>
    <w:p w:rsidR="00850225" w:rsidRPr="00313E82" w:rsidRDefault="00850225" w:rsidP="00B76953">
      <w:pPr>
        <w:ind w:left="709"/>
        <w:rPr>
          <w:rFonts w:eastAsia="Batang"/>
          <w:lang w:val="en-US"/>
        </w:rPr>
      </w:pPr>
      <w:r w:rsidRPr="00313E82">
        <w:rPr>
          <w:rFonts w:eastAsia="Batang"/>
          <w:lang w:val="en-US"/>
        </w:rPr>
        <w:t xml:space="preserve">Generally, both the </w:t>
      </w:r>
      <w:r w:rsidR="0089581E">
        <w:rPr>
          <w:rFonts w:eastAsia="Batang"/>
          <w:lang w:val="en-US"/>
        </w:rPr>
        <w:t>u</w:t>
      </w:r>
      <w:r w:rsidR="0089581E" w:rsidRPr="00313E82">
        <w:rPr>
          <w:rFonts w:eastAsia="Batang"/>
          <w:lang w:val="en-US"/>
        </w:rPr>
        <w:t xml:space="preserve">niform </w:t>
      </w:r>
      <w:r w:rsidRPr="00313E82">
        <w:rPr>
          <w:rFonts w:eastAsia="Batang"/>
          <w:lang w:val="en-US"/>
        </w:rPr>
        <w:t xml:space="preserve">changes and </w:t>
      </w:r>
      <w:r w:rsidR="0089581E">
        <w:rPr>
          <w:rFonts w:eastAsia="Batang"/>
          <w:lang w:val="en-US"/>
        </w:rPr>
        <w:t>u</w:t>
      </w:r>
      <w:r w:rsidR="0089581E" w:rsidRPr="00313E82">
        <w:rPr>
          <w:rFonts w:eastAsia="Batang"/>
          <w:lang w:val="en-US"/>
        </w:rPr>
        <w:t xml:space="preserve">niform </w:t>
      </w:r>
      <w:r w:rsidR="0089581E">
        <w:rPr>
          <w:rFonts w:eastAsia="Batang"/>
          <w:lang w:val="en-US"/>
        </w:rPr>
        <w:t>p</w:t>
      </w:r>
      <w:r w:rsidR="0089581E" w:rsidRPr="00313E82">
        <w:rPr>
          <w:rFonts w:eastAsia="Batang"/>
          <w:lang w:val="en-US"/>
        </w:rPr>
        <w:t xml:space="preserve">ercentage </w:t>
      </w:r>
      <w:r w:rsidRPr="00313E82">
        <w:rPr>
          <w:rFonts w:eastAsia="Batang"/>
          <w:lang w:val="en-US"/>
        </w:rPr>
        <w:t>changes assumptions can be adopted. The second one shall be adopted if the parameters have not the same measure unit.</w:t>
      </w:r>
    </w:p>
    <w:p w:rsidR="00850225" w:rsidRPr="00313E82" w:rsidRDefault="00850225">
      <w:pPr>
        <w:rPr>
          <w:rFonts w:eastAsia="Batang"/>
          <w:u w:val="single"/>
          <w:lang w:val="en-US"/>
        </w:rPr>
      </w:pPr>
      <w:r w:rsidRPr="00313E82">
        <w:rPr>
          <w:rFonts w:eastAsia="Batang"/>
          <w:u w:val="single"/>
          <w:lang w:val="en-US"/>
        </w:rPr>
        <w:t>Reliability and Consistency:</w:t>
      </w:r>
    </w:p>
    <w:p w:rsidR="00850225" w:rsidRPr="00313E82" w:rsidRDefault="00850225" w:rsidP="00B76953">
      <w:pPr>
        <w:ind w:left="709"/>
        <w:rPr>
          <w:rFonts w:eastAsia="Batang"/>
          <w:lang w:val="en-US"/>
        </w:rPr>
      </w:pPr>
      <w:r w:rsidRPr="00313E82">
        <w:rPr>
          <w:rFonts w:eastAsia="Batang"/>
          <w:lang w:val="en-US"/>
        </w:rPr>
        <w:t xml:space="preserve">The basic philosophy and the mathematical formulas are consistent, as well as the relations with the other Importance measures, specifically with the traditional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measures (for the </w:t>
      </w:r>
      <w:r w:rsidR="0089581E">
        <w:rPr>
          <w:rFonts w:eastAsia="Batang"/>
          <w:lang w:val="en-US"/>
        </w:rPr>
        <w:t>f</w:t>
      </w:r>
      <w:r w:rsidR="0089581E" w:rsidRPr="00313E82">
        <w:rPr>
          <w:rFonts w:eastAsia="Batang"/>
          <w:lang w:val="en-US"/>
        </w:rPr>
        <w:t xml:space="preserve">irst </w:t>
      </w:r>
      <w:r w:rsidRPr="00313E82">
        <w:rPr>
          <w:rFonts w:eastAsia="Batang"/>
          <w:lang w:val="en-US"/>
        </w:rPr>
        <w:t xml:space="preserve">order </w:t>
      </w:r>
      <w:r w:rsidR="0089581E">
        <w:rPr>
          <w:rFonts w:eastAsia="Batang"/>
          <w:lang w:val="en-US"/>
        </w:rPr>
        <w:t>d</w:t>
      </w:r>
      <w:r w:rsidR="0089581E" w:rsidRPr="00313E82">
        <w:rPr>
          <w:rFonts w:eastAsia="Batang"/>
          <w:lang w:val="en-US"/>
        </w:rPr>
        <w:t xml:space="preserve">ifferential </w:t>
      </w:r>
      <w:r w:rsidRPr="00313E82">
        <w:rPr>
          <w:rFonts w:eastAsia="Batang"/>
          <w:lang w:val="en-US"/>
        </w:rPr>
        <w:t xml:space="preserve">measure) and with the </w:t>
      </w:r>
      <w:r w:rsidR="0089581E">
        <w:rPr>
          <w:rFonts w:eastAsia="Batang"/>
          <w:lang w:val="en-US"/>
        </w:rPr>
        <w:t>f</w:t>
      </w:r>
      <w:r w:rsidR="0089581E" w:rsidRPr="00313E82">
        <w:rPr>
          <w:rFonts w:eastAsia="Batang"/>
          <w:lang w:val="en-US"/>
        </w:rPr>
        <w:t xml:space="preserve">inite </w:t>
      </w:r>
      <w:r w:rsidRPr="00313E82">
        <w:rPr>
          <w:rFonts w:eastAsia="Batang"/>
          <w:lang w:val="en-US"/>
        </w:rPr>
        <w:t xml:space="preserve">change sensitivity measures (which are based on a comparable framework but starting from a different representation of the model, i.e. HDMR </w:t>
      </w:r>
      <w:r w:rsidR="00EF10E0">
        <w:rPr>
          <w:rFonts w:eastAsia="Batang"/>
          <w:lang w:val="en-US"/>
        </w:rPr>
        <w:t xml:space="preserve">(high dimensional model representation) </w:t>
      </w:r>
      <w:r w:rsidRPr="00313E82">
        <w:rPr>
          <w:rFonts w:eastAsia="Batang"/>
          <w:lang w:val="en-US"/>
        </w:rPr>
        <w:t>instead of Taylor series).</w:t>
      </w:r>
    </w:p>
    <w:p w:rsidR="00850225" w:rsidRPr="00313E82" w:rsidRDefault="00850225">
      <w:pPr>
        <w:rPr>
          <w:rFonts w:eastAsia="Batang"/>
          <w:lang w:val="en-US"/>
        </w:rPr>
      </w:pPr>
      <w:r w:rsidRPr="00313E82">
        <w:rPr>
          <w:rFonts w:eastAsia="Batang"/>
          <w:u w:val="single"/>
          <w:lang w:val="en-US"/>
        </w:rPr>
        <w:t>Risk aggregation properties</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lastRenderedPageBreak/>
        <w:t xml:space="preserve">The </w:t>
      </w:r>
      <w:r w:rsidR="0089581E">
        <w:rPr>
          <w:rFonts w:eastAsia="Batang"/>
          <w:lang w:val="en-US"/>
        </w:rPr>
        <w:t>d</w:t>
      </w:r>
      <w:r w:rsidR="0089581E" w:rsidRPr="00313E82">
        <w:rPr>
          <w:rFonts w:eastAsia="Batang"/>
          <w:lang w:val="en-US"/>
        </w:rPr>
        <w:t xml:space="preserve">ifferential </w:t>
      </w:r>
      <w:r w:rsidR="0089581E">
        <w:rPr>
          <w:rFonts w:eastAsia="Batang"/>
          <w:lang w:val="en-US"/>
        </w:rPr>
        <w:t>i</w:t>
      </w:r>
      <w:r w:rsidR="0089581E" w:rsidRPr="00313E82">
        <w:rPr>
          <w:rFonts w:eastAsia="Batang"/>
          <w:lang w:val="en-US"/>
        </w:rPr>
        <w:t xml:space="preserve">mportance </w:t>
      </w:r>
      <w:r w:rsidR="0089581E">
        <w:rPr>
          <w:rFonts w:eastAsia="Batang"/>
          <w:lang w:val="en-US"/>
        </w:rPr>
        <w:t>m</w:t>
      </w:r>
      <w:r w:rsidR="0089581E" w:rsidRPr="00313E82">
        <w:rPr>
          <w:rFonts w:eastAsia="Batang"/>
          <w:lang w:val="en-US"/>
        </w:rPr>
        <w:t>easures</w:t>
      </w:r>
      <w:r w:rsidRPr="00313E82">
        <w:rPr>
          <w:rFonts w:eastAsia="Batang"/>
          <w:lang w:val="en-US"/>
        </w:rPr>
        <w:t>, being based on a representation of the model output which is a sum of terms depending on an increasing number of variables, are intrinsically additive</w:t>
      </w:r>
      <w:r w:rsidR="0089581E">
        <w:rPr>
          <w:rFonts w:eastAsia="Batang"/>
          <w:lang w:val="en-US"/>
        </w:rPr>
        <w:t xml:space="preserve"> if related to basic events</w:t>
      </w:r>
      <w:r w:rsidRPr="00313E82">
        <w:rPr>
          <w:rFonts w:eastAsia="Batang"/>
          <w:lang w:val="en-US"/>
        </w:rPr>
        <w:t>.</w:t>
      </w:r>
    </w:p>
    <w:p w:rsidR="00850225" w:rsidRPr="00313E82" w:rsidRDefault="00850225" w:rsidP="00B76953">
      <w:pPr>
        <w:ind w:left="709"/>
        <w:rPr>
          <w:rFonts w:eastAsia="Batang"/>
          <w:lang w:val="en-US"/>
        </w:rPr>
      </w:pPr>
      <w:r w:rsidRPr="00313E82">
        <w:rPr>
          <w:rFonts w:eastAsia="Batang"/>
          <w:lang w:val="en-US"/>
        </w:rPr>
        <w:t xml:space="preserve">Rigorously, however, only the DIM is an additive measure: the measure for a group of variables (basic events probability or relevant parameters) is equal to the sum of measures computed for each one of them and can be estimated without additional evaluations of the model. For instance, the DIM for the pair of basic events </w:t>
      </w:r>
      <w:r w:rsidRPr="00313E82">
        <w:rPr>
          <w:rFonts w:eastAsia="Batang"/>
          <w:i/>
          <w:lang w:val="en-US"/>
        </w:rPr>
        <w:t>i</w:t>
      </w:r>
      <w:r w:rsidRPr="00313E82">
        <w:rPr>
          <w:rFonts w:eastAsia="Batang"/>
          <w:lang w:val="en-US"/>
        </w:rPr>
        <w:t xml:space="preserve"> and </w:t>
      </w:r>
      <w:r w:rsidRPr="00313E82">
        <w:rPr>
          <w:rFonts w:eastAsia="Batang"/>
          <w:i/>
          <w:lang w:val="en-US"/>
        </w:rPr>
        <w:t>j</w:t>
      </w:r>
      <w:r w:rsidRPr="00313E82">
        <w:rPr>
          <w:rFonts w:eastAsia="Batang"/>
          <w:lang w:val="en-US"/>
        </w:rPr>
        <w:t xml:space="preserve"> is: </w:t>
      </w:r>
    </w:p>
    <w:p w:rsidR="00850225" w:rsidRPr="00313E82" w:rsidRDefault="0043746A">
      <w:pPr>
        <w:spacing w:before="120" w:after="120"/>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DIM</m:t>
              </m:r>
            </m:e>
            <m:sub>
              <m:r>
                <w:rPr>
                  <w:rFonts w:ascii="Cambria Math" w:eastAsia="Batang" w:hAnsi="Cambria Math"/>
                  <w:lang w:val="en-US"/>
                </w:rPr>
                <m:t>i,j</m:t>
              </m:r>
            </m:sub>
          </m:sSub>
          <m:r>
            <w:rPr>
              <w:rFonts w:ascii="Cambria Math" w:eastAsia="Batang" w:hAnsi="Cambria Math" w:hint="eastAsia"/>
              <w:lang w:val="en-US"/>
            </w:rPr>
            <m:t>=</m:t>
          </m:r>
          <m:f>
            <m:fPr>
              <m:ctrlPr>
                <w:rPr>
                  <w:rFonts w:ascii="Cambria Math" w:eastAsia="Batang" w:hAnsi="Cambria Math"/>
                  <w:i/>
                  <w:lang w:val="en-US"/>
                </w:rPr>
              </m:ctrlPr>
            </m:fPr>
            <m:num>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i</m:t>
                  </m:r>
                </m:sub>
              </m:sSub>
              <m:r>
                <w:rPr>
                  <w:rFonts w:ascii="Cambria Math" w:eastAsia="Batang" w:hAnsi="Cambria Math"/>
                  <w:lang w:val="en-US"/>
                </w:rPr>
                <m:t>+</m:t>
              </m:r>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j</m:t>
                  </m:r>
                </m:sub>
              </m:sSub>
            </m:num>
            <m:den>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ctrlPr>
                        <w:rPr>
                          <w:rFonts w:ascii="Cambria Math" w:eastAsia="Batang" w:hAnsi="Cambria Math" w:cs="Cambria Math"/>
                          <w:i/>
                          <w:lang w:val="en-US"/>
                        </w:rPr>
                      </m:ctrlP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k</m:t>
                          </m:r>
                        </m:sub>
                      </m:sSub>
                    </m:den>
                  </m:f>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k</m:t>
                      </m:r>
                    </m:sub>
                  </m:sSub>
                </m:e>
              </m:nary>
            </m:den>
          </m:f>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DIM</m:t>
              </m:r>
            </m:e>
            <m:sub>
              <m:r>
                <w:rPr>
                  <w:rFonts w:ascii="Cambria Math" w:eastAsia="Batang" w:hAnsi="Cambria Math"/>
                  <w:lang w:val="en-US"/>
                </w:rPr>
                <m:t>i</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DIM</m:t>
              </m:r>
            </m:e>
            <m:sub>
              <m:r>
                <w:rPr>
                  <w:rFonts w:ascii="Cambria Math" w:eastAsia="Batang" w:hAnsi="Cambria Math"/>
                  <w:lang w:val="en-US"/>
                </w:rPr>
                <m:t>j</m:t>
              </m:r>
            </m:sub>
          </m:sSub>
        </m:oMath>
      </m:oMathPara>
    </w:p>
    <w:p w:rsidR="00850225" w:rsidRPr="00313E82" w:rsidRDefault="0089581E" w:rsidP="00B76953">
      <w:pPr>
        <w:ind w:left="709"/>
        <w:rPr>
          <w:rFonts w:eastAsia="Batang"/>
          <w:lang w:val="en-US"/>
        </w:rPr>
      </w:pPr>
      <w:r>
        <w:rPr>
          <w:rFonts w:eastAsia="Batang"/>
          <w:lang w:val="en-US"/>
        </w:rPr>
        <w:t>Conversely</w:t>
      </w:r>
      <w:r w:rsidR="00850225" w:rsidRPr="00313E82">
        <w:rPr>
          <w:rFonts w:eastAsia="Batang"/>
          <w:lang w:val="en-US"/>
        </w:rPr>
        <w:t>, all the higher order measures for a group of variables cannot be estimated as sum of the measures computed for single or subgroups of variables, and requires further computations because new interactions terms are introduced.</w:t>
      </w:r>
    </w:p>
    <w:p w:rsidR="00850225" w:rsidRPr="00313E82" w:rsidRDefault="00850225">
      <w:pPr>
        <w:ind w:left="284" w:hanging="284"/>
        <w:rPr>
          <w:rFonts w:eastAsia="Batang"/>
          <w:lang w:val="en-US"/>
        </w:rPr>
      </w:pPr>
      <w:r w:rsidRPr="00313E82">
        <w:rPr>
          <w:rFonts w:eastAsia="Batang"/>
          <w:u w:val="single"/>
          <w:lang w:val="en-US"/>
        </w:rPr>
        <w:t>Understandability to the PSA community</w:t>
      </w:r>
      <w:r w:rsidRPr="00313E82">
        <w:rPr>
          <w:rFonts w:eastAsia="Batang"/>
          <w:lang w:val="en-US"/>
        </w:rPr>
        <w:t xml:space="preserve">: </w:t>
      </w:r>
    </w:p>
    <w:p w:rsidR="00850225" w:rsidRPr="00313E82" w:rsidRDefault="00850225" w:rsidP="00B76953">
      <w:pPr>
        <w:tabs>
          <w:tab w:val="left" w:pos="3119"/>
        </w:tabs>
        <w:ind w:left="709"/>
        <w:rPr>
          <w:rFonts w:eastAsia="Batang"/>
          <w:lang w:val="en-US"/>
        </w:rPr>
      </w:pPr>
      <w:r w:rsidRPr="00313E82">
        <w:rPr>
          <w:rFonts w:eastAsia="Batang"/>
          <w:lang w:val="en-US"/>
        </w:rPr>
        <w:t xml:space="preserve">The interpretation of the ranking provided by the DIM is substantially the same of the risk-significance traditional </w:t>
      </w:r>
      <w:r w:rsidR="0089581E">
        <w:rPr>
          <w:rFonts w:eastAsia="Batang"/>
          <w:lang w:val="en-US"/>
        </w:rPr>
        <w:t>i</w:t>
      </w:r>
      <w:r w:rsidR="0089581E" w:rsidRPr="00313E82">
        <w:rPr>
          <w:rFonts w:eastAsia="Batang"/>
          <w:lang w:val="en-US"/>
        </w:rPr>
        <w:t xml:space="preserve">mportance </w:t>
      </w:r>
      <w:r w:rsidRPr="00313E82">
        <w:rPr>
          <w:rFonts w:eastAsia="Batang"/>
          <w:lang w:val="en-US"/>
        </w:rPr>
        <w:t xml:space="preserve">measures. The ranking produced by the </w:t>
      </w:r>
      <w:r w:rsidR="009032A4">
        <w:rPr>
          <w:rFonts w:eastAsia="Batang"/>
          <w:lang w:val="en-US"/>
        </w:rPr>
        <w:t>t</w:t>
      </w:r>
      <w:r w:rsidR="009032A4" w:rsidRPr="00313E82">
        <w:rPr>
          <w:rFonts w:eastAsia="Batang"/>
          <w:lang w:val="en-US"/>
        </w:rPr>
        <w:t xml:space="preserve">otal </w:t>
      </w:r>
      <w:r w:rsidRPr="00313E82">
        <w:rPr>
          <w:rFonts w:eastAsia="Batang"/>
          <w:lang w:val="en-US"/>
        </w:rPr>
        <w:t xml:space="preserve">order </w:t>
      </w:r>
      <w:r w:rsidR="009032A4">
        <w:rPr>
          <w:rFonts w:eastAsia="Batang"/>
          <w:lang w:val="en-US"/>
        </w:rPr>
        <w:t>d</w:t>
      </w:r>
      <w:r w:rsidR="009032A4" w:rsidRPr="00313E82">
        <w:rPr>
          <w:rFonts w:eastAsia="Batang"/>
          <w:lang w:val="en-US"/>
        </w:rPr>
        <w:t xml:space="preserve">ifferential </w:t>
      </w:r>
      <w:r w:rsidRPr="00313E82">
        <w:rPr>
          <w:rFonts w:eastAsia="Batang"/>
          <w:lang w:val="en-US"/>
        </w:rPr>
        <w:t>importance measures, which includes the effects of the interactions among the variables, provides different information. Its correct interpretation requires the understanding of the whole framework.</w:t>
      </w:r>
    </w:p>
    <w:p w:rsidR="00850225" w:rsidRPr="00C94556" w:rsidRDefault="00850225" w:rsidP="00B76953">
      <w:pPr>
        <w:ind w:left="709"/>
        <w:rPr>
          <w:rFonts w:cs="Arial"/>
          <w:szCs w:val="18"/>
          <w:lang w:val="en-US" w:eastAsia="it-IT"/>
        </w:rPr>
      </w:pPr>
      <w:r w:rsidRPr="00C94556">
        <w:rPr>
          <w:rFonts w:cs="Arial"/>
          <w:szCs w:val="18"/>
          <w:lang w:val="en-US" w:eastAsia="it-IT"/>
        </w:rPr>
        <w:t xml:space="preserve">The knowledge of the </w:t>
      </w:r>
      <w:r w:rsidR="009032A4">
        <w:rPr>
          <w:rFonts w:cs="Arial"/>
          <w:szCs w:val="18"/>
          <w:lang w:val="en-US" w:eastAsia="it-IT"/>
        </w:rPr>
        <w:t>f</w:t>
      </w:r>
      <w:r w:rsidR="009032A4" w:rsidRPr="00C94556">
        <w:rPr>
          <w:rFonts w:cs="Arial"/>
          <w:szCs w:val="18"/>
          <w:lang w:val="en-US" w:eastAsia="it-IT"/>
        </w:rPr>
        <w:t xml:space="preserve">irst </w:t>
      </w:r>
      <w:r w:rsidRPr="00C94556">
        <w:rPr>
          <w:rFonts w:cs="Arial"/>
          <w:szCs w:val="18"/>
          <w:lang w:val="en-US" w:eastAsia="it-IT"/>
        </w:rPr>
        <w:t xml:space="preserve">and </w:t>
      </w:r>
      <w:r w:rsidR="009032A4">
        <w:rPr>
          <w:rFonts w:cs="Arial"/>
          <w:szCs w:val="18"/>
          <w:lang w:val="en-US" w:eastAsia="it-IT"/>
        </w:rPr>
        <w:t>t</w:t>
      </w:r>
      <w:r w:rsidR="009032A4" w:rsidRPr="00C94556">
        <w:rPr>
          <w:rFonts w:cs="Arial"/>
          <w:szCs w:val="18"/>
          <w:lang w:val="en-US" w:eastAsia="it-IT"/>
        </w:rPr>
        <w:t xml:space="preserve">otal </w:t>
      </w:r>
      <w:r w:rsidRPr="00C94556">
        <w:rPr>
          <w:rFonts w:cs="Arial"/>
          <w:szCs w:val="18"/>
          <w:lang w:val="en-US" w:eastAsia="it-IT"/>
        </w:rPr>
        <w:t xml:space="preserve">order measures provides information on the local and global significance of each input variable (i.e. with reference to the nominal point value and to the whole range of variability) and on the whole effects of its interactions with the remaining variables, in any number and combination. It </w:t>
      </w:r>
      <w:r w:rsidR="00E51FAE">
        <w:rPr>
          <w:rFonts w:cs="Arial"/>
          <w:szCs w:val="18"/>
          <w:lang w:val="en-US" w:eastAsia="it-IT"/>
        </w:rPr>
        <w:t>should</w:t>
      </w:r>
      <w:r w:rsidR="00E51FAE" w:rsidRPr="00C94556">
        <w:rPr>
          <w:rFonts w:cs="Arial"/>
          <w:szCs w:val="18"/>
          <w:lang w:val="en-US" w:eastAsia="it-IT"/>
        </w:rPr>
        <w:t xml:space="preserve"> </w:t>
      </w:r>
      <w:r w:rsidRPr="00C94556">
        <w:rPr>
          <w:rFonts w:cs="Arial"/>
          <w:szCs w:val="18"/>
          <w:lang w:val="en-US" w:eastAsia="it-IT"/>
        </w:rPr>
        <w:t xml:space="preserve">be </w:t>
      </w:r>
      <w:r w:rsidR="00E51FAE">
        <w:rPr>
          <w:rFonts w:cs="Arial"/>
          <w:szCs w:val="18"/>
          <w:lang w:val="en-US" w:eastAsia="it-IT"/>
        </w:rPr>
        <w:t>sufficient for</w:t>
      </w:r>
      <w:r w:rsidRPr="00C94556">
        <w:rPr>
          <w:rFonts w:cs="Arial"/>
          <w:szCs w:val="18"/>
          <w:lang w:val="en-US" w:eastAsia="it-IT"/>
        </w:rPr>
        <w:t xml:space="preserve"> PSA </w:t>
      </w:r>
      <w:r w:rsidRPr="00313E82">
        <w:rPr>
          <w:rFonts w:eastAsia="Batang"/>
          <w:lang w:val="en-US"/>
        </w:rPr>
        <w:t>applications</w:t>
      </w:r>
      <w:r w:rsidRPr="00C94556">
        <w:rPr>
          <w:rFonts w:cs="Arial"/>
          <w:szCs w:val="18"/>
          <w:lang w:val="en-US" w:eastAsia="it-IT"/>
        </w:rPr>
        <w:t>.</w:t>
      </w:r>
    </w:p>
    <w:p w:rsidR="00850225" w:rsidRPr="00313E82" w:rsidRDefault="00850225" w:rsidP="00B76953">
      <w:pPr>
        <w:ind w:left="709"/>
        <w:rPr>
          <w:rFonts w:eastAsia="Batang"/>
          <w:lang w:val="en-US"/>
        </w:rPr>
      </w:pPr>
      <w:r w:rsidRPr="00313E82">
        <w:rPr>
          <w:rFonts w:eastAsia="Batang"/>
          <w:lang w:val="en-US"/>
        </w:rPr>
        <w:t xml:space="preserve">The estimation of all </w:t>
      </w:r>
      <w:r w:rsidR="00E51FAE">
        <w:rPr>
          <w:rFonts w:eastAsia="Batang"/>
          <w:lang w:val="en-US"/>
        </w:rPr>
        <w:t>j</w:t>
      </w:r>
      <w:r w:rsidR="00E51FAE" w:rsidRPr="00313E82">
        <w:rPr>
          <w:rFonts w:eastAsia="Batang"/>
          <w:lang w:val="en-US"/>
        </w:rPr>
        <w:t xml:space="preserve">oint </w:t>
      </w:r>
      <w:r w:rsidR="00E51FAE">
        <w:rPr>
          <w:rFonts w:eastAsia="Batang"/>
          <w:lang w:val="en-US"/>
        </w:rPr>
        <w:t>i</w:t>
      </w:r>
      <w:r w:rsidR="00E51FAE" w:rsidRPr="00313E82">
        <w:rPr>
          <w:rFonts w:eastAsia="Batang"/>
          <w:lang w:val="en-US"/>
        </w:rPr>
        <w:t>mportance</w:t>
      </w:r>
      <w:r w:rsidR="00E51FAE">
        <w:rPr>
          <w:rFonts w:eastAsia="Batang"/>
          <w:lang w:val="en-US"/>
        </w:rPr>
        <w:t xml:space="preserve"> measures</w:t>
      </w:r>
      <w:r w:rsidR="00E51FAE" w:rsidRPr="00313E82">
        <w:rPr>
          <w:rFonts w:eastAsia="Batang"/>
          <w:lang w:val="en-US"/>
        </w:rPr>
        <w:t xml:space="preserve"> </w:t>
      </w:r>
      <w:r w:rsidRPr="00313E82">
        <w:rPr>
          <w:rFonts w:eastAsia="Batang"/>
          <w:lang w:val="en-US"/>
        </w:rPr>
        <w:t xml:space="preserve">of k-order – if possible </w:t>
      </w:r>
      <w:r w:rsidR="00E51FAE">
        <w:rPr>
          <w:rFonts w:eastAsia="Batang"/>
          <w:lang w:val="en-US"/>
        </w:rPr>
        <w:t>de</w:t>
      </w:r>
      <w:r w:rsidRPr="00313E82">
        <w:rPr>
          <w:rFonts w:eastAsia="Batang"/>
          <w:lang w:val="en-US"/>
        </w:rPr>
        <w:t>spite the required effort - provide</w:t>
      </w:r>
      <w:r w:rsidR="00E51FAE">
        <w:rPr>
          <w:rFonts w:eastAsia="Batang"/>
          <w:lang w:val="en-US"/>
        </w:rPr>
        <w:t>s</w:t>
      </w:r>
      <w:r w:rsidRPr="00313E82">
        <w:rPr>
          <w:rFonts w:eastAsia="Batang"/>
          <w:lang w:val="en-US"/>
        </w:rPr>
        <w:t xml:space="preserve"> an abundance of information which may be difficult to interpret. </w:t>
      </w:r>
      <w:r w:rsidR="00E51FAE">
        <w:rPr>
          <w:rFonts w:eastAsia="Batang"/>
          <w:lang w:val="en-US"/>
        </w:rPr>
        <w:t>Alternatively</w:t>
      </w:r>
      <w:r w:rsidRPr="00313E82">
        <w:rPr>
          <w:rFonts w:eastAsia="Batang"/>
          <w:lang w:val="en-US"/>
        </w:rPr>
        <w:t xml:space="preserve">, they could be computed just for a reduced number of (groups of) variables suspected to have significant interactions with the other ones (e.g. having a significant </w:t>
      </w:r>
      <w:r w:rsidR="00E51FAE">
        <w:rPr>
          <w:rFonts w:eastAsia="Batang"/>
          <w:lang w:val="en-US"/>
        </w:rPr>
        <w:t>t</w:t>
      </w:r>
      <w:r w:rsidRPr="00313E82">
        <w:rPr>
          <w:rFonts w:eastAsia="Batang"/>
          <w:lang w:val="en-US"/>
        </w:rPr>
        <w:t xml:space="preserve">otal order </w:t>
      </w:r>
      <w:r w:rsidR="00E51FAE">
        <w:rPr>
          <w:rFonts w:eastAsia="Batang"/>
          <w:lang w:val="en-US"/>
        </w:rPr>
        <w:t>d</w:t>
      </w:r>
      <w:r w:rsidR="00E51FAE" w:rsidRPr="00313E82">
        <w:rPr>
          <w:rFonts w:eastAsia="Batang"/>
          <w:lang w:val="en-US"/>
        </w:rPr>
        <w:t xml:space="preserve">ifferential </w:t>
      </w:r>
      <w:r w:rsidR="00E51FAE">
        <w:rPr>
          <w:rFonts w:eastAsia="Batang"/>
          <w:lang w:val="en-US"/>
        </w:rPr>
        <w:t>i</w:t>
      </w:r>
      <w:r w:rsidR="00E51FAE" w:rsidRPr="00313E82">
        <w:rPr>
          <w:rFonts w:eastAsia="Batang"/>
          <w:lang w:val="en-US"/>
        </w:rPr>
        <w:t xml:space="preserve">mportance </w:t>
      </w:r>
      <w:r w:rsidRPr="00313E82">
        <w:rPr>
          <w:rFonts w:eastAsia="Batang"/>
          <w:lang w:val="en-US"/>
        </w:rPr>
        <w:t>measures although DIM is not so relevant), as second-level of investigation.</w:t>
      </w:r>
    </w:p>
    <w:p w:rsidR="00850225" w:rsidRPr="00313E82" w:rsidRDefault="00850225" w:rsidP="00C94556">
      <w:pPr>
        <w:pStyle w:val="Titre3"/>
        <w:rPr>
          <w:rFonts w:eastAsia="Batang"/>
          <w:lang w:val="en-US"/>
        </w:rPr>
      </w:pPr>
      <w:bookmarkStart w:id="125" w:name="_Toc474430143"/>
      <w:r w:rsidRPr="00313E82">
        <w:rPr>
          <w:rFonts w:eastAsia="Batang"/>
          <w:lang w:val="en-US"/>
        </w:rPr>
        <w:t>Limitation</w:t>
      </w:r>
      <w:bookmarkEnd w:id="125"/>
    </w:p>
    <w:p w:rsidR="00850225" w:rsidRPr="00C94556" w:rsidRDefault="00850225">
      <w:pPr>
        <w:rPr>
          <w:rFonts w:cs="Arial"/>
          <w:szCs w:val="18"/>
          <w:lang w:val="en-US" w:eastAsia="it-IT"/>
        </w:rPr>
      </w:pPr>
      <w:r w:rsidRPr="00C94556">
        <w:rPr>
          <w:rFonts w:cs="Arial"/>
          <w:szCs w:val="18"/>
          <w:lang w:val="en-US" w:eastAsia="it-IT"/>
        </w:rPr>
        <w:t xml:space="preserve">The DIM, as well as the traditional </w:t>
      </w:r>
      <w:r w:rsidR="00E51FAE">
        <w:rPr>
          <w:rFonts w:cs="Arial"/>
          <w:szCs w:val="18"/>
          <w:lang w:val="en-US" w:eastAsia="it-IT"/>
        </w:rPr>
        <w:t>i</w:t>
      </w:r>
      <w:r w:rsidR="00E51FAE" w:rsidRPr="00C94556">
        <w:rPr>
          <w:rFonts w:cs="Arial"/>
          <w:szCs w:val="18"/>
          <w:lang w:val="en-US" w:eastAsia="it-IT"/>
        </w:rPr>
        <w:t xml:space="preserve">mportance </w:t>
      </w:r>
      <w:r w:rsidRPr="00C94556">
        <w:rPr>
          <w:rFonts w:cs="Arial"/>
          <w:szCs w:val="18"/>
          <w:lang w:val="en-US" w:eastAsia="it-IT"/>
        </w:rPr>
        <w:t xml:space="preserve">measures, is a “local” </w:t>
      </w:r>
      <w:r w:rsidR="00E51FAE">
        <w:rPr>
          <w:rFonts w:cs="Arial"/>
          <w:szCs w:val="18"/>
          <w:lang w:val="en-US" w:eastAsia="it-IT"/>
        </w:rPr>
        <w:t>i</w:t>
      </w:r>
      <w:r w:rsidR="00E51FAE" w:rsidRPr="00C94556">
        <w:rPr>
          <w:rFonts w:cs="Arial"/>
          <w:szCs w:val="18"/>
          <w:lang w:val="en-US" w:eastAsia="it-IT"/>
        </w:rPr>
        <w:t xml:space="preserve">mportance </w:t>
      </w:r>
      <w:r w:rsidRPr="00C94556">
        <w:rPr>
          <w:rFonts w:cs="Arial"/>
          <w:szCs w:val="18"/>
          <w:lang w:val="en-US" w:eastAsia="it-IT"/>
        </w:rPr>
        <w:t xml:space="preserve">measure, dealing with point values and “small” changes of the input variables. It cannot be used in order to account for their finite changes or, in this case, they do not </w:t>
      </w:r>
      <w:r w:rsidRPr="00313E82">
        <w:rPr>
          <w:rFonts w:eastAsia="Batang"/>
          <w:lang w:val="en-US"/>
        </w:rPr>
        <w:t>include</w:t>
      </w:r>
      <w:r w:rsidRPr="00C94556">
        <w:rPr>
          <w:rFonts w:cs="Arial"/>
          <w:szCs w:val="18"/>
          <w:lang w:val="en-US" w:eastAsia="it-IT"/>
        </w:rPr>
        <w:t xml:space="preserve"> the contributions of non-linear terms.</w:t>
      </w:r>
    </w:p>
    <w:p w:rsidR="00850225" w:rsidRPr="00C94556" w:rsidRDefault="00850225">
      <w:pPr>
        <w:rPr>
          <w:rFonts w:cs="Arial"/>
          <w:szCs w:val="18"/>
          <w:lang w:val="en-US" w:eastAsia="it-IT"/>
        </w:rPr>
      </w:pPr>
      <w:r w:rsidRPr="00C94556">
        <w:rPr>
          <w:rFonts w:cs="Arial"/>
          <w:szCs w:val="18"/>
          <w:lang w:val="en-US" w:eastAsia="it-IT"/>
        </w:rPr>
        <w:t>Without</w:t>
      </w:r>
      <w:r w:rsidRPr="00C94556">
        <w:rPr>
          <w:rFonts w:cs="Arial"/>
          <w:szCs w:val="18"/>
          <w:lang w:val="en-US"/>
        </w:rPr>
        <w:t xml:space="preserve"> looking at computational cost, a brute force approach could be applied in order to compute all </w:t>
      </w:r>
      <w:r w:rsidR="00E51FAE">
        <w:rPr>
          <w:rFonts w:cs="Arial"/>
          <w:szCs w:val="18"/>
          <w:lang w:val="en-US"/>
        </w:rPr>
        <w:t>j</w:t>
      </w:r>
      <w:r w:rsidR="00E51FAE" w:rsidRPr="00C94556">
        <w:rPr>
          <w:rFonts w:cs="Arial"/>
          <w:szCs w:val="18"/>
          <w:lang w:val="en-US"/>
        </w:rPr>
        <w:t xml:space="preserve">oint </w:t>
      </w:r>
      <w:r w:rsidR="00E51FAE">
        <w:rPr>
          <w:rFonts w:cs="Arial"/>
          <w:szCs w:val="18"/>
          <w:lang w:val="en-US"/>
        </w:rPr>
        <w:t>i</w:t>
      </w:r>
      <w:r w:rsidR="00E51FAE" w:rsidRPr="00C94556">
        <w:rPr>
          <w:rFonts w:cs="Arial"/>
          <w:szCs w:val="18"/>
          <w:lang w:val="en-US"/>
        </w:rPr>
        <w:t xml:space="preserve">mportance </w:t>
      </w:r>
      <w:r w:rsidR="00E51FAE">
        <w:rPr>
          <w:rFonts w:cs="Arial"/>
          <w:szCs w:val="18"/>
          <w:lang w:val="en-US"/>
        </w:rPr>
        <w:t>m</w:t>
      </w:r>
      <w:r w:rsidR="00E51FAE" w:rsidRPr="00C94556">
        <w:rPr>
          <w:rFonts w:cs="Arial"/>
          <w:szCs w:val="18"/>
          <w:lang w:val="en-US"/>
        </w:rPr>
        <w:t xml:space="preserve">easures </w:t>
      </w:r>
      <w:r w:rsidRPr="00C94556">
        <w:rPr>
          <w:rFonts w:cs="Arial"/>
          <w:szCs w:val="18"/>
          <w:lang w:val="en-US"/>
        </w:rPr>
        <w:t xml:space="preserve">and </w:t>
      </w:r>
      <w:r w:rsidR="00E51FAE">
        <w:rPr>
          <w:rFonts w:cs="Arial"/>
          <w:szCs w:val="18"/>
          <w:lang w:val="en-US"/>
        </w:rPr>
        <w:t xml:space="preserve">with </w:t>
      </w:r>
      <w:r w:rsidRPr="00C94556">
        <w:rPr>
          <w:rFonts w:cs="Arial"/>
          <w:szCs w:val="18"/>
          <w:lang w:val="en-US"/>
        </w:rPr>
        <w:t xml:space="preserve">them all terms within the </w:t>
      </w:r>
      <w:r w:rsidR="00E51FAE">
        <w:rPr>
          <w:rFonts w:cs="Arial"/>
          <w:szCs w:val="18"/>
          <w:lang w:val="en-US"/>
        </w:rPr>
        <w:t>t</w:t>
      </w:r>
      <w:r w:rsidR="00E51FAE" w:rsidRPr="00C94556">
        <w:rPr>
          <w:rFonts w:cs="Arial"/>
          <w:szCs w:val="18"/>
          <w:lang w:val="en-US"/>
        </w:rPr>
        <w:t xml:space="preserve">otal </w:t>
      </w:r>
      <w:r w:rsidRPr="00C94556">
        <w:rPr>
          <w:rFonts w:cs="Arial"/>
          <w:szCs w:val="18"/>
          <w:lang w:val="en-US"/>
        </w:rPr>
        <w:t xml:space="preserve">order </w:t>
      </w:r>
      <w:r w:rsidR="00E51FAE">
        <w:rPr>
          <w:rFonts w:cs="Arial"/>
          <w:szCs w:val="18"/>
          <w:lang w:val="en-US"/>
        </w:rPr>
        <w:t>d</w:t>
      </w:r>
      <w:r w:rsidR="00E51FAE" w:rsidRPr="00C94556">
        <w:rPr>
          <w:rFonts w:cs="Arial"/>
          <w:szCs w:val="18"/>
          <w:lang w:val="en-US"/>
        </w:rPr>
        <w:t xml:space="preserve">ifferential </w:t>
      </w:r>
      <w:r w:rsidR="00E51FAE">
        <w:rPr>
          <w:rFonts w:cs="Arial"/>
          <w:szCs w:val="18"/>
          <w:lang w:val="en-US"/>
        </w:rPr>
        <w:t>i</w:t>
      </w:r>
      <w:r w:rsidR="00E51FAE" w:rsidRPr="00C94556">
        <w:rPr>
          <w:rFonts w:cs="Arial"/>
          <w:szCs w:val="18"/>
          <w:lang w:val="en-US"/>
        </w:rPr>
        <w:t xml:space="preserve">mportance </w:t>
      </w:r>
      <w:r w:rsidRPr="00C94556">
        <w:rPr>
          <w:rFonts w:cs="Arial"/>
          <w:szCs w:val="18"/>
          <w:lang w:val="en-US"/>
        </w:rPr>
        <w:t xml:space="preserve">measure. </w:t>
      </w:r>
      <w:r w:rsidR="00E51FAE">
        <w:rPr>
          <w:rFonts w:cs="Arial"/>
          <w:szCs w:val="18"/>
          <w:lang w:val="en-US"/>
        </w:rPr>
        <w:t>For PSA models of a realistic size</w:t>
      </w:r>
      <w:r w:rsidRPr="00C94556">
        <w:rPr>
          <w:rFonts w:cs="Arial"/>
          <w:szCs w:val="18"/>
          <w:lang w:val="en-US"/>
        </w:rPr>
        <w:t xml:space="preserve">, the relevant </w:t>
      </w:r>
      <w:r w:rsidRPr="00C94556">
        <w:rPr>
          <w:rFonts w:cs="Arial"/>
          <w:szCs w:val="18"/>
          <w:lang w:val="en-US" w:eastAsia="it-IT"/>
        </w:rPr>
        <w:t xml:space="preserve">computational effort for </w:t>
      </w:r>
      <w:r w:rsidRPr="00C94556">
        <w:rPr>
          <w:rFonts w:cs="Arial"/>
          <w:szCs w:val="18"/>
          <w:lang w:val="en-US"/>
        </w:rPr>
        <w:t>PSA applications</w:t>
      </w:r>
      <w:r w:rsidRPr="00C94556">
        <w:rPr>
          <w:rFonts w:cs="Arial"/>
          <w:szCs w:val="18"/>
          <w:lang w:val="en-US" w:eastAsia="it-IT"/>
        </w:rPr>
        <w:t xml:space="preserve"> is</w:t>
      </w:r>
      <w:r w:rsidRPr="00C94556">
        <w:rPr>
          <w:rFonts w:cs="Arial"/>
          <w:szCs w:val="18"/>
          <w:lang w:val="en-US"/>
        </w:rPr>
        <w:t xml:space="preserve"> t</w:t>
      </w:r>
      <w:r w:rsidRPr="00C94556">
        <w:rPr>
          <w:szCs w:val="18"/>
          <w:lang w:val="en-US"/>
        </w:rPr>
        <w:t>o</w:t>
      </w:r>
      <w:r w:rsidRPr="00C94556">
        <w:rPr>
          <w:rFonts w:cs="Arial"/>
          <w:szCs w:val="18"/>
          <w:lang w:val="en-US"/>
        </w:rPr>
        <w:t xml:space="preserve">o onerous. In fact, the </w:t>
      </w:r>
      <w:r w:rsidRPr="00C94556">
        <w:rPr>
          <w:rFonts w:cs="Arial"/>
          <w:szCs w:val="18"/>
          <w:lang w:val="en-US" w:eastAsia="it-IT"/>
        </w:rPr>
        <w:t xml:space="preserve">first and higher order partial derivatives of the </w:t>
      </w:r>
      <w:r w:rsidR="00E51FAE">
        <w:rPr>
          <w:rFonts w:cs="Arial"/>
          <w:szCs w:val="18"/>
          <w:lang w:val="en-US" w:eastAsia="it-IT"/>
        </w:rPr>
        <w:t>direct</w:t>
      </w:r>
      <w:r w:rsidR="00E51FAE" w:rsidRPr="00C94556">
        <w:rPr>
          <w:rFonts w:cs="Arial"/>
          <w:szCs w:val="18"/>
          <w:lang w:val="en-US" w:eastAsia="it-IT"/>
        </w:rPr>
        <w:t xml:space="preserve"> </w:t>
      </w:r>
      <w:r w:rsidRPr="00C94556">
        <w:rPr>
          <w:rFonts w:cs="Arial"/>
          <w:szCs w:val="18"/>
          <w:lang w:val="en-US" w:eastAsia="it-IT"/>
        </w:rPr>
        <w:t xml:space="preserve">risk measure with respect to all combinations of the input variables have to be computed. </w:t>
      </w:r>
      <w:r w:rsidR="00E51FAE">
        <w:rPr>
          <w:rFonts w:cs="Arial"/>
          <w:szCs w:val="18"/>
          <w:lang w:val="en-US" w:eastAsia="it-IT"/>
        </w:rPr>
        <w:t xml:space="preserve">Even if the differential importance measures are applied for truncated cut set </w:t>
      </w:r>
      <w:r w:rsidR="00E51FAE">
        <w:rPr>
          <w:rFonts w:cs="Arial"/>
          <w:szCs w:val="18"/>
          <w:lang w:val="en-US" w:eastAsia="it-IT"/>
        </w:rPr>
        <w:lastRenderedPageBreak/>
        <w:t xml:space="preserve">lists, the resulting combinatorics are prohibitive for current PSA codes. </w:t>
      </w:r>
      <w:r w:rsidRPr="00C94556">
        <w:rPr>
          <w:rFonts w:cs="Arial"/>
          <w:szCs w:val="18"/>
          <w:lang w:val="en-US" w:eastAsia="it-IT"/>
        </w:rPr>
        <w:t xml:space="preserve">The effort increases if the measures refer to the parameters of the model. </w:t>
      </w:r>
    </w:p>
    <w:p w:rsidR="00850225" w:rsidRPr="00C94556" w:rsidRDefault="00850225">
      <w:pPr>
        <w:rPr>
          <w:rFonts w:cs="Arial"/>
          <w:szCs w:val="18"/>
          <w:lang w:val="en-US" w:eastAsia="it-IT"/>
        </w:rPr>
      </w:pPr>
      <w:r w:rsidRPr="00C94556">
        <w:rPr>
          <w:rFonts w:cs="Arial"/>
          <w:szCs w:val="18"/>
          <w:lang w:val="en-US" w:eastAsia="it-IT"/>
        </w:rPr>
        <w:t xml:space="preserve">The effort required to compute </w:t>
      </w:r>
      <w:r w:rsidRPr="00C94556">
        <w:rPr>
          <w:rFonts w:cs="Arial"/>
          <w:szCs w:val="18"/>
          <w:lang w:val="en-US"/>
        </w:rPr>
        <w:t xml:space="preserve">the </w:t>
      </w:r>
      <w:r w:rsidR="00E51FAE">
        <w:rPr>
          <w:rFonts w:cs="Arial"/>
          <w:szCs w:val="18"/>
          <w:lang w:val="en-US"/>
        </w:rPr>
        <w:t>t</w:t>
      </w:r>
      <w:r w:rsidR="00E51FAE" w:rsidRPr="00C94556">
        <w:rPr>
          <w:rFonts w:cs="Arial"/>
          <w:szCs w:val="18"/>
          <w:lang w:val="en-US"/>
        </w:rPr>
        <w:t xml:space="preserve">otal </w:t>
      </w:r>
      <w:r w:rsidR="00E51FAE">
        <w:rPr>
          <w:rFonts w:cs="Arial"/>
          <w:szCs w:val="18"/>
          <w:lang w:val="en-US"/>
        </w:rPr>
        <w:t>o</w:t>
      </w:r>
      <w:r w:rsidR="00E51FAE" w:rsidRPr="00C94556">
        <w:rPr>
          <w:rFonts w:cs="Arial"/>
          <w:szCs w:val="18"/>
          <w:lang w:val="en-US"/>
        </w:rPr>
        <w:t xml:space="preserve">rder </w:t>
      </w:r>
      <w:r w:rsidR="00E51FAE">
        <w:rPr>
          <w:rFonts w:cs="Arial"/>
          <w:szCs w:val="18"/>
          <w:lang w:val="en-US"/>
        </w:rPr>
        <w:t>d</w:t>
      </w:r>
      <w:r w:rsidR="00E51FAE" w:rsidRPr="00C94556">
        <w:rPr>
          <w:rFonts w:cs="Arial"/>
          <w:szCs w:val="18"/>
          <w:lang w:val="en-US"/>
        </w:rPr>
        <w:t xml:space="preserve">ifferential </w:t>
      </w:r>
      <w:r w:rsidR="00E51FAE">
        <w:rPr>
          <w:rFonts w:cs="Arial"/>
          <w:szCs w:val="18"/>
          <w:lang w:val="en-US"/>
        </w:rPr>
        <w:t>i</w:t>
      </w:r>
      <w:r w:rsidR="00E51FAE" w:rsidRPr="00C94556">
        <w:rPr>
          <w:rFonts w:cs="Arial"/>
          <w:szCs w:val="18"/>
          <w:lang w:val="en-US"/>
        </w:rPr>
        <w:t xml:space="preserve">mportance </w:t>
      </w:r>
      <w:r w:rsidRPr="00C94556">
        <w:rPr>
          <w:rFonts w:cs="Arial"/>
          <w:szCs w:val="18"/>
          <w:lang w:val="en-US"/>
        </w:rPr>
        <w:t xml:space="preserve">measure </w:t>
      </w:r>
      <w:r w:rsidRPr="00C94556">
        <w:rPr>
          <w:rFonts w:cs="Arial"/>
          <w:szCs w:val="18"/>
          <w:lang w:val="en-US" w:eastAsia="it-IT"/>
        </w:rPr>
        <w:t xml:space="preserve">can be significantly reduced when it </w:t>
      </w:r>
      <w:r w:rsidRPr="00C94556">
        <w:rPr>
          <w:rFonts w:cs="Arial"/>
          <w:szCs w:val="18"/>
          <w:lang w:val="en-US"/>
        </w:rPr>
        <w:t xml:space="preserve">refers to the basic events probability (rather than to parameters). In this case, it coincides with the </w:t>
      </w:r>
      <w:r w:rsidR="00E51FAE">
        <w:rPr>
          <w:rFonts w:cs="Arial"/>
          <w:szCs w:val="18"/>
          <w:lang w:val="en-US"/>
        </w:rPr>
        <w:t>t</w:t>
      </w:r>
      <w:r w:rsidR="00E51FAE" w:rsidRPr="00C94556">
        <w:rPr>
          <w:rFonts w:cs="Arial"/>
          <w:szCs w:val="18"/>
          <w:lang w:val="en-US"/>
        </w:rPr>
        <w:t xml:space="preserve">otal </w:t>
      </w:r>
      <w:r w:rsidR="00E51FAE">
        <w:rPr>
          <w:rFonts w:cs="Arial"/>
          <w:szCs w:val="18"/>
          <w:lang w:val="en-US"/>
        </w:rPr>
        <w:t>o</w:t>
      </w:r>
      <w:r w:rsidR="00E51FAE" w:rsidRPr="00C94556">
        <w:rPr>
          <w:rFonts w:cs="Arial"/>
          <w:szCs w:val="18"/>
          <w:lang w:val="en-US"/>
        </w:rPr>
        <w:t xml:space="preserve">rder </w:t>
      </w:r>
      <w:r w:rsidR="00E51FAE">
        <w:rPr>
          <w:rFonts w:cs="Arial"/>
          <w:szCs w:val="18"/>
          <w:lang w:val="en-US"/>
        </w:rPr>
        <w:t>f</w:t>
      </w:r>
      <w:r w:rsidR="00E51FAE" w:rsidRPr="00C94556">
        <w:rPr>
          <w:rFonts w:cs="Arial"/>
          <w:szCs w:val="18"/>
          <w:lang w:val="en-US"/>
        </w:rPr>
        <w:t xml:space="preserve">inite </w:t>
      </w:r>
      <w:r w:rsidR="00E51FAE">
        <w:rPr>
          <w:rFonts w:cs="Arial"/>
          <w:szCs w:val="18"/>
          <w:lang w:val="en-US"/>
        </w:rPr>
        <w:t>c</w:t>
      </w:r>
      <w:r w:rsidR="00E51FAE" w:rsidRPr="00C94556">
        <w:rPr>
          <w:rFonts w:cs="Arial"/>
          <w:szCs w:val="18"/>
          <w:lang w:val="en-US"/>
        </w:rPr>
        <w:t xml:space="preserve">hange </w:t>
      </w:r>
      <w:r w:rsidR="00E51FAE">
        <w:rPr>
          <w:rFonts w:cs="Arial"/>
          <w:szCs w:val="18"/>
          <w:lang w:val="en-US"/>
        </w:rPr>
        <w:t>s</w:t>
      </w:r>
      <w:r w:rsidR="00E51FAE" w:rsidRPr="00C94556">
        <w:rPr>
          <w:rFonts w:cs="Arial"/>
          <w:szCs w:val="18"/>
          <w:lang w:val="en-US"/>
        </w:rPr>
        <w:t xml:space="preserve">ensitivity </w:t>
      </w:r>
      <w:r w:rsidRPr="00C94556">
        <w:rPr>
          <w:rFonts w:cs="Arial"/>
          <w:szCs w:val="18"/>
          <w:lang w:val="en-US"/>
        </w:rPr>
        <w:t xml:space="preserve">measure and they can be computed through the same procedure (introduced in the following) by means of </w:t>
      </w:r>
      <m:oMath>
        <m:r>
          <w:rPr>
            <w:rFonts w:ascii="Cambria Math" w:eastAsia="Batang" w:hAnsi="Cambria Math" w:hint="eastAsia"/>
            <w:lang w:val="en-US"/>
          </w:rPr>
          <m:t>n</m:t>
        </m:r>
        <m:r>
          <w:rPr>
            <w:rFonts w:ascii="Cambria Math" w:eastAsia="Batang" w:hAnsi="Cambria Math"/>
            <w:lang w:val="en-US"/>
          </w:rPr>
          <m:t>+2</m:t>
        </m:r>
      </m:oMath>
      <w:r w:rsidRPr="00C94556">
        <w:rPr>
          <w:rFonts w:cs="Arial"/>
          <w:szCs w:val="18"/>
          <w:lang w:val="en-US"/>
        </w:rPr>
        <w:t xml:space="preserve"> evaluations of the model. </w:t>
      </w:r>
      <w:r w:rsidRPr="00C94556">
        <w:rPr>
          <w:rFonts w:cs="Arial"/>
          <w:szCs w:val="18"/>
          <w:lang w:val="en-US" w:eastAsia="it-IT"/>
        </w:rPr>
        <w:t xml:space="preserve">For a “small enough” (i.e. differential) changes of the input variables, the </w:t>
      </w:r>
      <w:r w:rsidR="00E51FAE">
        <w:rPr>
          <w:rFonts w:cs="Arial"/>
          <w:szCs w:val="18"/>
          <w:lang w:val="en-US" w:eastAsia="it-IT"/>
        </w:rPr>
        <w:t>t</w:t>
      </w:r>
      <w:r w:rsidR="00E51FAE" w:rsidRPr="00C94556">
        <w:rPr>
          <w:rFonts w:cs="Arial"/>
          <w:szCs w:val="18"/>
          <w:lang w:val="en-US" w:eastAsia="it-IT"/>
        </w:rPr>
        <w:t xml:space="preserve">otal </w:t>
      </w:r>
      <w:r w:rsidRPr="00C94556">
        <w:rPr>
          <w:rFonts w:cs="Arial"/>
          <w:szCs w:val="18"/>
          <w:lang w:val="en-US" w:eastAsia="it-IT"/>
        </w:rPr>
        <w:t xml:space="preserve">order and the </w:t>
      </w:r>
      <w:r w:rsidR="00E51FAE">
        <w:rPr>
          <w:rFonts w:cs="Arial"/>
          <w:szCs w:val="18"/>
          <w:lang w:val="en-US" w:eastAsia="it-IT"/>
        </w:rPr>
        <w:t>f</w:t>
      </w:r>
      <w:r w:rsidR="00E51FAE" w:rsidRPr="00C94556">
        <w:rPr>
          <w:rFonts w:cs="Arial"/>
          <w:szCs w:val="18"/>
          <w:lang w:val="en-US" w:eastAsia="it-IT"/>
        </w:rPr>
        <w:t xml:space="preserve">irst </w:t>
      </w:r>
      <w:r w:rsidRPr="00C94556">
        <w:rPr>
          <w:rFonts w:cs="Arial"/>
          <w:szCs w:val="18"/>
          <w:lang w:val="en-US" w:eastAsia="it-IT"/>
        </w:rPr>
        <w:t xml:space="preserve">order </w:t>
      </w:r>
      <w:r w:rsidR="00E51FAE">
        <w:rPr>
          <w:rFonts w:cs="Arial"/>
          <w:szCs w:val="18"/>
          <w:lang w:val="en-US" w:eastAsia="it-IT"/>
        </w:rPr>
        <w:t>d</w:t>
      </w:r>
      <w:r w:rsidR="00E51FAE" w:rsidRPr="00C94556">
        <w:rPr>
          <w:rFonts w:cs="Arial"/>
          <w:szCs w:val="18"/>
          <w:lang w:val="en-US" w:eastAsia="it-IT"/>
        </w:rPr>
        <w:t xml:space="preserve">ifferential </w:t>
      </w:r>
      <w:r w:rsidR="00E51FAE">
        <w:rPr>
          <w:rFonts w:cs="Arial"/>
          <w:szCs w:val="18"/>
          <w:lang w:val="en-US" w:eastAsia="it-IT"/>
        </w:rPr>
        <w:t>i</w:t>
      </w:r>
      <w:r w:rsidR="00E51FAE" w:rsidRPr="00C94556">
        <w:rPr>
          <w:rFonts w:cs="Arial"/>
          <w:szCs w:val="18"/>
          <w:lang w:val="en-US" w:eastAsia="it-IT"/>
        </w:rPr>
        <w:t xml:space="preserve">mportance </w:t>
      </w:r>
      <w:r w:rsidRPr="00C94556">
        <w:rPr>
          <w:rFonts w:cs="Arial"/>
          <w:szCs w:val="18"/>
          <w:lang w:val="en-US" w:eastAsia="it-IT"/>
        </w:rPr>
        <w:t xml:space="preserve">measures coincide </w:t>
      </w:r>
      <m:oMath>
        <m:d>
          <m:dPr>
            <m:ctrlPr>
              <w:rPr>
                <w:rFonts w:ascii="Cambria Math" w:eastAsia="Batang" w:hAnsi="Cambria Math"/>
                <w:i/>
                <w:szCs w:val="18"/>
                <w:lang w:val="en-US"/>
              </w:rPr>
            </m:ctrlPr>
          </m:dPr>
          <m:e>
            <m:sSubSup>
              <m:sSubSupPr>
                <m:ctrlPr>
                  <w:rPr>
                    <w:rFonts w:ascii="Cambria Math" w:eastAsia="Batang" w:hAnsi="Cambria Math"/>
                    <w:i/>
                    <w:szCs w:val="18"/>
                    <w:lang w:val="en-US"/>
                  </w:rPr>
                </m:ctrlPr>
              </m:sSubSupPr>
              <m:e>
                <m:r>
                  <w:rPr>
                    <w:rFonts w:ascii="Cambria Math" w:eastAsia="Batang" w:hAnsi="Cambria Math"/>
                    <w:szCs w:val="18"/>
                    <w:lang w:val="en-US"/>
                  </w:rPr>
                  <m:t>D</m:t>
                </m:r>
              </m:e>
              <m:sub>
                <m:r>
                  <w:rPr>
                    <w:rFonts w:ascii="Cambria Math" w:eastAsia="Batang" w:hAnsi="Cambria Math"/>
                    <w:szCs w:val="18"/>
                    <w:lang w:val="en-US"/>
                  </w:rPr>
                  <m:t>i</m:t>
                </m:r>
              </m:sub>
              <m:sup>
                <m:r>
                  <w:rPr>
                    <w:rFonts w:ascii="Cambria Math" w:eastAsia="Batang" w:hAnsi="Cambria Math"/>
                    <w:szCs w:val="18"/>
                    <w:lang w:val="en-US"/>
                  </w:rPr>
                  <m:t>T</m:t>
                </m:r>
              </m:sup>
            </m:sSubSup>
            <m:r>
              <w:rPr>
                <w:rFonts w:ascii="Cambria Math" w:eastAsia="Batang" w:hAnsi="Cambria Math"/>
                <w:szCs w:val="18"/>
                <w:lang w:val="en-US"/>
              </w:rPr>
              <m:t>=DIM</m:t>
            </m:r>
          </m:e>
        </m:d>
      </m:oMath>
      <w:r w:rsidRPr="00C94556">
        <w:rPr>
          <w:rFonts w:cs="Arial"/>
          <w:szCs w:val="18"/>
          <w:lang w:val="en-US" w:eastAsia="it-IT"/>
        </w:rPr>
        <w:t>. Therefore, this procedure can be applied for the computation of the (first order) DIM for basic events (as alternative approach to the preliminary estimation of the traditional Importance measures, e.g. Birnbaum).</w:t>
      </w:r>
      <w:r w:rsidR="00E51FAE">
        <w:rPr>
          <w:rFonts w:cs="Arial"/>
          <w:szCs w:val="18"/>
          <w:lang w:val="en-US" w:eastAsia="it-IT"/>
        </w:rPr>
        <w:t xml:space="preserve"> Using truncated cut set lists reduces the number of basic events, which have to be considered for this evaluation, to a certain extent.</w:t>
      </w:r>
    </w:p>
    <w:p w:rsidR="00850225" w:rsidRPr="00313E82" w:rsidRDefault="00850225" w:rsidP="00C94556">
      <w:pPr>
        <w:pStyle w:val="Titre3"/>
        <w:rPr>
          <w:rFonts w:eastAsia="Batang"/>
          <w:lang w:val="en-US"/>
        </w:rPr>
      </w:pPr>
      <w:bookmarkStart w:id="126" w:name="_Toc474430144"/>
      <w:r w:rsidRPr="00313E82">
        <w:rPr>
          <w:rFonts w:eastAsia="Batang"/>
          <w:lang w:val="en-US"/>
        </w:rPr>
        <w:t xml:space="preserve">ASAMPSA_E recommendation on </w:t>
      </w:r>
      <w:r w:rsidR="00AF3134">
        <w:rPr>
          <w:rFonts w:eastAsia="Batang"/>
          <w:lang w:val="en-US"/>
        </w:rPr>
        <w:t>Differential Importance Measures</w:t>
      </w:r>
      <w:bookmarkEnd w:id="126"/>
    </w:p>
    <w:p w:rsidR="00850225" w:rsidRPr="00313E82" w:rsidRDefault="00680B18">
      <w:pPr>
        <w:rPr>
          <w:rFonts w:eastAsia="Batang"/>
          <w:lang w:val="en-US"/>
        </w:rPr>
      </w:pPr>
      <w:r>
        <w:rPr>
          <w:rFonts w:eastAsia="Batang"/>
          <w:lang w:val="en-US"/>
        </w:rPr>
        <w:t>The definitions presented above are judged to be standard and state-of-the-art. No specific harmonization is found to be needed.</w:t>
      </w:r>
    </w:p>
    <w:p w:rsidR="00850225" w:rsidRPr="00313E82" w:rsidRDefault="00850225" w:rsidP="00C94556">
      <w:pPr>
        <w:pStyle w:val="Titre2"/>
        <w:rPr>
          <w:rFonts w:eastAsia="Batang"/>
          <w:lang w:val="en-US"/>
        </w:rPr>
      </w:pPr>
      <w:bookmarkStart w:id="127" w:name="_Toc474430145"/>
      <w:r w:rsidRPr="00313E82">
        <w:rPr>
          <w:rFonts w:eastAsia="Batang"/>
          <w:lang w:val="en-US"/>
        </w:rPr>
        <w:t>Linear Regression Method for Sensitivity Measures</w:t>
      </w:r>
      <w:bookmarkEnd w:id="127"/>
    </w:p>
    <w:p w:rsidR="00850225" w:rsidRPr="00313E82" w:rsidRDefault="00850225" w:rsidP="00C94556">
      <w:pPr>
        <w:pStyle w:val="Titre3"/>
        <w:rPr>
          <w:rFonts w:eastAsia="Batang"/>
          <w:lang w:val="en-US"/>
        </w:rPr>
      </w:pPr>
      <w:bookmarkStart w:id="128" w:name="_Toc474430146"/>
      <w:r w:rsidRPr="00313E82">
        <w:rPr>
          <w:rFonts w:eastAsia="Batang"/>
          <w:lang w:val="en-US"/>
        </w:rPr>
        <w:t>Definition of Risk Measure</w:t>
      </w:r>
      <w:bookmarkEnd w:id="128"/>
    </w:p>
    <w:p w:rsidR="00850225" w:rsidRPr="00313E82" w:rsidRDefault="00850225">
      <w:pPr>
        <w:rPr>
          <w:rFonts w:eastAsia="Batang"/>
          <w:lang w:val="en-US"/>
        </w:rPr>
      </w:pPr>
      <w:r w:rsidRPr="00313E82">
        <w:rPr>
          <w:rFonts w:eastAsia="Batang"/>
          <w:lang w:val="en-US"/>
        </w:rPr>
        <w:t xml:space="preserve">The random variable </w:t>
      </w:r>
      <m:oMath>
        <m:r>
          <m:rPr>
            <m:sty m:val="p"/>
          </m:rPr>
          <w:rPr>
            <w:rFonts w:ascii="Cambria Math" w:eastAsia="Batang" w:hAnsi="Cambria Math"/>
            <w:lang w:val="en-US"/>
          </w:rPr>
          <m:t>X=</m:t>
        </m:r>
        <m:sSub>
          <m:sSubPr>
            <m:ctrlPr>
              <w:rPr>
                <w:rFonts w:ascii="Cambria Math" w:eastAsia="Batang" w:hAnsi="Cambria Math"/>
                <w:lang w:val="en-US"/>
              </w:rPr>
            </m:ctrlPr>
          </m:sSubPr>
          <m:e>
            <m:r>
              <m:rPr>
                <m:sty m:val="p"/>
              </m:rPr>
              <w:rPr>
                <w:rFonts w:ascii="Cambria Math" w:eastAsia="Batang" w:hAnsi="Cambria Math"/>
                <w:lang w:val="en-US"/>
              </w:rPr>
              <m:t>x</m:t>
            </m:r>
          </m:e>
          <m:sub>
            <m:r>
              <m:rPr>
                <m:sty m:val="p"/>
              </m:rPr>
              <w:rPr>
                <w:rFonts w:ascii="Cambria Math" w:eastAsia="Batang" w:hAnsi="Cambria Math"/>
                <w:lang w:val="en-US"/>
              </w:rPr>
              <m:t>1</m:t>
            </m:r>
          </m:sub>
        </m:sSub>
        <m:r>
          <m:rPr>
            <m:sty m:val="p"/>
          </m:rPr>
          <w:rPr>
            <w:rFonts w:ascii="Cambria Math" w:eastAsia="Batang" w:hAnsi="Cambria Math" w:hint="eastAsia"/>
            <w:lang w:val="en-US"/>
          </w:rPr>
          <m:t>,</m:t>
        </m:r>
        <m:r>
          <m:rPr>
            <m:sty m:val="p"/>
          </m:rPr>
          <w:rPr>
            <w:rFonts w:ascii="Cambria Math" w:eastAsia="Batang" w:hAnsi="Cambria Math" w:hint="eastAsia"/>
            <w:lang w:val="en-US"/>
          </w:rPr>
          <m:t>…</m:t>
        </m:r>
        <m:r>
          <m:rPr>
            <m:sty m:val="p"/>
          </m:rPr>
          <w:rPr>
            <w:rFonts w:ascii="Cambria Math" w:eastAsia="Batang" w:hAnsi="Cambria Math"/>
            <w:lang w:val="en-US"/>
          </w:rPr>
          <m:t>,</m:t>
        </m:r>
        <m:sSub>
          <m:sSubPr>
            <m:ctrlPr>
              <w:rPr>
                <w:rFonts w:ascii="Cambria Math" w:eastAsia="Batang" w:hAnsi="Cambria Math"/>
                <w:lang w:val="en-US"/>
              </w:rPr>
            </m:ctrlPr>
          </m:sSubPr>
          <m:e>
            <m:r>
              <m:rPr>
                <m:sty m:val="p"/>
              </m:rPr>
              <w:rPr>
                <w:rFonts w:ascii="Cambria Math" w:eastAsia="Batang" w:hAnsi="Cambria Math"/>
                <w:lang w:val="en-US"/>
              </w:rPr>
              <m:t>x</m:t>
            </m:r>
          </m:e>
          <m:sub>
            <m:r>
              <m:rPr>
                <m:sty m:val="p"/>
              </m:rPr>
              <w:rPr>
                <w:rFonts w:ascii="Cambria Math" w:eastAsia="Batang" w:hAnsi="Cambria Math"/>
                <w:lang w:val="en-US"/>
              </w:rPr>
              <m:t>n</m:t>
            </m:r>
          </m:sub>
        </m:sSub>
      </m:oMath>
      <w:r w:rsidRPr="00313E82">
        <w:rPr>
          <w:rFonts w:eastAsia="Batang"/>
          <w:lang w:val="en-US"/>
        </w:rPr>
        <w:t xml:space="preserve"> of the </w:t>
      </w:r>
      <w:r w:rsidR="00E51FAE">
        <w:rPr>
          <w:rFonts w:eastAsia="Batang"/>
          <w:lang w:val="en-US"/>
        </w:rPr>
        <w:t>direct</w:t>
      </w:r>
      <w:r w:rsidR="00E51FAE" w:rsidRPr="00313E82">
        <w:rPr>
          <w:rFonts w:eastAsia="Batang"/>
          <w:lang w:val="en-US"/>
        </w:rPr>
        <w:t xml:space="preserve"> </w:t>
      </w:r>
      <w:r w:rsidRPr="00313E82">
        <w:rPr>
          <w:rFonts w:eastAsia="Batang"/>
          <w:lang w:val="en-US"/>
        </w:rPr>
        <w:t xml:space="preserve">risk measure </w:t>
      </w:r>
      <m:oMath>
        <m:r>
          <w:rPr>
            <w:rFonts w:ascii="Cambria Math" w:hAnsi="Cambria Math"/>
            <w:lang w:val="en-US"/>
          </w:rPr>
          <m:t>f</m:t>
        </m:r>
        <m:d>
          <m:dPr>
            <m:ctrlPr>
              <w:rPr>
                <w:rFonts w:ascii="Cambria Math" w:eastAsia="Batang" w:hAnsi="Cambria Math"/>
                <w:i/>
                <w:lang w:val="en-US"/>
              </w:rPr>
            </m:ctrlPr>
          </m:dPr>
          <m:e>
            <m:r>
              <w:rPr>
                <w:rFonts w:ascii="Cambria Math" w:eastAsia="Batang" w:hAnsi="Cambria Math"/>
                <w:lang w:val="en-US"/>
              </w:rPr>
              <m:t>X</m:t>
            </m:r>
          </m:e>
        </m:d>
        <m:r>
          <w:rPr>
            <w:rFonts w:ascii="Cambria Math" w:eastAsia="Batang" w:hAnsi="Cambria Math" w:hint="eastAsia"/>
            <w:lang w:val="en-US"/>
          </w:rPr>
          <m:t>:</m:t>
        </m:r>
        <m:sSup>
          <m:sSupPr>
            <m:ctrlPr>
              <w:rPr>
                <w:rFonts w:ascii="Cambria Math" w:eastAsia="Batang" w:hAnsi="Cambria Math"/>
                <w:i/>
                <w:lang w:val="en-US"/>
              </w:rPr>
            </m:ctrlPr>
          </m:sSupPr>
          <m:e>
            <m:r>
              <m:rPr>
                <m:scr m:val="double-struck"/>
              </m:rPr>
              <w:rPr>
                <w:rFonts w:ascii="Cambria Math" w:eastAsia="Batang" w:hAnsi="Cambria Math"/>
                <w:lang w:val="en-US"/>
              </w:rPr>
              <m:t>R</m:t>
            </m:r>
          </m:e>
          <m:sup>
            <m:r>
              <w:rPr>
                <w:rFonts w:ascii="Cambria Math" w:eastAsia="Batang" w:hAnsi="Cambria Math"/>
                <w:lang w:val="en-US"/>
              </w:rPr>
              <m:t>n</m:t>
            </m:r>
          </m:sup>
        </m:sSup>
        <m:r>
          <w:rPr>
            <w:rFonts w:ascii="Cambria Math" w:eastAsia="Batang" w:hAnsi="Cambria Math" w:hint="eastAsia"/>
            <w:lang w:val="en-US"/>
          </w:rPr>
          <m:t>→</m:t>
        </m:r>
        <m:r>
          <m:rPr>
            <m:scr m:val="double-struck"/>
          </m:rPr>
          <w:rPr>
            <w:rFonts w:ascii="Cambria Math" w:eastAsia="Batang" w:hAnsi="Cambria Math"/>
            <w:lang w:val="en-US"/>
          </w:rPr>
          <m:t>R</m:t>
        </m:r>
      </m:oMath>
      <w:r w:rsidRPr="00313E82">
        <w:rPr>
          <w:rFonts w:eastAsia="Batang"/>
          <w:lang w:val="en-US"/>
        </w:rPr>
        <w:t xml:space="preserve"> can be affected by uncertainty. Consequently, the model output will be affected by uncertainty represented by a probability distribution. From a general point of view, the </w:t>
      </w:r>
      <w:r w:rsidR="00E51FAE">
        <w:rPr>
          <w:rFonts w:eastAsia="Batang"/>
          <w:lang w:val="en-US"/>
        </w:rPr>
        <w:t>s</w:t>
      </w:r>
      <w:r w:rsidR="00E51FAE" w:rsidRPr="00313E82">
        <w:rPr>
          <w:rFonts w:eastAsia="Batang"/>
          <w:lang w:val="en-US"/>
        </w:rPr>
        <w:t xml:space="preserve">ensitivity </w:t>
      </w:r>
      <w:r w:rsidRPr="00313E82">
        <w:rPr>
          <w:rFonts w:eastAsia="Batang"/>
          <w:lang w:val="en-US"/>
        </w:rPr>
        <w:t>analysis aims at quantifying the contributions of the uncertainty on the input variables to the uncertainty on the model output (</w:t>
      </w:r>
      <w:r w:rsidR="00E51FAE">
        <w:rPr>
          <w:rFonts w:eastAsia="Batang"/>
          <w:lang w:val="en-US"/>
        </w:rPr>
        <w:t>direct</w:t>
      </w:r>
      <w:r w:rsidR="00E51FAE" w:rsidRPr="00313E82">
        <w:rPr>
          <w:rFonts w:eastAsia="Batang"/>
          <w:lang w:val="en-US"/>
        </w:rPr>
        <w:t xml:space="preserve"> </w:t>
      </w:r>
      <w:r w:rsidRPr="00313E82">
        <w:rPr>
          <w:rFonts w:eastAsia="Batang"/>
          <w:lang w:val="en-US"/>
        </w:rPr>
        <w:t>risk measure).</w:t>
      </w:r>
    </w:p>
    <w:p w:rsidR="00850225" w:rsidRPr="00313E82" w:rsidRDefault="00850225" w:rsidP="00741D3C">
      <w:pPr>
        <w:rPr>
          <w:rFonts w:eastAsia="Batang"/>
          <w:lang w:val="en-US"/>
        </w:rPr>
      </w:pPr>
      <w:r w:rsidRPr="00313E82">
        <w:rPr>
          <w:rFonts w:eastAsia="Batang"/>
          <w:lang w:val="en-US"/>
        </w:rPr>
        <w:t xml:space="preserve">The different approaches for sensitivity analysis can be classified into two main branches </w:t>
      </w:r>
      <w:r w:rsidR="00CD0CBE">
        <w:fldChar w:fldCharType="begin"/>
      </w:r>
      <w:r w:rsidR="00CD0CBE">
        <w:instrText xml:space="preserve"> REF _Ref428968153 \r \h  \* MERGEFORMAT </w:instrText>
      </w:r>
      <w:r w:rsidR="00CD0CBE">
        <w:fldChar w:fldCharType="separate"/>
      </w:r>
      <w:r w:rsidR="00B772CA" w:rsidRPr="00B772CA">
        <w:rPr>
          <w:rFonts w:eastAsia="Batang"/>
          <w:lang w:val="en-US"/>
        </w:rPr>
        <w:t>[101]</w:t>
      </w:r>
      <w:r w:rsidR="00CD0CBE">
        <w:fldChar w:fldCharType="end"/>
      </w:r>
      <w:r w:rsidRPr="00313E82">
        <w:rPr>
          <w:rFonts w:eastAsia="Batang"/>
          <w:lang w:val="en-US"/>
        </w:rPr>
        <w:t xml:space="preserve">: </w:t>
      </w:r>
    </w:p>
    <w:p w:rsidR="00850225" w:rsidRPr="00313E82" w:rsidRDefault="00850225" w:rsidP="00D873A7">
      <w:pPr>
        <w:pStyle w:val="Paragraphedeliste"/>
        <w:numPr>
          <w:ilvl w:val="0"/>
          <w:numId w:val="22"/>
        </w:numPr>
        <w:rPr>
          <w:rFonts w:eastAsia="Batang"/>
          <w:lang w:val="en-US"/>
        </w:rPr>
      </w:pPr>
      <w:r w:rsidRPr="00313E82">
        <w:rPr>
          <w:rFonts w:eastAsia="Batang"/>
          <w:lang w:val="en-US"/>
        </w:rPr>
        <w:t>Local analysis, which is focused on the point values of the input variables (in the sense previously used for Importance measures);</w:t>
      </w:r>
    </w:p>
    <w:p w:rsidR="00850225" w:rsidRPr="00313E82" w:rsidRDefault="00850225" w:rsidP="003651CB">
      <w:pPr>
        <w:pStyle w:val="Paragraphedeliste"/>
        <w:numPr>
          <w:ilvl w:val="0"/>
          <w:numId w:val="22"/>
        </w:numPr>
        <w:rPr>
          <w:rFonts w:eastAsia="Batang"/>
          <w:lang w:val="en-US"/>
        </w:rPr>
      </w:pPr>
      <w:r w:rsidRPr="00313E82">
        <w:rPr>
          <w:rFonts w:eastAsia="Batang"/>
          <w:lang w:val="en-US"/>
        </w:rPr>
        <w:t>Global analysis, which is focused on the entire range of values of the input variables.</w:t>
      </w:r>
    </w:p>
    <w:p w:rsidR="00850225" w:rsidRPr="00313E82" w:rsidRDefault="00850225">
      <w:pPr>
        <w:rPr>
          <w:rFonts w:eastAsia="Batang"/>
          <w:lang w:val="en-US"/>
        </w:rPr>
      </w:pPr>
      <w:r w:rsidRPr="00313E82">
        <w:rPr>
          <w:rFonts w:eastAsia="Batang"/>
          <w:lang w:val="en-US"/>
        </w:rPr>
        <w:t xml:space="preserve">A traditional approach for the </w:t>
      </w:r>
      <w:r w:rsidR="00E51FAE">
        <w:rPr>
          <w:rFonts w:eastAsia="Batang"/>
          <w:lang w:val="en-US"/>
        </w:rPr>
        <w:t>s</w:t>
      </w:r>
      <w:r w:rsidR="00E51FAE" w:rsidRPr="00313E82">
        <w:rPr>
          <w:rFonts w:eastAsia="Batang"/>
          <w:lang w:val="en-US"/>
        </w:rPr>
        <w:t xml:space="preserve">ensitivity </w:t>
      </w:r>
      <w:r w:rsidRPr="00313E82">
        <w:rPr>
          <w:rFonts w:eastAsia="Batang"/>
          <w:lang w:val="en-US"/>
        </w:rPr>
        <w:t>analysis is the development of a linear regression model for the model output (</w:t>
      </w:r>
      <w:r w:rsidR="00220314">
        <w:rPr>
          <w:rFonts w:eastAsia="Batang"/>
          <w:lang w:val="en-US"/>
        </w:rPr>
        <w:t>direct</w:t>
      </w:r>
      <w:r w:rsidR="00220314" w:rsidRPr="00313E82">
        <w:rPr>
          <w:rFonts w:eastAsia="Batang"/>
          <w:lang w:val="en-US"/>
        </w:rPr>
        <w:t xml:space="preserve"> </w:t>
      </w:r>
      <w:r w:rsidRPr="00313E82">
        <w:rPr>
          <w:rFonts w:eastAsia="Batang"/>
          <w:lang w:val="en-US"/>
        </w:rPr>
        <w:t>risk measure, i.e. probability of undesired consequence in the following):</w:t>
      </w:r>
    </w:p>
    <w:p w:rsidR="00850225" w:rsidRPr="00313E82" w:rsidRDefault="0043746A">
      <w:pPr>
        <w:rPr>
          <w:rFonts w:eastAsia="Batang"/>
          <w:lang w:val="en-US"/>
        </w:rPr>
      </w:pPr>
      <m:oMathPara>
        <m:oMath>
          <m:acc>
            <m:accPr>
              <m:ctrlPr>
                <w:rPr>
                  <w:rFonts w:ascii="Cambria Math" w:eastAsia="Batang" w:hAnsi="Cambria Math"/>
                  <w:i/>
                  <w:lang w:val="en-US"/>
                </w:rPr>
              </m:ctrlPr>
            </m:accPr>
            <m:e>
              <m:r>
                <w:rPr>
                  <w:rFonts w:ascii="Cambria Math" w:hAnsi="Cambria Math"/>
                  <w:lang w:val="en-US"/>
                </w:rPr>
                <m:t>f</m:t>
              </m:r>
            </m:e>
          </m:acc>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a</m:t>
              </m:r>
            </m:e>
            <m:sub>
              <m:r>
                <w:rPr>
                  <w:rFonts w:ascii="Cambria Math" w:eastAsia="Batang" w:hAnsi="Cambria Math"/>
                  <w:lang w:val="en-US"/>
                </w:rPr>
                <m:t>0</m:t>
              </m:r>
            </m:sub>
          </m:sSub>
          <m:r>
            <w:rPr>
              <w:rFonts w:ascii="Cambria Math" w:eastAsia="Batang" w:hAnsi="Cambria Math" w:hint="eastAsia"/>
              <w:lang w:val="en-US"/>
            </w:rPr>
            <m:t>+</m:t>
          </m:r>
          <m:nary>
            <m:naryPr>
              <m:chr m:val="∑"/>
              <m:limLoc m:val="undOvr"/>
              <m:supHide m:val="1"/>
              <m:ctrlPr>
                <w:rPr>
                  <w:rFonts w:ascii="Cambria Math" w:eastAsia="Batang" w:hAnsi="Cambria Math"/>
                  <w:i/>
                  <w:lang w:val="en-US"/>
                </w:rPr>
              </m:ctrlPr>
            </m:naryPr>
            <m:sub>
              <m:r>
                <w:rPr>
                  <w:rFonts w:ascii="Cambria Math" w:eastAsia="Batang" w:hAnsi="Cambria Math"/>
                  <w:lang w:val="en-US"/>
                </w:rPr>
                <m:t>i</m:t>
              </m:r>
            </m:sub>
            <m:sup/>
            <m:e>
              <m:sSub>
                <m:sSubPr>
                  <m:ctrlPr>
                    <w:rPr>
                      <w:rFonts w:ascii="Cambria Math" w:eastAsia="Batang" w:hAnsi="Cambria Math"/>
                      <w:i/>
                      <w:lang w:val="en-US"/>
                    </w:rPr>
                  </m:ctrlPr>
                </m:sSubPr>
                <m:e>
                  <m:r>
                    <w:rPr>
                      <w:rFonts w:ascii="Cambria Math" w:eastAsia="Batang" w:hAnsi="Cambria Math"/>
                      <w:lang w:val="en-US"/>
                    </w:rPr>
                    <m:t>a</m:t>
                  </m:r>
                </m:e>
                <m:sub>
                  <m:r>
                    <w:rPr>
                      <w:rFonts w:ascii="Cambria Math" w:eastAsia="Batang" w:hAnsi="Cambria Math"/>
                      <w:lang w:val="en-US"/>
                    </w:rPr>
                    <m:t>i</m:t>
                  </m:r>
                </m:sub>
              </m:sSub>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nary>
        </m:oMath>
      </m:oMathPara>
    </w:p>
    <w:p w:rsidR="00850225" w:rsidRPr="00313E82" w:rsidRDefault="00850225">
      <w:pPr>
        <w:rPr>
          <w:rFonts w:eastAsia="Batang"/>
          <w:lang w:val="en-US"/>
        </w:rPr>
      </w:pPr>
      <w:r w:rsidRPr="00313E82">
        <w:rPr>
          <w:rFonts w:eastAsia="Batang"/>
          <w:lang w:val="en-US"/>
        </w:rPr>
        <w:t xml:space="preserve">The uncertainty on the input variables is represented by probability </w:t>
      </w:r>
      <w:r w:rsidR="00220314">
        <w:rPr>
          <w:rFonts w:eastAsia="Batang"/>
          <w:lang w:val="en-US"/>
        </w:rPr>
        <w:t xml:space="preserve">or frequency </w:t>
      </w:r>
      <w:r w:rsidRPr="00313E82">
        <w:rPr>
          <w:rFonts w:eastAsia="Batang"/>
          <w:lang w:val="en-US"/>
        </w:rPr>
        <w:t xml:space="preserve">distributions. </w:t>
      </w:r>
    </w:p>
    <w:p w:rsidR="00850225" w:rsidRPr="00313E82" w:rsidRDefault="00850225">
      <w:pPr>
        <w:rPr>
          <w:rFonts w:eastAsia="Batang"/>
          <w:lang w:val="en-US"/>
        </w:rPr>
      </w:pPr>
      <w:r w:rsidRPr="00313E82">
        <w:rPr>
          <w:rFonts w:eastAsia="Batang"/>
          <w:lang w:val="en-US"/>
        </w:rPr>
        <w:t>For linear models (or with reference to the first order approximation of the Taylor series representation) the following “</w:t>
      </w:r>
      <w:r w:rsidR="00220314">
        <w:rPr>
          <w:rFonts w:eastAsia="Batang"/>
          <w:lang w:val="en-US"/>
        </w:rPr>
        <w:t>s</w:t>
      </w:r>
      <w:r w:rsidR="00220314" w:rsidRPr="00313E82">
        <w:rPr>
          <w:rFonts w:eastAsia="Batang"/>
          <w:lang w:val="en-US"/>
        </w:rPr>
        <w:t xml:space="preserve">tandardized </w:t>
      </w:r>
      <w:r w:rsidRPr="00313E82">
        <w:rPr>
          <w:rFonts w:eastAsia="Batang"/>
          <w:lang w:val="en-US"/>
        </w:rPr>
        <w:t>regression coefficients” can be defined and used as importance measure:</w:t>
      </w:r>
    </w:p>
    <w:p w:rsidR="00850225" w:rsidRPr="00313E82" w:rsidRDefault="0043746A">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β</m:t>
              </m:r>
            </m:e>
            <m:sub>
              <m:r>
                <w:rPr>
                  <w:rFonts w:ascii="Cambria Math" w:eastAsia="Batang" w:hAnsi="Cambria Math"/>
                  <w:lang w:val="en-US"/>
                </w:rPr>
                <m:t>i</m:t>
              </m:r>
            </m:sub>
          </m:sSub>
          <m:r>
            <w:rPr>
              <w:rFonts w:ascii="Cambria Math" w:eastAsia="Batang" w:hAnsi="Cambria Math" w:hint="eastAsia"/>
              <w:lang w:val="en-US"/>
            </w:rPr>
            <m:t>=</m:t>
          </m:r>
          <m:acc>
            <m:accPr>
              <m:chr m:val="̅"/>
              <m:ctrlPr>
                <w:rPr>
                  <w:rFonts w:ascii="Cambria Math" w:eastAsia="Batang" w:hAnsi="Cambria Math"/>
                  <w:i/>
                  <w:lang w:val="en-US"/>
                </w:rPr>
              </m:ctrlPr>
            </m:accPr>
            <m:e>
              <m:sSub>
                <m:sSubPr>
                  <m:ctrlPr>
                    <w:rPr>
                      <w:rFonts w:ascii="Cambria Math" w:eastAsia="Batang" w:hAnsi="Cambria Math"/>
                      <w:i/>
                      <w:lang w:val="en-US"/>
                    </w:rPr>
                  </m:ctrlPr>
                </m:sSubPr>
                <m:e>
                  <m:r>
                    <w:rPr>
                      <w:rFonts w:ascii="Cambria Math" w:eastAsia="Batang" w:hAnsi="Cambria Math"/>
                      <w:lang w:val="en-US"/>
                    </w:rPr>
                    <m:t>a</m:t>
                  </m:r>
                </m:e>
                <m:sub>
                  <m:r>
                    <w:rPr>
                      <w:rFonts w:ascii="Cambria Math" w:eastAsia="Batang" w:hAnsi="Cambria Math"/>
                      <w:lang w:val="en-US"/>
                    </w:rPr>
                    <m:t>i</m:t>
                  </m:r>
                </m:sub>
              </m:sSub>
            </m:e>
          </m:acc>
          <m:f>
            <m:fPr>
              <m:ctrlPr>
                <w:rPr>
                  <w:rFonts w:ascii="Cambria Math" w:eastAsia="Batang" w:hAnsi="Cambria Math"/>
                  <w:i/>
                  <w:lang w:val="en-US"/>
                </w:rPr>
              </m:ctrlPr>
            </m:fPr>
            <m:num>
              <m:r>
                <w:rPr>
                  <w:rFonts w:ascii="Cambria Math" w:eastAsia="Batang" w:hAnsi="Cambria Math"/>
                  <w:lang w:val="en-US"/>
                </w:rPr>
                <m:t>Var</m:t>
              </m:r>
              <m:sSup>
                <m:sSupPr>
                  <m:ctrlPr>
                    <w:rPr>
                      <w:rFonts w:ascii="Cambria Math" w:eastAsia="Batang" w:hAnsi="Cambria Math"/>
                      <w:i/>
                      <w:lang w:val="en-US"/>
                    </w:rPr>
                  </m:ctrlPr>
                </m:sSupPr>
                <m:e>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d>
                </m:e>
                <m:sup>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2</m:t>
                      </m:r>
                    </m:den>
                  </m:f>
                </m:sup>
              </m:sSup>
            </m:num>
            <m:den>
              <m:r>
                <w:rPr>
                  <w:rFonts w:ascii="Cambria Math" w:eastAsia="Batang" w:hAnsi="Cambria Math"/>
                  <w:lang w:val="en-US"/>
                </w:rPr>
                <m:t>Var</m:t>
              </m:r>
              <m:sSup>
                <m:sSupPr>
                  <m:ctrlPr>
                    <w:rPr>
                      <w:rFonts w:ascii="Cambria Math" w:eastAsia="Batang" w:hAnsi="Cambria Math"/>
                      <w:i/>
                      <w:lang w:val="en-US"/>
                    </w:rPr>
                  </m:ctrlPr>
                </m:sSupPr>
                <m:e>
                  <m:d>
                    <m:dPr>
                      <m:ctrlPr>
                        <w:rPr>
                          <w:rFonts w:ascii="Cambria Math" w:eastAsia="Batang" w:hAnsi="Cambria Math"/>
                          <w:i/>
                          <w:lang w:val="en-US"/>
                        </w:rPr>
                      </m:ctrlPr>
                    </m:dPr>
                    <m:e>
                      <m:r>
                        <w:rPr>
                          <w:rFonts w:ascii="Cambria Math" w:hAnsi="Cambria Math"/>
                          <w:lang w:val="en-US"/>
                        </w:rPr>
                        <m:t>φ</m:t>
                      </m:r>
                    </m:e>
                  </m:d>
                </m:e>
                <m:sup>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2</m:t>
                      </m:r>
                    </m:den>
                  </m:f>
                </m:sup>
              </m:sSup>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den>
          </m:f>
          <m:r>
            <w:rPr>
              <w:rFonts w:ascii="Cambria Math" w:eastAsia="Batang" w:hAnsi="Cambria Math"/>
              <w:lang w:val="en-US"/>
            </w:rPr>
            <m:t>∙</m:t>
          </m:r>
          <m:f>
            <m:fPr>
              <m:ctrlPr>
                <w:rPr>
                  <w:rFonts w:ascii="Cambria Math" w:eastAsia="Batang" w:hAnsi="Cambria Math"/>
                  <w:i/>
                  <w:lang w:val="en-US"/>
                </w:rPr>
              </m:ctrlPr>
            </m:fPr>
            <m:num>
              <m:r>
                <w:rPr>
                  <w:rFonts w:ascii="Cambria Math" w:eastAsia="Batang" w:hAnsi="Cambria Math"/>
                  <w:lang w:val="en-US"/>
                </w:rPr>
                <m:t>Var</m:t>
              </m:r>
              <m:sSup>
                <m:sSupPr>
                  <m:ctrlPr>
                    <w:rPr>
                      <w:rFonts w:ascii="Cambria Math" w:eastAsia="Batang" w:hAnsi="Cambria Math"/>
                      <w:i/>
                      <w:lang w:val="en-US"/>
                    </w:rPr>
                  </m:ctrlPr>
                </m:sSupPr>
                <m:e>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d>
                </m:e>
                <m:sup>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2</m:t>
                      </m:r>
                    </m:den>
                  </m:f>
                </m:sup>
              </m:sSup>
            </m:num>
            <m:den>
              <m:r>
                <w:rPr>
                  <w:rFonts w:ascii="Cambria Math" w:eastAsia="Batang" w:hAnsi="Cambria Math"/>
                  <w:lang w:val="en-US"/>
                </w:rPr>
                <m:t>Var</m:t>
              </m:r>
              <m:sSup>
                <m:sSupPr>
                  <m:ctrlPr>
                    <w:rPr>
                      <w:rFonts w:ascii="Cambria Math" w:eastAsia="Batang" w:hAnsi="Cambria Math"/>
                      <w:i/>
                      <w:lang w:val="en-US"/>
                    </w:rPr>
                  </m:ctrlPr>
                </m:sSupPr>
                <m:e>
                  <m:d>
                    <m:dPr>
                      <m:ctrlPr>
                        <w:rPr>
                          <w:rFonts w:ascii="Cambria Math" w:eastAsia="Batang" w:hAnsi="Cambria Math"/>
                          <w:i/>
                          <w:lang w:val="en-US"/>
                        </w:rPr>
                      </m:ctrlPr>
                    </m:dPr>
                    <m:e>
                      <m:r>
                        <w:rPr>
                          <w:rFonts w:ascii="Cambria Math" w:hAnsi="Cambria Math"/>
                          <w:lang w:val="en-US"/>
                        </w:rPr>
                        <m:t>φ</m:t>
                      </m:r>
                    </m:e>
                  </m:d>
                </m:e>
                <m:sup>
                  <m:f>
                    <m:fPr>
                      <m:ctrlPr>
                        <w:rPr>
                          <w:rFonts w:ascii="Cambria Math" w:eastAsia="Batang" w:hAnsi="Cambria Math"/>
                          <w:i/>
                          <w:lang w:val="en-US"/>
                        </w:rPr>
                      </m:ctrlPr>
                    </m:fPr>
                    <m:num>
                      <m:r>
                        <w:rPr>
                          <w:rFonts w:ascii="Cambria Math" w:eastAsia="Batang" w:hAnsi="Cambria Math"/>
                          <w:lang w:val="en-US"/>
                        </w:rPr>
                        <m:t>1</m:t>
                      </m:r>
                    </m:num>
                    <m:den>
                      <m:r>
                        <w:rPr>
                          <w:rFonts w:ascii="Cambria Math" w:eastAsia="Batang" w:hAnsi="Cambria Math"/>
                          <w:lang w:val="en-US"/>
                        </w:rPr>
                        <m:t>2</m:t>
                      </m:r>
                    </m:den>
                  </m:f>
                </m:sup>
              </m:sSup>
            </m:den>
          </m:f>
          <m:r>
            <w:rPr>
              <w:rFonts w:ascii="Cambria Math" w:eastAsia="Batang" w:hAnsi="Cambria Math" w:hint="eastAsia"/>
              <w:lang w:val="en-US"/>
            </w:rPr>
            <m:t xml:space="preserve">    </m:t>
          </m:r>
          <m:r>
            <w:rPr>
              <w:rFonts w:ascii="Cambria Math" w:eastAsia="Batang" w:hAnsi="Cambria Math"/>
              <w:lang w:val="en-US"/>
            </w:rPr>
            <m:t>i=1,</m:t>
          </m:r>
          <m:r>
            <w:rPr>
              <w:rFonts w:ascii="Cambria Math" w:eastAsia="Batang" w:hAnsi="Cambria Math" w:hint="eastAsia"/>
              <w:lang w:val="en-US"/>
            </w:rPr>
            <m:t>…</m:t>
          </m:r>
          <m:r>
            <w:rPr>
              <w:rFonts w:ascii="Cambria Math" w:eastAsia="Batang" w:hAnsi="Cambria Math"/>
              <w:lang w:val="en-US"/>
            </w:rPr>
            <m:t>,n</m:t>
          </m:r>
        </m:oMath>
      </m:oMathPara>
    </w:p>
    <w:p w:rsidR="00850225" w:rsidRPr="00313E82" w:rsidRDefault="00850225">
      <w:pPr>
        <w:rPr>
          <w:rFonts w:eastAsia="Batang"/>
          <w:lang w:val="en-US"/>
        </w:rPr>
      </w:pPr>
      <w:r w:rsidRPr="00313E82">
        <w:rPr>
          <w:rFonts w:eastAsia="Batang"/>
          <w:lang w:val="en-US"/>
        </w:rPr>
        <w:t>For linear models</w:t>
      </w:r>
      <w:r w:rsidRPr="00313E82">
        <w:rPr>
          <w:rFonts w:eastAsia="Batang"/>
          <w:lang w:val="en-US"/>
        </w:rPr>
        <w:tab/>
        <w:t xml:space="preserve"> </w:t>
      </w:r>
      <m:oMath>
        <m:nary>
          <m:naryPr>
            <m:chr m:val="∑"/>
            <m:limLoc m:val="undOvr"/>
            <m:subHide m:val="1"/>
            <m:supHide m:val="1"/>
            <m:ctrlPr>
              <w:rPr>
                <w:rFonts w:ascii="Cambria Math" w:eastAsia="Batang" w:hAnsi="Cambria Math"/>
                <w:i/>
                <w:lang w:val="en-US"/>
              </w:rPr>
            </m:ctrlPr>
          </m:naryPr>
          <m:sub/>
          <m:sup/>
          <m:e>
            <m:sSub>
              <m:sSubPr>
                <m:ctrlPr>
                  <w:rPr>
                    <w:rFonts w:ascii="Cambria Math" w:eastAsia="Batang" w:hAnsi="Cambria Math"/>
                    <w:i/>
                    <w:lang w:val="en-US"/>
                  </w:rPr>
                </m:ctrlPr>
              </m:sSubPr>
              <m:e>
                <m:r>
                  <w:rPr>
                    <w:rFonts w:ascii="Cambria Math" w:eastAsia="Batang" w:hAnsi="Cambria Math"/>
                    <w:lang w:val="en-US"/>
                  </w:rPr>
                  <m:t>β</m:t>
                </m:r>
              </m:e>
              <m:sub>
                <m:r>
                  <w:rPr>
                    <w:rFonts w:ascii="Cambria Math" w:eastAsia="Batang" w:hAnsi="Cambria Math"/>
                    <w:lang w:val="en-US"/>
                  </w:rPr>
                  <m:t>i</m:t>
                </m:r>
              </m:sub>
            </m:sSub>
          </m:e>
        </m:nary>
        <m:r>
          <w:rPr>
            <w:rFonts w:ascii="Cambria Math" w:eastAsia="Batang" w:hAnsi="Cambria Math" w:hint="eastAsia"/>
            <w:lang w:val="en-US"/>
          </w:rPr>
          <m:t>=1</m:t>
        </m:r>
      </m:oMath>
      <w:r w:rsidRPr="00313E82">
        <w:rPr>
          <w:rFonts w:eastAsia="Batang"/>
          <w:lang w:val="en-US"/>
        </w:rPr>
        <w:t xml:space="preserve">, while for non-linear ones </w:t>
      </w:r>
      <m:oMath>
        <m:nary>
          <m:naryPr>
            <m:chr m:val="∑"/>
            <m:limLoc m:val="undOvr"/>
            <m:subHide m:val="1"/>
            <m:supHide m:val="1"/>
            <m:ctrlPr>
              <w:rPr>
                <w:rFonts w:ascii="Cambria Math" w:eastAsia="Batang" w:hAnsi="Cambria Math"/>
                <w:i/>
                <w:lang w:val="en-US"/>
              </w:rPr>
            </m:ctrlPr>
          </m:naryPr>
          <m:sub/>
          <m:sup/>
          <m:e>
            <m:sSub>
              <m:sSubPr>
                <m:ctrlPr>
                  <w:rPr>
                    <w:rFonts w:ascii="Cambria Math" w:eastAsia="Batang" w:hAnsi="Cambria Math"/>
                    <w:i/>
                    <w:lang w:val="en-US"/>
                  </w:rPr>
                </m:ctrlPr>
              </m:sSubPr>
              <m:e>
                <m:r>
                  <w:rPr>
                    <w:rFonts w:ascii="Cambria Math" w:eastAsia="Batang" w:hAnsi="Cambria Math"/>
                    <w:lang w:val="en-US"/>
                  </w:rPr>
                  <m:t>β</m:t>
                </m:r>
              </m:e>
              <m:sub>
                <m:r>
                  <w:rPr>
                    <w:rFonts w:ascii="Cambria Math" w:eastAsia="Batang" w:hAnsi="Cambria Math"/>
                    <w:lang w:val="en-US"/>
                  </w:rPr>
                  <m:t>i</m:t>
                </m:r>
              </m:sub>
            </m:sSub>
          </m:e>
        </m:nary>
        <m:r>
          <w:rPr>
            <w:rFonts w:ascii="Cambria Math" w:eastAsia="Batang" w:hAnsi="Cambria Math" w:hint="eastAsia"/>
            <w:lang w:val="en-US"/>
          </w:rPr>
          <m:t>&lt;1</m:t>
        </m:r>
      </m:oMath>
      <w:r w:rsidRPr="00313E82">
        <w:rPr>
          <w:rFonts w:eastAsia="Batang"/>
          <w:lang w:val="en-US"/>
        </w:rPr>
        <w:t>.</w:t>
      </w:r>
    </w:p>
    <w:p w:rsidR="00850225" w:rsidRPr="00313E82" w:rsidRDefault="00850225">
      <w:pPr>
        <w:rPr>
          <w:rFonts w:eastAsia="Batang"/>
          <w:lang w:val="en-US"/>
        </w:rPr>
      </w:pPr>
      <w:r w:rsidRPr="00313E82">
        <w:rPr>
          <w:rFonts w:eastAsia="Batang"/>
          <w:lang w:val="en-US"/>
        </w:rPr>
        <w:t>Under the same assumptions, the square of the Standardized regression coefficients can be used as sensitivity measure:</w:t>
      </w:r>
    </w:p>
    <w:p w:rsidR="00850225" w:rsidRPr="00313E82" w:rsidRDefault="0043746A">
      <w:pPr>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lang w:val="en-US"/>
                </w:rPr>
                <m:t>β</m:t>
              </m:r>
            </m:e>
            <m:sub>
              <m:r>
                <w:rPr>
                  <w:rFonts w:ascii="Cambria Math" w:eastAsia="Batang" w:hAnsi="Cambria Math"/>
                  <w:lang w:val="en-US"/>
                </w:rPr>
                <m:t>i</m:t>
              </m:r>
            </m:sub>
            <m:sup>
              <m:r>
                <w:rPr>
                  <w:rFonts w:ascii="Cambria Math" w:eastAsia="Batang" w:hAnsi="Cambria Math"/>
                  <w:lang w:val="en-US"/>
                </w:rPr>
                <m:t>2</m:t>
              </m:r>
            </m:sup>
          </m:sSubSup>
          <m:r>
            <w:rPr>
              <w:rFonts w:ascii="Cambria Math" w:eastAsia="Batang" w:hAnsi="Cambria Math" w:hint="eastAsia"/>
              <w:lang w:val="en-US"/>
            </w:rPr>
            <m:t>=</m:t>
          </m:r>
          <m:sSup>
            <m:sSupPr>
              <m:ctrlPr>
                <w:rPr>
                  <w:rFonts w:ascii="Cambria Math" w:eastAsia="Batang" w:hAnsi="Cambria Math"/>
                  <w:i/>
                  <w:lang w:val="en-US"/>
                </w:rPr>
              </m:ctrlPr>
            </m:sSupPr>
            <m:e>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m:t>
                      </m:r>
                      <m:r>
                        <w:rPr>
                          <w:rFonts w:ascii="Cambria Math" w:hAnsi="Cambria Math"/>
                          <w:lang w:val="en-US"/>
                        </w:rPr>
                        <m:t>f</m:t>
                      </m:r>
                    </m:num>
                    <m:den>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den>
                  </m:f>
                </m:e>
              </m:d>
            </m:e>
            <m:sup>
              <m:r>
                <w:rPr>
                  <w:rFonts w:ascii="Cambria Math" w:eastAsia="Batang" w:hAnsi="Cambria Math"/>
                  <w:lang w:val="en-US"/>
                </w:rPr>
                <m:t>2</m:t>
              </m:r>
            </m:sup>
          </m:sSup>
          <m:r>
            <w:rPr>
              <w:rFonts w:ascii="Cambria Math" w:eastAsia="Batang" w:hAnsi="Cambria Math"/>
              <w:lang w:val="en-US"/>
            </w:rPr>
            <m:t>∙</m:t>
          </m:r>
          <m:f>
            <m:fPr>
              <m:ctrlPr>
                <w:rPr>
                  <w:rFonts w:ascii="Cambria Math" w:eastAsia="Batang" w:hAnsi="Cambria Math"/>
                  <w:i/>
                  <w:lang w:val="en-US"/>
                </w:rPr>
              </m:ctrlPr>
            </m:fPr>
            <m:num>
              <m:r>
                <w:rPr>
                  <w:rFonts w:ascii="Cambria Math" w:eastAsia="Batang" w:hAnsi="Cambria Math"/>
                  <w:lang w:val="en-US"/>
                </w:rPr>
                <m:t>Var</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i</m:t>
                      </m:r>
                    </m:sub>
                  </m:sSub>
                </m:e>
              </m:d>
            </m:num>
            <m:den>
              <m:r>
                <w:rPr>
                  <w:rFonts w:ascii="Cambria Math" w:eastAsia="Batang" w:hAnsi="Cambria Math"/>
                  <w:lang w:val="en-US"/>
                </w:rPr>
                <m:t>Var</m:t>
              </m:r>
              <m:d>
                <m:dPr>
                  <m:ctrlPr>
                    <w:rPr>
                      <w:rFonts w:ascii="Cambria Math" w:eastAsia="Batang" w:hAnsi="Cambria Math"/>
                      <w:i/>
                      <w:lang w:val="en-US"/>
                    </w:rPr>
                  </m:ctrlPr>
                </m:dPr>
                <m:e>
                  <m:r>
                    <w:rPr>
                      <w:rFonts w:ascii="Cambria Math" w:hAnsi="Cambria Math"/>
                      <w:lang w:val="en-US"/>
                    </w:rPr>
                    <m:t>φ</m:t>
                  </m:r>
                </m:e>
              </m:d>
            </m:den>
          </m:f>
        </m:oMath>
      </m:oMathPara>
    </w:p>
    <w:p w:rsidR="00850225" w:rsidRPr="00313E82" w:rsidRDefault="00850225" w:rsidP="00C94556">
      <w:pPr>
        <w:pStyle w:val="Titre3"/>
        <w:rPr>
          <w:rFonts w:eastAsia="Batang"/>
          <w:lang w:val="en-US"/>
        </w:rPr>
      </w:pPr>
      <w:bookmarkStart w:id="129" w:name="_Toc474430147"/>
      <w:r w:rsidRPr="00313E82">
        <w:rPr>
          <w:rFonts w:eastAsia="Batang"/>
          <w:lang w:val="en-US"/>
        </w:rPr>
        <w:lastRenderedPageBreak/>
        <w:t>Areas of application</w:t>
      </w:r>
      <w:bookmarkEnd w:id="129"/>
    </w:p>
    <w:p w:rsidR="00850225" w:rsidRPr="00313E82" w:rsidRDefault="00850225">
      <w:pPr>
        <w:rPr>
          <w:rFonts w:eastAsia="Batang"/>
          <w:lang w:val="en-US"/>
        </w:rPr>
      </w:pPr>
      <w:r w:rsidRPr="00313E82">
        <w:rPr>
          <w:rFonts w:eastAsia="Batang"/>
          <w:lang w:val="en-US"/>
        </w:rPr>
        <w:t>The Regression method provides an algebraic representation of relations between the output of the model (</w:t>
      </w:r>
      <w:r w:rsidR="00220314">
        <w:rPr>
          <w:rFonts w:eastAsia="Batang"/>
          <w:lang w:val="en-US"/>
        </w:rPr>
        <w:t>direct</w:t>
      </w:r>
      <w:r w:rsidR="00220314" w:rsidRPr="00313E82">
        <w:rPr>
          <w:rFonts w:eastAsia="Batang"/>
          <w:lang w:val="en-US"/>
        </w:rPr>
        <w:t xml:space="preserve"> </w:t>
      </w:r>
      <w:r w:rsidRPr="00313E82">
        <w:rPr>
          <w:rFonts w:eastAsia="Batang"/>
          <w:lang w:val="en-US"/>
        </w:rPr>
        <w:t>risk measure) and (</w:t>
      </w:r>
      <w:r w:rsidR="00220314">
        <w:rPr>
          <w:rFonts w:eastAsia="Batang"/>
          <w:lang w:val="en-US"/>
        </w:rPr>
        <w:t>o</w:t>
      </w:r>
      <w:r w:rsidR="00220314" w:rsidRPr="00313E82">
        <w:rPr>
          <w:rFonts w:eastAsia="Batang"/>
          <w:lang w:val="en-US"/>
        </w:rPr>
        <w:t>ne</w:t>
      </w:r>
      <w:r w:rsidRPr="00313E82">
        <w:rPr>
          <w:rFonts w:eastAsia="Batang"/>
          <w:lang w:val="en-US"/>
        </w:rPr>
        <w:t>-</w:t>
      </w:r>
      <w:r w:rsidR="00220314">
        <w:rPr>
          <w:rFonts w:eastAsia="Batang"/>
          <w:lang w:val="en-US"/>
        </w:rPr>
        <w:t>a</w:t>
      </w:r>
      <w:r w:rsidR="00220314" w:rsidRPr="00313E82">
        <w:rPr>
          <w:rFonts w:eastAsia="Batang"/>
          <w:lang w:val="en-US"/>
        </w:rPr>
        <w:t>t</w:t>
      </w:r>
      <w:r w:rsidRPr="00313E82">
        <w:rPr>
          <w:rFonts w:eastAsia="Batang"/>
          <w:lang w:val="en-US"/>
        </w:rPr>
        <w:t>-</w:t>
      </w:r>
      <w:r w:rsidR="00220314">
        <w:rPr>
          <w:rFonts w:eastAsia="Batang"/>
          <w:lang w:val="en-US"/>
        </w:rPr>
        <w:t>t</w:t>
      </w:r>
      <w:r w:rsidR="00220314" w:rsidRPr="00313E82">
        <w:rPr>
          <w:rFonts w:eastAsia="Batang"/>
          <w:lang w:val="en-US"/>
        </w:rPr>
        <w:t>ime</w:t>
      </w:r>
      <w:r w:rsidRPr="00313E82">
        <w:rPr>
          <w:rFonts w:eastAsia="Batang"/>
          <w:lang w:val="en-US"/>
        </w:rPr>
        <w:t xml:space="preserve">) input variables. </w:t>
      </w:r>
    </w:p>
    <w:p w:rsidR="00850225" w:rsidRPr="00313E82" w:rsidRDefault="00850225">
      <w:pPr>
        <w:rPr>
          <w:rFonts w:eastAsia="Batang"/>
          <w:lang w:val="en-US"/>
        </w:rPr>
      </w:pPr>
      <w:r w:rsidRPr="00313E82">
        <w:rPr>
          <w:rFonts w:eastAsia="Batang"/>
          <w:lang w:val="en-US"/>
        </w:rPr>
        <w:t>Complementing information is provided by the Standardized regression coefficients and its square.</w:t>
      </w:r>
    </w:p>
    <w:p w:rsidR="00850225" w:rsidRPr="00313E82" w:rsidRDefault="00850225">
      <w:pPr>
        <w:rPr>
          <w:rFonts w:eastAsia="Batang"/>
          <w:lang w:val="en-US"/>
        </w:rPr>
      </w:pPr>
      <w:r w:rsidRPr="00313E82">
        <w:rPr>
          <w:rFonts w:eastAsia="Batang"/>
          <w:lang w:val="en-US"/>
        </w:rPr>
        <w:t xml:space="preserve">The </w:t>
      </w:r>
      <w:r w:rsidR="005F3E6E">
        <w:rPr>
          <w:rFonts w:eastAsia="Batang"/>
          <w:lang w:val="en-US"/>
        </w:rPr>
        <w:t>s</w:t>
      </w:r>
      <w:r w:rsidR="005F3E6E" w:rsidRPr="00313E82">
        <w:rPr>
          <w:rFonts w:eastAsia="Batang"/>
          <w:lang w:val="en-US"/>
        </w:rPr>
        <w:t xml:space="preserve">tandardized </w:t>
      </w:r>
      <w:r w:rsidRPr="00313E82">
        <w:rPr>
          <w:rFonts w:eastAsia="Batang"/>
          <w:lang w:val="en-US"/>
        </w:rPr>
        <w:t>regression coefficient combines a term focused on the point value of the input variable (i.e. partial derivative, i.e. Birnbaum measure) with a term focused on the whole range of variability (i.e. ratio between the square root of variances on the input variable and the model output).</w:t>
      </w:r>
    </w:p>
    <w:p w:rsidR="00850225" w:rsidRPr="00313E82" w:rsidRDefault="00850225">
      <w:pPr>
        <w:rPr>
          <w:rFonts w:eastAsia="Batang"/>
          <w:lang w:val="en-US"/>
        </w:rPr>
      </w:pPr>
      <w:r w:rsidRPr="00313E82">
        <w:rPr>
          <w:rFonts w:eastAsia="Batang"/>
          <w:lang w:val="en-US"/>
        </w:rPr>
        <w:t xml:space="preserve">The square of the </w:t>
      </w:r>
      <w:r w:rsidR="00220314">
        <w:rPr>
          <w:rFonts w:eastAsia="Batang"/>
          <w:lang w:val="en-US"/>
        </w:rPr>
        <w:t>s</w:t>
      </w:r>
      <w:r w:rsidR="00220314" w:rsidRPr="00313E82">
        <w:rPr>
          <w:rFonts w:eastAsia="Batang"/>
          <w:lang w:val="en-US"/>
        </w:rPr>
        <w:t xml:space="preserve">tandardized </w:t>
      </w:r>
      <w:r w:rsidRPr="00313E82">
        <w:rPr>
          <w:rFonts w:eastAsia="Batang"/>
          <w:lang w:val="en-US"/>
        </w:rPr>
        <w:t>regression coefficient provide information on the propagation of the uncertainty through the model, which depends on the square of the partial derivatives.</w:t>
      </w:r>
    </w:p>
    <w:p w:rsidR="00850225" w:rsidRPr="00313E82" w:rsidRDefault="00850225" w:rsidP="00C94556">
      <w:pPr>
        <w:pStyle w:val="Titre3"/>
        <w:rPr>
          <w:rFonts w:eastAsia="Batang"/>
          <w:lang w:val="en-US"/>
        </w:rPr>
      </w:pPr>
      <w:bookmarkStart w:id="130" w:name="_Toc474430148"/>
      <w:r w:rsidRPr="00313E82">
        <w:rPr>
          <w:rFonts w:eastAsia="Batang"/>
          <w:lang w:val="en-US"/>
        </w:rPr>
        <w:t>Discussion</w:t>
      </w:r>
      <w:bookmarkEnd w:id="130"/>
    </w:p>
    <w:p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t xml:space="preserve">The </w:t>
      </w:r>
      <w:r w:rsidR="00220314">
        <w:rPr>
          <w:rFonts w:eastAsia="Batang"/>
          <w:lang w:val="en-US"/>
        </w:rPr>
        <w:t>r</w:t>
      </w:r>
      <w:r w:rsidR="00220314" w:rsidRPr="00313E82">
        <w:rPr>
          <w:rFonts w:eastAsia="Batang"/>
          <w:lang w:val="en-US"/>
        </w:rPr>
        <w:t xml:space="preserve">egression </w:t>
      </w:r>
      <w:r w:rsidRPr="00313E82">
        <w:rPr>
          <w:rFonts w:eastAsia="Batang"/>
          <w:lang w:val="en-US"/>
        </w:rPr>
        <w:t>method provides measures able to account for the uncertainty associated to the input variables, which is represented by a normal probability distribution and then characterized by the second central moment (variance). It could be the result of the assessment of the (epistemic) uncertainty on the input variables, or just as fictitious uncertainty introduced to calculate the sensitivity measures.</w:t>
      </w:r>
    </w:p>
    <w:p w:rsidR="00850225" w:rsidRPr="00313E82" w:rsidRDefault="00850225">
      <w:pPr>
        <w:rPr>
          <w:rFonts w:eastAsia="Batang"/>
          <w:lang w:val="en-US"/>
        </w:rPr>
      </w:pPr>
      <w:r w:rsidRPr="00313E82">
        <w:rPr>
          <w:rFonts w:eastAsia="Batang"/>
          <w:u w:val="single"/>
          <w:lang w:val="en-US"/>
        </w:rPr>
        <w:t>Reliability and Consistency:</w:t>
      </w:r>
    </w:p>
    <w:p w:rsidR="00850225" w:rsidRPr="00313E82" w:rsidRDefault="00850225" w:rsidP="00B76953">
      <w:pPr>
        <w:ind w:left="709"/>
        <w:rPr>
          <w:rFonts w:eastAsia="Batang"/>
          <w:lang w:val="en-US"/>
        </w:rPr>
      </w:pPr>
      <w:r w:rsidRPr="00313E82">
        <w:rPr>
          <w:rFonts w:eastAsia="Batang"/>
          <w:lang w:val="en-US"/>
        </w:rPr>
        <w:t xml:space="preserve">The basic philosophy and the mathematical formulas are consistent, simple and easy to be implemented. Typically, sampling techniques are used to generate the sets of values of the input variables; the value of the model output is computed for each input set; the “Not standardized coefficients” parameters </w:t>
      </w:r>
      <m:oMath>
        <m:sSub>
          <m:sSubPr>
            <m:ctrlPr>
              <w:rPr>
                <w:rFonts w:ascii="Cambria Math" w:eastAsia="Batang" w:hAnsi="Cambria Math"/>
                <w:lang w:val="en-US"/>
              </w:rPr>
            </m:ctrlPr>
          </m:sSubPr>
          <m:e>
            <m:r>
              <m:rPr>
                <m:sty m:val="p"/>
              </m:rPr>
              <w:rPr>
                <w:rFonts w:ascii="Cambria Math" w:eastAsia="Batang" w:hAnsi="Cambria Math"/>
                <w:lang w:val="en-US"/>
              </w:rPr>
              <m:t>a</m:t>
            </m:r>
          </m:e>
          <m:sub>
            <m:r>
              <m:rPr>
                <m:sty m:val="p"/>
              </m:rPr>
              <w:rPr>
                <w:rFonts w:ascii="Cambria Math" w:eastAsia="Batang" w:hAnsi="Cambria Math"/>
                <w:lang w:val="en-US"/>
              </w:rPr>
              <m:t>i</m:t>
            </m:r>
          </m:sub>
        </m:sSub>
      </m:oMath>
      <w:r w:rsidRPr="00313E82">
        <w:rPr>
          <w:rFonts w:eastAsia="Batang"/>
          <w:lang w:val="en-US"/>
        </w:rPr>
        <w:t xml:space="preserve"> can be computed, for instance, by means of the “least square approach”.</w:t>
      </w:r>
    </w:p>
    <w:p w:rsidR="00850225" w:rsidRPr="00313E82" w:rsidRDefault="00850225" w:rsidP="00B76953">
      <w:pPr>
        <w:ind w:left="709"/>
        <w:rPr>
          <w:rFonts w:eastAsia="Batang"/>
          <w:lang w:val="en-US"/>
        </w:rPr>
      </w:pPr>
      <w:r w:rsidRPr="00313E82">
        <w:rPr>
          <w:rFonts w:eastAsia="Batang"/>
          <w:lang w:val="en-US"/>
        </w:rPr>
        <w:t xml:space="preserve">The “efficiency” of </w:t>
      </w:r>
      <m:oMath>
        <m:sSub>
          <m:sSubPr>
            <m:ctrlPr>
              <w:rPr>
                <w:rFonts w:ascii="Cambria Math" w:eastAsia="Batang" w:hAnsi="Cambria Math"/>
                <w:i/>
                <w:lang w:val="en-US"/>
              </w:rPr>
            </m:ctrlPr>
          </m:sSubPr>
          <m:e>
            <m:r>
              <w:rPr>
                <w:rFonts w:ascii="Cambria Math" w:eastAsia="Batang" w:hAnsi="Cambria Math"/>
                <w:lang w:val="en-US"/>
              </w:rPr>
              <m:t>β</m:t>
            </m:r>
          </m:e>
          <m:sub>
            <m:r>
              <w:rPr>
                <w:rFonts w:ascii="Cambria Math" w:eastAsia="Batang" w:hAnsi="Cambria Math"/>
                <w:lang w:val="en-US"/>
              </w:rPr>
              <m:t>i</m:t>
            </m:r>
          </m:sub>
        </m:sSub>
      </m:oMath>
      <w:r w:rsidRPr="00313E82">
        <w:rPr>
          <w:rFonts w:eastAsia="Batang"/>
          <w:lang w:val="en-US"/>
        </w:rPr>
        <w:t xml:space="preserve"> and </w:t>
      </w:r>
      <m:oMath>
        <m:sSubSup>
          <m:sSubSupPr>
            <m:ctrlPr>
              <w:rPr>
                <w:rFonts w:ascii="Cambria Math" w:eastAsia="Batang" w:hAnsi="Cambria Math"/>
                <w:i/>
                <w:lang w:val="en-US"/>
              </w:rPr>
            </m:ctrlPr>
          </m:sSubSupPr>
          <m:e>
            <m:r>
              <w:rPr>
                <w:rFonts w:ascii="Cambria Math" w:eastAsia="Batang" w:hAnsi="Cambria Math"/>
                <w:lang w:val="en-US"/>
              </w:rPr>
              <m:t>β</m:t>
            </m:r>
          </m:e>
          <m:sub>
            <m:r>
              <w:rPr>
                <w:rFonts w:ascii="Cambria Math" w:eastAsia="Batang" w:hAnsi="Cambria Math"/>
                <w:lang w:val="en-US"/>
              </w:rPr>
              <m:t>i</m:t>
            </m:r>
          </m:sub>
          <m:sup>
            <m:r>
              <w:rPr>
                <w:rFonts w:ascii="Cambria Math" w:eastAsia="Batang" w:hAnsi="Cambria Math"/>
                <w:lang w:val="en-US"/>
              </w:rPr>
              <m:t>2</m:t>
            </m:r>
          </m:sup>
        </m:sSubSup>
      </m:oMath>
      <w:r w:rsidRPr="00313E82">
        <w:rPr>
          <w:rFonts w:eastAsia="Batang"/>
          <w:lang w:val="en-US"/>
        </w:rPr>
        <w:t xml:space="preserve"> as </w:t>
      </w:r>
      <w:r w:rsidR="00220314">
        <w:rPr>
          <w:rFonts w:eastAsia="Batang"/>
          <w:lang w:val="en-US"/>
        </w:rPr>
        <w:t>i</w:t>
      </w:r>
      <w:r w:rsidR="00220314" w:rsidRPr="00313E82">
        <w:rPr>
          <w:rFonts w:eastAsia="Batang"/>
          <w:lang w:val="en-US"/>
        </w:rPr>
        <w:t xml:space="preserve">mportance </w:t>
      </w:r>
      <w:r w:rsidRPr="00313E82">
        <w:rPr>
          <w:rFonts w:eastAsia="Batang"/>
          <w:lang w:val="en-US"/>
        </w:rPr>
        <w:t xml:space="preserve">and </w:t>
      </w:r>
      <w:r w:rsidR="00220314">
        <w:rPr>
          <w:rFonts w:eastAsia="Batang"/>
          <w:lang w:val="en-US"/>
        </w:rPr>
        <w:t>s</w:t>
      </w:r>
      <w:r w:rsidR="00220314" w:rsidRPr="00313E82">
        <w:rPr>
          <w:rFonts w:eastAsia="Batang"/>
          <w:lang w:val="en-US"/>
        </w:rPr>
        <w:t xml:space="preserve">ensitivity </w:t>
      </w:r>
      <w:r w:rsidRPr="00313E82">
        <w:rPr>
          <w:rFonts w:eastAsia="Batang"/>
          <w:lang w:val="en-US"/>
        </w:rPr>
        <w:t>measures can be estimated through the so-called “</w:t>
      </w:r>
      <w:r w:rsidR="00220314">
        <w:rPr>
          <w:rFonts w:eastAsia="Batang"/>
          <w:lang w:val="en-US"/>
        </w:rPr>
        <w:t>c</w:t>
      </w:r>
      <w:r w:rsidR="00220314" w:rsidRPr="00313E82">
        <w:rPr>
          <w:rFonts w:eastAsia="Batang"/>
          <w:lang w:val="en-US"/>
        </w:rPr>
        <w:t xml:space="preserve">oefficient </w:t>
      </w:r>
      <w:r w:rsidRPr="00313E82">
        <w:rPr>
          <w:rFonts w:eastAsia="Batang"/>
          <w:lang w:val="en-US"/>
        </w:rPr>
        <w:t>of determination” of the linear regression. It is the ratio between the variance on the model output explained by the linear regression and the variance on the sampled data.</w:t>
      </w:r>
    </w:p>
    <w:p w:rsidR="00850225" w:rsidRPr="00313E82" w:rsidRDefault="0043746A">
      <w:pPr>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lang w:val="en-US"/>
                </w:rPr>
                <m:t>R</m:t>
              </m:r>
            </m:e>
            <m:sub>
              <m:r>
                <w:rPr>
                  <w:rFonts w:ascii="Cambria Math" w:eastAsia="Batang" w:hAnsi="Cambria Math"/>
                  <w:lang w:val="en-US"/>
                </w:rPr>
                <m:t>U</m:t>
              </m:r>
            </m:sub>
            <m:sup>
              <m:r>
                <w:rPr>
                  <w:rFonts w:ascii="Cambria Math" w:eastAsia="Batang" w:hAnsi="Cambria Math"/>
                  <w:lang w:val="en-US"/>
                </w:rPr>
                <m:t>2</m:t>
              </m:r>
            </m:sup>
          </m:sSubSup>
          <m:r>
            <w:rPr>
              <w:rFonts w:ascii="Cambria Math" w:eastAsia="Batang" w:hAnsi="Cambria Math" w:hint="eastAsia"/>
              <w:lang w:val="en-US"/>
            </w:rPr>
            <m:t>=</m:t>
          </m:r>
          <m:f>
            <m:fPr>
              <m:ctrlPr>
                <w:rPr>
                  <w:rFonts w:ascii="Cambria Math" w:eastAsia="Batang" w:hAnsi="Cambria Math"/>
                  <w:i/>
                  <w:lang w:val="en-US"/>
                </w:rPr>
              </m:ctrlPr>
            </m:fPr>
            <m:num>
              <m:nary>
                <m:naryPr>
                  <m:chr m:val="∑"/>
                  <m:limLoc m:val="undOvr"/>
                  <m:supHide m:val="1"/>
                  <m:ctrlPr>
                    <w:rPr>
                      <w:rFonts w:ascii="Cambria Math" w:eastAsia="Batang" w:hAnsi="Cambria Math"/>
                      <w:i/>
                      <w:lang w:val="en-US"/>
                    </w:rPr>
                  </m:ctrlPr>
                </m:naryPr>
                <m:sub>
                  <m:r>
                    <w:rPr>
                      <w:rFonts w:ascii="Cambria Math" w:eastAsia="Batang" w:hAnsi="Cambria Math"/>
                      <w:lang w:val="en-US"/>
                    </w:rPr>
                    <m:t>j</m:t>
                  </m:r>
                </m:sub>
                <m:sup/>
                <m:e>
                  <m:sSup>
                    <m:sSupPr>
                      <m:ctrlPr>
                        <w:rPr>
                          <w:rFonts w:ascii="Cambria Math" w:eastAsia="Batang" w:hAnsi="Cambria Math"/>
                          <w:i/>
                          <w:lang w:val="en-US"/>
                        </w:rPr>
                      </m:ctrlPr>
                    </m:sSupPr>
                    <m:e>
                      <m:d>
                        <m:dPr>
                          <m:ctrlPr>
                            <w:rPr>
                              <w:rFonts w:ascii="Cambria Math" w:eastAsia="Batang" w:hAnsi="Cambria Math"/>
                              <w:i/>
                              <w:lang w:val="en-US"/>
                            </w:rPr>
                          </m:ctrlPr>
                        </m:dPr>
                        <m:e>
                          <m:sSubSup>
                            <m:sSubSupPr>
                              <m:ctrlPr>
                                <w:rPr>
                                  <w:rFonts w:ascii="Cambria Math" w:eastAsia="Batang" w:hAnsi="Cambria Math"/>
                                  <w:i/>
                                  <w:lang w:val="en-US"/>
                                </w:rPr>
                              </m:ctrlPr>
                            </m:sSubSupPr>
                            <m:e>
                              <m:acc>
                                <m:accPr>
                                  <m:ctrlPr>
                                    <w:rPr>
                                      <w:rFonts w:ascii="Cambria Math" w:eastAsia="Batang" w:hAnsi="Cambria Math"/>
                                      <w:i/>
                                      <w:lang w:val="en-US"/>
                                    </w:rPr>
                                  </m:ctrlPr>
                                </m:accPr>
                                <m:e>
                                  <m:r>
                                    <w:rPr>
                                      <w:rFonts w:ascii="Cambria Math" w:hAnsi="Cambria Math"/>
                                      <w:lang w:val="en-US"/>
                                    </w:rPr>
                                    <m:t>f</m:t>
                                  </m:r>
                                </m:e>
                              </m:acc>
                            </m:e>
                            <m:sub/>
                            <m:sup>
                              <m:r>
                                <w:rPr>
                                  <w:rFonts w:ascii="Cambria Math" w:eastAsia="Batang" w:hAnsi="Cambria Math"/>
                                  <w:lang w:val="en-US"/>
                                </w:rPr>
                                <m:t>j</m:t>
                              </m:r>
                            </m:sup>
                          </m:sSubSup>
                          <m:r>
                            <w:rPr>
                              <w:rFonts w:ascii="Cambria Math" w:eastAsia="Batang" w:hAnsi="Cambria Math"/>
                              <w:lang w:val="en-US"/>
                            </w:rPr>
                            <m:t>-</m:t>
                          </m:r>
                          <m:acc>
                            <m:accPr>
                              <m:chr m:val="̅"/>
                              <m:ctrlPr>
                                <w:rPr>
                                  <w:rFonts w:ascii="Cambria Math" w:eastAsia="Batang" w:hAnsi="Cambria Math"/>
                                  <w:i/>
                                  <w:lang w:val="en-US"/>
                                </w:rPr>
                              </m:ctrlPr>
                            </m:accPr>
                            <m:e>
                              <m:r>
                                <w:rPr>
                                  <w:rFonts w:ascii="Cambria Math" w:hAnsi="Cambria Math"/>
                                  <w:lang w:val="en-US"/>
                                </w:rPr>
                                <m:t>f</m:t>
                              </m:r>
                            </m:e>
                          </m:acc>
                        </m:e>
                      </m:d>
                    </m:e>
                    <m:sup>
                      <m:r>
                        <w:rPr>
                          <w:rFonts w:ascii="Cambria Math" w:eastAsia="Batang" w:hAnsi="Cambria Math"/>
                          <w:lang w:val="en-US"/>
                        </w:rPr>
                        <m:t>2</m:t>
                      </m:r>
                    </m:sup>
                  </m:sSup>
                </m:e>
              </m:nary>
            </m:num>
            <m:den>
              <m:nary>
                <m:naryPr>
                  <m:chr m:val="∑"/>
                  <m:limLoc m:val="undOvr"/>
                  <m:supHide m:val="1"/>
                  <m:ctrlPr>
                    <w:rPr>
                      <w:rFonts w:ascii="Cambria Math" w:eastAsia="Batang" w:hAnsi="Cambria Math"/>
                      <w:i/>
                      <w:lang w:val="en-US"/>
                    </w:rPr>
                  </m:ctrlPr>
                </m:naryPr>
                <m:sub>
                  <m:r>
                    <w:rPr>
                      <w:rFonts w:ascii="Cambria Math" w:eastAsia="Batang" w:hAnsi="Cambria Math"/>
                      <w:lang w:val="en-US"/>
                    </w:rPr>
                    <m:t>j</m:t>
                  </m:r>
                </m:sub>
                <m:sup/>
                <m:e>
                  <m:sSup>
                    <m:sSupPr>
                      <m:ctrlPr>
                        <w:rPr>
                          <w:rFonts w:ascii="Cambria Math" w:eastAsia="Batang" w:hAnsi="Cambria Math"/>
                          <w:i/>
                          <w:lang w:val="en-US"/>
                        </w:rPr>
                      </m:ctrlPr>
                    </m:sSupPr>
                    <m:e>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hAnsi="Cambria Math"/>
                                  <w:lang w:val="en-US"/>
                                </w:rPr>
                                <m:t>f</m:t>
                              </m:r>
                            </m:e>
                            <m:sub/>
                            <m:sup>
                              <m:r>
                                <w:rPr>
                                  <w:rFonts w:ascii="Cambria Math" w:eastAsia="Batang" w:hAnsi="Cambria Math"/>
                                  <w:lang w:val="en-US"/>
                                </w:rPr>
                                <m:t>j</m:t>
                              </m:r>
                            </m:sup>
                          </m:sSubSup>
                          <m:r>
                            <w:rPr>
                              <w:rFonts w:ascii="Cambria Math" w:eastAsia="Batang" w:hAnsi="Cambria Math"/>
                              <w:lang w:val="en-US"/>
                            </w:rPr>
                            <m:t>-</m:t>
                          </m:r>
                          <m:acc>
                            <m:accPr>
                              <m:chr m:val="̅"/>
                              <m:ctrlPr>
                                <w:rPr>
                                  <w:rFonts w:ascii="Cambria Math" w:eastAsia="Batang" w:hAnsi="Cambria Math"/>
                                  <w:i/>
                                  <w:lang w:val="en-US"/>
                                </w:rPr>
                              </m:ctrlPr>
                            </m:accPr>
                            <m:e>
                              <m:r>
                                <w:rPr>
                                  <w:rFonts w:ascii="Cambria Math" w:hAnsi="Cambria Math"/>
                                  <w:lang w:val="en-US"/>
                                </w:rPr>
                                <m:t>f</m:t>
                              </m:r>
                            </m:e>
                          </m:acc>
                        </m:e>
                      </m:d>
                    </m:e>
                    <m:sup>
                      <m:r>
                        <w:rPr>
                          <w:rFonts w:ascii="Cambria Math" w:eastAsia="Batang" w:hAnsi="Cambria Math"/>
                          <w:lang w:val="en-US"/>
                        </w:rPr>
                        <m:t>2</m:t>
                      </m:r>
                    </m:sup>
                  </m:sSup>
                </m:e>
              </m:nary>
            </m:den>
          </m:f>
          <m:r>
            <w:rPr>
              <w:rFonts w:ascii="Cambria Math" w:eastAsia="Batang" w:hAnsi="Cambria Math" w:hint="eastAsia"/>
              <w:lang w:val="en-US"/>
            </w:rPr>
            <m:t>=</m:t>
          </m:r>
          <m:f>
            <m:fPr>
              <m:ctrlPr>
                <w:rPr>
                  <w:rFonts w:ascii="Cambria Math" w:eastAsia="Batang" w:hAnsi="Cambria Math"/>
                  <w:i/>
                  <w:lang w:val="en-US"/>
                </w:rPr>
              </m:ctrlPr>
            </m:fPr>
            <m:num>
              <m:r>
                <w:rPr>
                  <w:rFonts w:ascii="Cambria Math" w:eastAsia="Batang" w:hAnsi="Cambria Math"/>
                  <w:lang w:val="en-US"/>
                </w:rPr>
                <m:t>Var</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y</m:t>
                      </m:r>
                    </m:e>
                    <m:sub>
                      <m:r>
                        <w:rPr>
                          <w:rFonts w:ascii="Cambria Math" w:eastAsia="Batang" w:hAnsi="Cambria Math"/>
                          <w:lang w:val="en-US"/>
                        </w:rPr>
                        <m:t>regr</m:t>
                      </m:r>
                    </m:sub>
                  </m:sSub>
                </m:e>
              </m:d>
            </m:num>
            <m:den>
              <m:r>
                <w:rPr>
                  <w:rFonts w:ascii="Cambria Math" w:eastAsia="Batang" w:hAnsi="Cambria Math"/>
                  <w:lang w:val="en-US"/>
                </w:rPr>
                <m:t>Var</m:t>
              </m:r>
              <m:d>
                <m:dPr>
                  <m:ctrlPr>
                    <w:rPr>
                      <w:rFonts w:ascii="Cambria Math" w:eastAsia="Batang" w:hAnsi="Cambria Math"/>
                      <w:i/>
                      <w:lang w:val="en-US"/>
                    </w:rPr>
                  </m:ctrlPr>
                </m:dPr>
                <m:e>
                  <m:r>
                    <w:rPr>
                      <w:rFonts w:ascii="Cambria Math" w:eastAsia="Batang" w:hAnsi="Cambria Math"/>
                      <w:lang w:val="en-US"/>
                    </w:rPr>
                    <m:t>y</m:t>
                  </m:r>
                </m:e>
              </m:d>
            </m:den>
          </m:f>
        </m:oMath>
      </m:oMathPara>
    </w:p>
    <w:p w:rsidR="00850225" w:rsidRPr="00313E82" w:rsidRDefault="00850225" w:rsidP="00B76953">
      <w:pPr>
        <w:ind w:left="709"/>
        <w:rPr>
          <w:rFonts w:eastAsia="Batang"/>
          <w:lang w:val="en-US"/>
        </w:rPr>
      </w:pPr>
      <w:r w:rsidRPr="00313E82">
        <w:rPr>
          <w:rFonts w:eastAsia="Batang"/>
          <w:lang w:val="en-US"/>
        </w:rPr>
        <w:t xml:space="preserve">It results </w:t>
      </w:r>
      <m:oMath>
        <m:r>
          <w:rPr>
            <w:rFonts w:ascii="Cambria Math" w:eastAsia="Batang" w:hAnsi="Cambria Math"/>
            <w:lang w:val="en-US"/>
          </w:rPr>
          <m:t>0</m:t>
        </m:r>
        <m:r>
          <w:rPr>
            <w:rFonts w:ascii="Cambria Math" w:eastAsia="Batang" w:hAnsi="Cambria Math" w:hint="eastAsia"/>
            <w:lang w:val="en-US"/>
          </w:rPr>
          <m:t>≤</m:t>
        </m:r>
        <m:sSubSup>
          <m:sSubSupPr>
            <m:ctrlPr>
              <w:rPr>
                <w:rFonts w:ascii="Cambria Math" w:eastAsia="Batang" w:hAnsi="Cambria Math"/>
                <w:i/>
                <w:lang w:val="en-US"/>
              </w:rPr>
            </m:ctrlPr>
          </m:sSubSupPr>
          <m:e>
            <m:r>
              <w:rPr>
                <w:rFonts w:ascii="Cambria Math" w:eastAsia="Batang" w:hAnsi="Cambria Math"/>
                <w:lang w:val="en-US"/>
              </w:rPr>
              <m:t>R</m:t>
            </m:r>
          </m:e>
          <m:sub>
            <m:r>
              <w:rPr>
                <w:rFonts w:ascii="Cambria Math" w:eastAsia="Batang" w:hAnsi="Cambria Math"/>
                <w:lang w:val="en-US"/>
              </w:rPr>
              <m:t>U</m:t>
            </m:r>
          </m:sub>
          <m:sup>
            <m:r>
              <w:rPr>
                <w:rFonts w:ascii="Cambria Math" w:eastAsia="Batang" w:hAnsi="Cambria Math"/>
                <w:lang w:val="en-US"/>
              </w:rPr>
              <m:t>2</m:t>
            </m:r>
          </m:sup>
        </m:sSubSup>
        <m:r>
          <w:rPr>
            <w:rFonts w:ascii="Cambria Math" w:eastAsia="Batang" w:hAnsi="Cambria Math" w:hint="eastAsia"/>
            <w:lang w:val="en-US"/>
          </w:rPr>
          <m:t>≤</m:t>
        </m:r>
        <m:r>
          <w:rPr>
            <w:rFonts w:ascii="Cambria Math" w:eastAsia="Batang" w:hAnsi="Cambria Math"/>
            <w:lang w:val="en-US"/>
          </w:rPr>
          <m:t>1</m:t>
        </m:r>
      </m:oMath>
      <w:r w:rsidRPr="00313E82">
        <w:rPr>
          <w:rFonts w:eastAsia="Batang"/>
          <w:lang w:val="en-US"/>
        </w:rPr>
        <w:t xml:space="preserve">. Specifically, </w:t>
      </w:r>
      <m:oMath>
        <m:sSubSup>
          <m:sSubSupPr>
            <m:ctrlPr>
              <w:rPr>
                <w:rFonts w:ascii="Cambria Math" w:eastAsia="Batang" w:hAnsi="Cambria Math"/>
                <w:i/>
                <w:lang w:val="en-US"/>
              </w:rPr>
            </m:ctrlPr>
          </m:sSubSupPr>
          <m:e>
            <m:r>
              <w:rPr>
                <w:rFonts w:ascii="Cambria Math" w:eastAsia="Batang" w:hAnsi="Cambria Math"/>
                <w:lang w:val="en-US"/>
              </w:rPr>
              <m:t>R</m:t>
            </m:r>
          </m:e>
          <m:sub>
            <m:r>
              <w:rPr>
                <w:rFonts w:ascii="Cambria Math" w:eastAsia="Batang" w:hAnsi="Cambria Math"/>
                <w:lang w:val="en-US"/>
              </w:rPr>
              <m:t>U</m:t>
            </m:r>
          </m:sub>
          <m:sup>
            <m:r>
              <w:rPr>
                <w:rFonts w:ascii="Cambria Math" w:eastAsia="Batang" w:hAnsi="Cambria Math"/>
                <w:lang w:val="en-US"/>
              </w:rPr>
              <m:t>2</m:t>
            </m:r>
          </m:sup>
        </m:sSubSup>
      </m:oMath>
      <w:r w:rsidRPr="00313E82">
        <w:rPr>
          <w:rFonts w:eastAsia="Batang"/>
          <w:lang w:val="en-US"/>
        </w:rPr>
        <w:t xml:space="preserve"> is close to 1 when the </w:t>
      </w:r>
      <w:r w:rsidR="00416B82">
        <w:rPr>
          <w:rFonts w:eastAsia="Batang"/>
          <w:lang w:val="en-US"/>
        </w:rPr>
        <w:t xml:space="preserve">linear </w:t>
      </w:r>
      <w:r w:rsidRPr="00313E82">
        <w:rPr>
          <w:rFonts w:eastAsia="Batang"/>
          <w:lang w:val="en-US"/>
        </w:rPr>
        <w:t>regression model takes into account most of the uncertainty on the model output.</w:t>
      </w:r>
    </w:p>
    <w:p w:rsidR="00850225" w:rsidRPr="00313E82" w:rsidRDefault="00850225">
      <w:pPr>
        <w:rPr>
          <w:rFonts w:eastAsia="Batang"/>
          <w:lang w:val="en-US"/>
        </w:rPr>
      </w:pPr>
      <w:r w:rsidRPr="00313E82">
        <w:rPr>
          <w:rFonts w:eastAsia="Batang"/>
          <w:u w:val="single"/>
          <w:lang w:val="en-US"/>
        </w:rPr>
        <w:t>Risk aggregation properties</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t>The above measure is not additive. Its estimation for a group of input variables requires the development of a multi-regression analysis, or at least the re-coding of variables into a single fictitious variable singularly considered.</w:t>
      </w:r>
    </w:p>
    <w:p w:rsidR="00850225" w:rsidRPr="00313E82" w:rsidRDefault="00850225">
      <w:pPr>
        <w:ind w:left="284" w:hanging="284"/>
        <w:rPr>
          <w:rFonts w:eastAsia="Batang"/>
          <w:lang w:val="en-US"/>
        </w:rPr>
      </w:pPr>
      <w:r w:rsidRPr="00313E82">
        <w:rPr>
          <w:rFonts w:eastAsia="Batang"/>
          <w:u w:val="single"/>
          <w:lang w:val="en-US"/>
        </w:rPr>
        <w:t>Understandability to the PSA community</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t xml:space="preserve">Although the results of a linear regression model is easy to </w:t>
      </w:r>
      <w:r w:rsidR="00220314">
        <w:rPr>
          <w:rFonts w:eastAsia="Batang"/>
          <w:lang w:val="en-US"/>
        </w:rPr>
        <w:t>understand</w:t>
      </w:r>
      <w:r w:rsidRPr="00313E82">
        <w:rPr>
          <w:rFonts w:eastAsia="Batang"/>
          <w:lang w:val="en-US"/>
        </w:rPr>
        <w:t xml:space="preserve"> in mathematical terms, the information encoded in the importance and sensitivity measures defined above could be difficult to interpret because they mix local (partial derivatives) and global (ratio between variances of input and output) information into single measures.</w:t>
      </w:r>
    </w:p>
    <w:p w:rsidR="00850225" w:rsidRPr="00313E82" w:rsidRDefault="00850225" w:rsidP="00C94556">
      <w:pPr>
        <w:pStyle w:val="Titre3"/>
        <w:rPr>
          <w:rFonts w:eastAsia="Batang"/>
          <w:lang w:val="en-US"/>
        </w:rPr>
      </w:pPr>
      <w:bookmarkStart w:id="131" w:name="_Toc474430149"/>
      <w:r w:rsidRPr="00313E82">
        <w:rPr>
          <w:rFonts w:eastAsia="Batang"/>
          <w:lang w:val="en-US"/>
        </w:rPr>
        <w:lastRenderedPageBreak/>
        <w:t>Limitation</w:t>
      </w:r>
      <w:bookmarkEnd w:id="131"/>
    </w:p>
    <w:p w:rsidR="00850225" w:rsidRPr="00313E82" w:rsidRDefault="00850225">
      <w:pPr>
        <w:rPr>
          <w:rFonts w:eastAsia="Batang"/>
          <w:lang w:val="en-US"/>
        </w:rPr>
      </w:pPr>
      <w:r w:rsidRPr="00313E82">
        <w:rPr>
          <w:rFonts w:eastAsia="Batang"/>
          <w:lang w:val="en-US"/>
        </w:rPr>
        <w:t>Obviously, the measures defined by the linear regression method assume that linear relations exist between the probability of the undesired consequence a</w:t>
      </w:r>
      <w:r w:rsidR="00220314">
        <w:rPr>
          <w:rFonts w:eastAsia="Batang"/>
          <w:lang w:val="en-US"/>
        </w:rPr>
        <w:t>n</w:t>
      </w:r>
      <w:r w:rsidRPr="00313E82">
        <w:rPr>
          <w:rFonts w:eastAsia="Batang"/>
          <w:lang w:val="en-US"/>
        </w:rPr>
        <w:t xml:space="preserve">d the </w:t>
      </w:r>
      <w:r w:rsidR="00220314" w:rsidRPr="00313E82">
        <w:rPr>
          <w:rFonts w:eastAsia="Batang"/>
          <w:lang w:val="en-US"/>
        </w:rPr>
        <w:t>probabilit</w:t>
      </w:r>
      <w:r w:rsidR="00220314">
        <w:rPr>
          <w:rFonts w:eastAsia="Batang"/>
          <w:lang w:val="en-US"/>
        </w:rPr>
        <w:t>ies</w:t>
      </w:r>
      <w:r w:rsidR="00220314" w:rsidRPr="00313E82">
        <w:rPr>
          <w:rFonts w:eastAsia="Batang"/>
          <w:lang w:val="en-US"/>
        </w:rPr>
        <w:t xml:space="preserve"> </w:t>
      </w:r>
      <w:r w:rsidRPr="00313E82">
        <w:rPr>
          <w:rFonts w:eastAsia="Batang"/>
          <w:lang w:val="en-US"/>
        </w:rPr>
        <w:t xml:space="preserve">of the basic events or anyway neglect non-linear terms. The </w:t>
      </w:r>
      <w:r w:rsidR="00220314">
        <w:rPr>
          <w:rFonts w:eastAsia="Batang"/>
          <w:lang w:val="en-US"/>
        </w:rPr>
        <w:t>s</w:t>
      </w:r>
      <w:r w:rsidR="00220314" w:rsidRPr="00313E82">
        <w:rPr>
          <w:rFonts w:eastAsia="Batang"/>
          <w:lang w:val="en-US"/>
        </w:rPr>
        <w:t xml:space="preserve">tandardized </w:t>
      </w:r>
      <w:r w:rsidRPr="00313E82">
        <w:rPr>
          <w:rFonts w:eastAsia="Batang"/>
          <w:lang w:val="en-US"/>
        </w:rPr>
        <w:t xml:space="preserve">regression coefficient shows the same limits of the traditional </w:t>
      </w:r>
      <w:r w:rsidR="00220314">
        <w:rPr>
          <w:rFonts w:eastAsia="Batang"/>
          <w:lang w:val="en-US"/>
        </w:rPr>
        <w:t>i</w:t>
      </w:r>
      <w:r w:rsidR="00220314" w:rsidRPr="00313E82">
        <w:rPr>
          <w:rFonts w:eastAsia="Batang"/>
          <w:lang w:val="en-US"/>
        </w:rPr>
        <w:t xml:space="preserve">mportance </w:t>
      </w:r>
      <w:r w:rsidRPr="00313E82">
        <w:rPr>
          <w:rFonts w:eastAsia="Batang"/>
          <w:lang w:val="en-US"/>
        </w:rPr>
        <w:t>measures previously discussed. Nonlinear regression provides an alternative approach but a major challenge is the determination of a suitable form for the regression model. A rank transformation can be used to convert a nonlinear but monotonic relationship between the input and output variables into a linear one</w:t>
      </w:r>
      <w:r w:rsidR="00C773E4">
        <w:rPr>
          <w:rFonts w:eastAsia="Batang"/>
          <w:lang w:val="en-US"/>
        </w:rPr>
        <w:t>, but will not provide information on the original nonlinear aspect</w:t>
      </w:r>
      <w:r w:rsidRPr="00313E82">
        <w:rPr>
          <w:rFonts w:eastAsia="Batang"/>
          <w:lang w:val="en-US"/>
        </w:rPr>
        <w:t>.</w:t>
      </w:r>
    </w:p>
    <w:p w:rsidR="00850225" w:rsidRPr="00313E82" w:rsidRDefault="00850225">
      <w:pPr>
        <w:rPr>
          <w:rFonts w:eastAsia="Batang"/>
          <w:lang w:val="en-US"/>
        </w:rPr>
      </w:pPr>
      <w:r w:rsidRPr="00313E82">
        <w:rPr>
          <w:rFonts w:eastAsia="Batang"/>
          <w:lang w:val="en-US"/>
        </w:rPr>
        <w:t xml:space="preserve">The method requires the assignment of uncertainty </w:t>
      </w:r>
      <w:r w:rsidR="00C773E4">
        <w:rPr>
          <w:rFonts w:eastAsia="Batang"/>
          <w:lang w:val="en-US"/>
        </w:rPr>
        <w:t>for</w:t>
      </w:r>
      <w:r w:rsidR="00C773E4" w:rsidRPr="00313E82">
        <w:rPr>
          <w:rFonts w:eastAsia="Batang"/>
          <w:lang w:val="en-US"/>
        </w:rPr>
        <w:t xml:space="preserve"> </w:t>
      </w:r>
      <w:r w:rsidRPr="00313E82">
        <w:rPr>
          <w:rFonts w:eastAsia="Batang"/>
          <w:lang w:val="en-US"/>
        </w:rPr>
        <w:t xml:space="preserve">each input variable. The propagation of this uncertainty through the model provides insights on its structure which are not accounted </w:t>
      </w:r>
      <w:r w:rsidR="00C773E4">
        <w:rPr>
          <w:rFonts w:eastAsia="Batang"/>
          <w:lang w:val="en-US"/>
        </w:rPr>
        <w:t xml:space="preserve">for </w:t>
      </w:r>
      <w:r w:rsidRPr="00313E82">
        <w:rPr>
          <w:rFonts w:eastAsia="Batang"/>
          <w:lang w:val="en-US"/>
        </w:rPr>
        <w:t xml:space="preserve">by the traditional </w:t>
      </w:r>
      <w:r w:rsidR="00C773E4">
        <w:rPr>
          <w:rFonts w:eastAsia="Batang"/>
          <w:lang w:val="en-US"/>
        </w:rPr>
        <w:t>i</w:t>
      </w:r>
      <w:r w:rsidR="00C773E4" w:rsidRPr="00313E82">
        <w:rPr>
          <w:rFonts w:eastAsia="Batang"/>
          <w:lang w:val="en-US"/>
        </w:rPr>
        <w:t xml:space="preserve">mportance </w:t>
      </w:r>
      <w:r w:rsidRPr="00313E82">
        <w:rPr>
          <w:rFonts w:eastAsia="Batang"/>
          <w:lang w:val="en-US"/>
        </w:rPr>
        <w:t>measures (e.g. it depends on the square of the partial derivatives of the model output). Nevertheless, the measure is not able to account for and do</w:t>
      </w:r>
      <w:r w:rsidR="00C773E4">
        <w:rPr>
          <w:rFonts w:eastAsia="Batang"/>
          <w:lang w:val="en-US"/>
        </w:rPr>
        <w:t>es</w:t>
      </w:r>
      <w:r w:rsidRPr="00313E82">
        <w:rPr>
          <w:rFonts w:eastAsia="Batang"/>
          <w:lang w:val="en-US"/>
        </w:rPr>
        <w:t xml:space="preserve"> not provide insights on the interactions among variables, which are manifested when variables change at the same time in their range of variability.</w:t>
      </w:r>
    </w:p>
    <w:p w:rsidR="00850225" w:rsidRPr="00313E82" w:rsidRDefault="00850225">
      <w:pPr>
        <w:rPr>
          <w:rFonts w:eastAsia="Batang"/>
          <w:lang w:val="en-US"/>
        </w:rPr>
      </w:pPr>
      <w:r w:rsidRPr="00313E82">
        <w:rPr>
          <w:rFonts w:eastAsia="Batang"/>
          <w:lang w:val="en-US"/>
        </w:rPr>
        <w:t xml:space="preserve">A general limitation concerns the use of normal distribution to represent – through the second central moment (variance) - the uncertainty on the input variables, which could be not the optimal one. Indeed, it is generally recognized that log-normal distribution better represents the (epistemic) uncertainty, which should be associated to the basic parameters of the model. </w:t>
      </w:r>
    </w:p>
    <w:p w:rsidR="00850225" w:rsidRPr="00313E82" w:rsidRDefault="00850225">
      <w:pPr>
        <w:rPr>
          <w:rFonts w:eastAsia="Batang"/>
          <w:lang w:val="en-US"/>
        </w:rPr>
      </w:pPr>
      <w:r w:rsidRPr="00313E82">
        <w:rPr>
          <w:rFonts w:eastAsia="Batang"/>
          <w:lang w:val="en-US"/>
        </w:rPr>
        <w:t>Moreover, it is always useful to remark that when limited information is available to characterize uncertainty, probabilistic characterizations can give the appearance of more knowledge than is really present. Alternative representations for uncertainty such as Evidence theory and Possibility theory merit consideration. In order to investigate the “structure” of the probabilistic model by the propagation of uncertainty, from the input variable to the model output, the same variance could be assigned to all the input variables.</w:t>
      </w:r>
    </w:p>
    <w:p w:rsidR="00850225" w:rsidRPr="00313E82" w:rsidRDefault="00850225" w:rsidP="00C94556">
      <w:pPr>
        <w:pStyle w:val="Titre3"/>
        <w:rPr>
          <w:rFonts w:eastAsia="Batang"/>
          <w:lang w:val="en-US"/>
        </w:rPr>
      </w:pPr>
      <w:bookmarkStart w:id="132" w:name="_Toc474430150"/>
      <w:r w:rsidRPr="00313E82">
        <w:rPr>
          <w:rFonts w:eastAsia="Batang"/>
          <w:lang w:val="en-US"/>
        </w:rPr>
        <w:t>ASAMPSA_E recommendation on harmonized definition</w:t>
      </w:r>
      <w:bookmarkEnd w:id="132"/>
    </w:p>
    <w:p w:rsidR="00850225" w:rsidRPr="00C94556" w:rsidRDefault="00680B18">
      <w:pPr>
        <w:rPr>
          <w:rFonts w:eastAsia="Batang"/>
          <w:highlight w:val="yellow"/>
          <w:lang w:val="en-US"/>
        </w:rPr>
      </w:pPr>
      <w:r>
        <w:rPr>
          <w:rFonts w:eastAsia="Batang"/>
          <w:lang w:val="en-US"/>
        </w:rPr>
        <w:t>The definitions presented above are judged to be standard and state-of-the-art. No specific harmonization is found to be needed.</w:t>
      </w:r>
    </w:p>
    <w:p w:rsidR="00850225" w:rsidRPr="00313E82" w:rsidRDefault="00850225" w:rsidP="00C94556">
      <w:pPr>
        <w:pStyle w:val="Titre2"/>
        <w:rPr>
          <w:rFonts w:eastAsia="Batang"/>
          <w:lang w:val="en-US"/>
        </w:rPr>
      </w:pPr>
      <w:bookmarkStart w:id="133" w:name="_Toc474430151"/>
      <w:r w:rsidRPr="00313E82">
        <w:rPr>
          <w:rFonts w:eastAsia="Batang"/>
          <w:lang w:val="en-US"/>
        </w:rPr>
        <w:t xml:space="preserve">“Finite Change” approach for </w:t>
      </w:r>
      <w:r w:rsidR="00AF3134" w:rsidRPr="00AF3134">
        <w:rPr>
          <w:rFonts w:eastAsia="Batang"/>
          <w:lang w:val="en-US"/>
        </w:rPr>
        <w:t>Linear Regression Method for Sensitivity Measures</w:t>
      </w:r>
      <w:bookmarkEnd w:id="133"/>
    </w:p>
    <w:p w:rsidR="00850225" w:rsidRPr="00313E82" w:rsidRDefault="00850225" w:rsidP="00C94556">
      <w:pPr>
        <w:pStyle w:val="Titre3"/>
        <w:rPr>
          <w:rFonts w:eastAsia="Batang"/>
          <w:lang w:val="en-US"/>
        </w:rPr>
      </w:pPr>
      <w:bookmarkStart w:id="134" w:name="_Toc474430152"/>
      <w:r w:rsidRPr="00313E82">
        <w:rPr>
          <w:rFonts w:eastAsia="Batang"/>
          <w:lang w:val="en-US"/>
        </w:rPr>
        <w:t>Definition of Risk Measure</w:t>
      </w:r>
      <w:bookmarkEnd w:id="134"/>
    </w:p>
    <w:p w:rsidR="00850225" w:rsidRPr="00313E82" w:rsidRDefault="00850225">
      <w:pPr>
        <w:rPr>
          <w:rFonts w:eastAsia="Batang"/>
          <w:lang w:val="en-US"/>
        </w:rPr>
      </w:pPr>
      <w:r w:rsidRPr="00313E82">
        <w:rPr>
          <w:rFonts w:eastAsia="Batang"/>
          <w:lang w:val="en-US"/>
        </w:rPr>
        <w:t xml:space="preserve">Considering a finite change of the input variables, from an initial value </w:t>
      </w:r>
      <m:oMath>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r>
          <w:rPr>
            <w:rFonts w:ascii="Cambria Math" w:eastAsia="Batang" w:hAnsi="Cambria Math" w:hint="eastAsia"/>
            <w:lang w:val="en-US"/>
          </w:rPr>
          <m:t>∈</m:t>
        </m:r>
        <m:r>
          <w:rPr>
            <w:rFonts w:ascii="Cambria Math" w:eastAsia="Batang" w:hAnsi="Cambria Math"/>
            <w:lang w:val="en-US"/>
          </w:rPr>
          <m:t>X</m:t>
        </m:r>
      </m:oMath>
      <w:r w:rsidRPr="00313E82">
        <w:rPr>
          <w:rFonts w:eastAsia="Batang"/>
          <w:lang w:val="en-US"/>
        </w:rPr>
        <w:t xml:space="preserve"> to a final value </w:t>
      </w:r>
      <m:oMath>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1</m:t>
            </m:r>
          </m:sup>
        </m:sSup>
        <m:r>
          <w:rPr>
            <w:rFonts w:ascii="Cambria Math" w:eastAsia="Batang" w:hAnsi="Cambria Math" w:hint="eastAsia"/>
            <w:lang w:val="en-US"/>
          </w:rPr>
          <m:t>∈</m:t>
        </m:r>
        <m:r>
          <w:rPr>
            <w:rFonts w:ascii="Cambria Math" w:eastAsia="Batang" w:hAnsi="Cambria Math"/>
            <w:lang w:val="en-US"/>
          </w:rPr>
          <m:t>X</m:t>
        </m:r>
      </m:oMath>
      <w:r w:rsidRPr="00313E82">
        <w:rPr>
          <w:rFonts w:eastAsia="Batang"/>
          <w:lang w:val="en-US"/>
        </w:rPr>
        <w:t xml:space="preserve">, the corresponding change in the output can be written as </w:t>
      </w:r>
      <m:oMath>
        <m:r>
          <w:rPr>
            <w:rFonts w:ascii="Cambria Math" w:eastAsia="Batang" w:hAnsi="Cambria Math"/>
            <w:lang w:val="en-US"/>
          </w:rPr>
          <m:t>Δ</m:t>
        </m:r>
        <m:r>
          <w:rPr>
            <w:rFonts w:ascii="Cambria Math" w:hAnsi="Cambria Math"/>
            <w:lang w:val="en-US"/>
          </w:rPr>
          <m:t>f</m:t>
        </m:r>
        <m:r>
          <w:rPr>
            <w:rFonts w:ascii="Cambria Math" w:eastAsia="Batang" w:hAnsi="Cambria Math"/>
            <w:lang w:val="en-US"/>
          </w:rPr>
          <m:t>=</m:t>
        </m:r>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1</m:t>
                </m:r>
              </m:sup>
            </m:sSup>
          </m:e>
        </m:d>
        <m:r>
          <w:rPr>
            <w:rFonts w:ascii="Cambria Math" w:eastAsia="Batang" w:hAnsi="Cambria Math"/>
            <w:lang w:val="en-US"/>
          </w:rPr>
          <m:t>-</m:t>
        </m:r>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oMath>
      <w:r w:rsidRPr="00313E82">
        <w:rPr>
          <w:rFonts w:eastAsia="Batang"/>
          <w:lang w:val="en-US"/>
        </w:rPr>
        <w:t xml:space="preserve"> where </w:t>
      </w:r>
      <m:oMath>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0</m:t>
                </m:r>
              </m:sup>
            </m:sSubSup>
          </m:e>
        </m:d>
        <m:r>
          <w:rPr>
            <w:rFonts w:ascii="Cambria Math" w:eastAsia="Batang" w:hAnsi="Cambria Math" w:hint="eastAsia"/>
            <w:lang w:val="en-US"/>
          </w:rPr>
          <m:t>=</m:t>
        </m:r>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1</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n</m:t>
                </m:r>
              </m:sub>
              <m:sup>
                <m:r>
                  <w:rPr>
                    <w:rFonts w:ascii="Cambria Math" w:eastAsia="Batang" w:hAnsi="Cambria Math"/>
                    <w:lang w:val="en-US"/>
                  </w:rPr>
                  <m:t>0</m:t>
                </m:r>
              </m:sup>
            </m:sSubSup>
          </m:e>
        </m:d>
        <m:r>
          <w:rPr>
            <w:rFonts w:ascii="Cambria Math" w:eastAsia="Batang" w:hAnsi="Cambria Math" w:hint="eastAsia"/>
            <w:lang w:val="en-US"/>
          </w:rPr>
          <m:t xml:space="preserve"> </m:t>
        </m:r>
      </m:oMath>
      <w:r w:rsidRPr="00313E82">
        <w:rPr>
          <w:rFonts w:eastAsia="Batang"/>
          <w:lang w:val="en-US"/>
        </w:rPr>
        <w:t xml:space="preserve"> and </w:t>
      </w:r>
      <m:oMath>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e>
        </m:d>
        <m:r>
          <w:rPr>
            <w:rFonts w:ascii="Cambria Math" w:eastAsia="Batang" w:hAnsi="Cambria Math" w:hint="eastAsia"/>
            <w:lang w:val="en-US"/>
          </w:rPr>
          <m:t>=</m:t>
        </m:r>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1</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n</m:t>
                </m:r>
              </m:sub>
              <m:sup>
                <m:r>
                  <w:rPr>
                    <w:rFonts w:ascii="Cambria Math" w:eastAsia="Batang" w:hAnsi="Cambria Math"/>
                    <w:lang w:val="en-US"/>
                  </w:rPr>
                  <m:t>0</m:t>
                </m:r>
              </m:sup>
            </m:sSubSup>
          </m:e>
        </m:d>
        <m:r>
          <w:rPr>
            <w:rFonts w:ascii="Cambria Math" w:eastAsia="Batang" w:hAnsi="Cambria Math" w:hint="eastAsia"/>
            <w:lang w:val="en-US"/>
          </w:rPr>
          <m:t>.</m:t>
        </m:r>
      </m:oMath>
    </w:p>
    <w:p w:rsidR="00C773E4" w:rsidRDefault="00C773E4">
      <w:pPr>
        <w:spacing w:before="120" w:line="360" w:lineRule="auto"/>
        <w:rPr>
          <w:rFonts w:eastAsia="Batang"/>
          <w:lang w:val="en-US"/>
        </w:rPr>
      </w:pPr>
      <w:r>
        <w:rPr>
          <w:rFonts w:eastAsia="Batang"/>
          <w:lang w:val="en-US"/>
        </w:rPr>
        <w:t xml:space="preserve">It is obvious from this definition, that this secondary risk measure is closely related to the </w:t>
      </w:r>
      <w:r>
        <w:rPr>
          <w:rFonts w:eastAsia="Batang" w:cs="Arial"/>
          <w:lang w:val="en-US"/>
        </w:rPr>
        <w:t>Δ</w:t>
      </w:r>
      <w:r>
        <w:rPr>
          <w:rFonts w:eastAsia="Batang"/>
          <w:lang w:val="en-US"/>
        </w:rPr>
        <w:t xml:space="preserve">CDF risk measure discussed in section </w:t>
      </w:r>
      <w:r w:rsidR="009E768B">
        <w:rPr>
          <w:rFonts w:eastAsia="Batang"/>
          <w:lang w:val="en-US"/>
        </w:rPr>
        <w:fldChar w:fldCharType="begin"/>
      </w:r>
      <w:r>
        <w:rPr>
          <w:rFonts w:eastAsia="Batang"/>
          <w:lang w:val="en-US"/>
        </w:rPr>
        <w:instrText xml:space="preserve"> REF _Ref443997180 \r \h </w:instrText>
      </w:r>
      <w:r w:rsidR="009E768B">
        <w:rPr>
          <w:rFonts w:eastAsia="Batang"/>
          <w:lang w:val="en-US"/>
        </w:rPr>
      </w:r>
      <w:r w:rsidR="009E768B">
        <w:rPr>
          <w:rFonts w:eastAsia="Batang"/>
          <w:lang w:val="en-US"/>
        </w:rPr>
        <w:fldChar w:fldCharType="separate"/>
      </w:r>
      <w:r w:rsidR="00B772CA">
        <w:rPr>
          <w:rFonts w:eastAsia="Batang"/>
          <w:lang w:val="en-US"/>
        </w:rPr>
        <w:t>2.3</w:t>
      </w:r>
      <w:r w:rsidR="009E768B">
        <w:rPr>
          <w:rFonts w:eastAsia="Batang"/>
          <w:lang w:val="en-US"/>
        </w:rPr>
        <w:fldChar w:fldCharType="end"/>
      </w:r>
      <w:r>
        <w:rPr>
          <w:rFonts w:eastAsia="Batang"/>
          <w:lang w:val="en-US"/>
        </w:rPr>
        <w:t xml:space="preserve">. </w:t>
      </w:r>
    </w:p>
    <w:p w:rsidR="00850225" w:rsidRPr="00313E82" w:rsidRDefault="00850225">
      <w:pPr>
        <w:spacing w:before="120" w:line="360" w:lineRule="auto"/>
        <w:rPr>
          <w:rFonts w:eastAsia="Batang"/>
          <w:lang w:val="en-US"/>
        </w:rPr>
      </w:pPr>
      <w:r w:rsidRPr="00313E82">
        <w:rPr>
          <w:rFonts w:eastAsia="Batang"/>
          <w:lang w:val="en-US"/>
        </w:rPr>
        <w:t>Starting from HDMR representation, the change of the model output (probability of undesired consequence or different primary risk measure) can be written as:</w:t>
      </w:r>
    </w:p>
    <w:p w:rsidR="00850225" w:rsidRPr="00313E82" w:rsidRDefault="00850225">
      <w:pPr>
        <w:spacing w:before="120" w:line="360" w:lineRule="auto"/>
        <w:rPr>
          <w:rFonts w:eastAsia="Batang"/>
          <w:lang w:val="en-US"/>
        </w:rPr>
      </w:pPr>
      <m:oMathPara>
        <m:oMath>
          <m:r>
            <w:rPr>
              <w:rFonts w:ascii="Cambria Math" w:eastAsia="Batang" w:hAnsi="Cambria Math"/>
              <w:lang w:val="en-US"/>
            </w:rPr>
            <w:lastRenderedPageBreak/>
            <m:t>Δ</m:t>
          </m:r>
          <m:r>
            <w:rPr>
              <w:rFonts w:ascii="Cambria Math" w:hAnsi="Cambria Math"/>
              <w:lang w:val="en-US"/>
            </w:rPr>
            <m:t>f</m:t>
          </m:r>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i=1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lang w:val="en-US"/>
                </w:rPr>
                <m:t>f</m:t>
              </m:r>
            </m:e>
          </m:nary>
          <m:r>
            <w:rPr>
              <w:rFonts w:ascii="Cambria Math" w:eastAsia="Batang" w:hAnsi="Cambria Math" w:hint="eastAsia"/>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i=1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r>
                    <w:rPr>
                      <w:rFonts w:ascii="Cambria Math" w:eastAsia="Batang" w:hAnsi="Cambria Math"/>
                      <w:lang w:val="en-US"/>
                    </w:rPr>
                    <m:t>j=i+1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lang w:val="en-US"/>
                    </w:rPr>
                    <m:t xml:space="preserve">f </m:t>
                  </m:r>
                </m:e>
              </m:nary>
            </m:e>
          </m:nary>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r>
            <w:rPr>
              <w:rFonts w:ascii="Cambria Math" w:eastAsia="Batang" w:hAnsi="Cambria Math" w:hint="eastAsia"/>
              <w:lang w:val="en-US"/>
            </w:rPr>
            <m:t>f</m:t>
          </m:r>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lang w:val="en-US"/>
                    </w:rPr>
                    <m:t>&lt;...&lt;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Δ</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Sub>
                  <m:r>
                    <w:rPr>
                      <w:rFonts w:ascii="Cambria Math" w:eastAsia="Batang" w:hAnsi="Cambria Math"/>
                      <w:lang w:val="en-US"/>
                    </w:rPr>
                    <m:t xml:space="preserve">f </m:t>
                  </m:r>
                </m:e>
              </m:nary>
            </m:e>
          </m:nary>
        </m:oMath>
      </m:oMathPara>
    </w:p>
    <w:p w:rsidR="00850225" w:rsidRPr="00313E82" w:rsidRDefault="00850225">
      <w:pPr>
        <w:spacing w:before="120" w:line="360" w:lineRule="auto"/>
        <w:rPr>
          <w:rFonts w:eastAsia="Batang"/>
          <w:lang w:val="en-US"/>
        </w:rPr>
      </w:pPr>
      <w:r w:rsidRPr="00313E82">
        <w:rPr>
          <w:rFonts w:eastAsia="Batang"/>
          <w:lang w:val="en-US"/>
        </w:rPr>
        <w:t>where:</w:t>
      </w:r>
    </w:p>
    <w:p w:rsidR="00850225" w:rsidRPr="00313E82" w:rsidRDefault="0043746A">
      <w:pPr>
        <w:tabs>
          <w:tab w:val="left" w:pos="142"/>
        </w:tabs>
        <w:spacing w:before="120" w:line="360" w:lineRule="auto"/>
        <w:ind w:left="284" w:hanging="284"/>
        <w:rPr>
          <w:rFonts w:eastAsia="Batang"/>
          <w:lang w:val="en-US"/>
        </w:rPr>
      </w:pPr>
      <m:oMathPara>
        <m:oMathParaPr>
          <m:jc m:val="left"/>
        </m:oMathParaPr>
        <m:oMath>
          <m:d>
            <m:dPr>
              <m:begChr m:val="{"/>
              <m:endChr m:val=""/>
              <m:ctrlPr>
                <w:rPr>
                  <w:rFonts w:ascii="Cambria Math" w:eastAsia="Batang" w:hAnsi="Cambria Math"/>
                  <w:i/>
                  <w:lang w:val="en-US"/>
                </w:rPr>
              </m:ctrlPr>
            </m:dPr>
            <m:e>
              <m:eqArr>
                <m:eqArrPr>
                  <m:ctrlPr>
                    <w:rPr>
                      <w:rFonts w:ascii="Cambria Math" w:eastAsia="Batang" w:hAnsi="Cambria Math"/>
                      <w:i/>
                      <w:lang w:val="en-US"/>
                    </w:rPr>
                  </m:ctrlPr>
                </m:eqArrPr>
                <m:e>
                  <m:sSub>
                    <m:sSubPr>
                      <m:ctrlPr>
                        <w:rPr>
                          <w:rFonts w:ascii="Cambria Math" w:eastAsia="Batang" w:hAnsi="Cambria Math"/>
                          <w:i/>
                          <w:lang w:val="en-US"/>
                        </w:rPr>
                      </m:ctrlPr>
                    </m:sSubPr>
                    <m:e>
                      <m:r>
                        <w:rPr>
                          <w:rFonts w:ascii="Cambria Math" w:eastAsia="Batang" w:hAnsi="Cambria Math"/>
                          <w:lang w:val="en-US"/>
                        </w:rPr>
                        <m:t xml:space="preserve">  Δ</m:t>
                      </m:r>
                    </m:e>
                    <m:sub>
                      <m:r>
                        <w:rPr>
                          <w:rFonts w:ascii="Cambria Math" w:eastAsia="Batang" w:hAnsi="Cambria Math"/>
                          <w:lang w:val="en-US"/>
                        </w:rPr>
                        <m:t>i</m:t>
                      </m:r>
                    </m:sub>
                  </m:sSub>
                  <m:r>
                    <w:rPr>
                      <w:rFonts w:ascii="Cambria Math" w:eastAsia="Batang" w:hAnsi="Cambria Math"/>
                      <w:lang w:val="en-US"/>
                    </w:rPr>
                    <m:t>f=</m:t>
                  </m:r>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1</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n</m:t>
                          </m:r>
                        </m:sub>
                        <m:sup>
                          <m:r>
                            <w:rPr>
                              <w:rFonts w:ascii="Cambria Math" w:eastAsia="Batang" w:hAnsi="Cambria Math"/>
                              <w:lang w:val="en-US"/>
                            </w:rPr>
                            <m:t>0</m:t>
                          </m:r>
                        </m:sup>
                      </m:sSubSup>
                    </m:e>
                  </m:d>
                  <m:r>
                    <w:rPr>
                      <w:rFonts w:ascii="Cambria Math" w:eastAsia="Batang" w:hAnsi="Cambria Math"/>
                      <w:lang w:val="en-US"/>
                    </w:rPr>
                    <m:t>-</m:t>
                  </m:r>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r>
                    <w:rPr>
                      <w:rFonts w:ascii="Cambria Math" w:eastAsia="Batang" w:hAnsi="Cambria Math"/>
                      <w:lang w:val="en-US"/>
                    </w:rPr>
                    <m:t xml:space="preserve">                                   </m:t>
                  </m:r>
                </m:e>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lang w:val="en-US"/>
                    </w:rPr>
                    <m:t>f=</m:t>
                  </m:r>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1</m:t>
                          </m:r>
                        </m:sub>
                        <m:sup>
                          <m:r>
                            <w:rPr>
                              <w:rFonts w:ascii="Cambria Math" w:eastAsia="Batang" w:hAnsi="Cambria Math"/>
                              <w:lang w:val="en-US"/>
                            </w:rPr>
                            <m:t>0</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j</m:t>
                          </m:r>
                        </m:sub>
                        <m:sup>
                          <m:r>
                            <w:rPr>
                              <w:rFonts w:ascii="Cambria Math" w:eastAsia="Batang" w:hAnsi="Cambria Math"/>
                              <w:lang w:val="en-US"/>
                            </w:rPr>
                            <m:t>1</m:t>
                          </m:r>
                        </m:sup>
                      </m:sSubSup>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n</m:t>
                          </m:r>
                        </m:sub>
                        <m:sup>
                          <m:r>
                            <w:rPr>
                              <w:rFonts w:ascii="Cambria Math" w:eastAsia="Batang" w:hAnsi="Cambria Math"/>
                              <w:lang w:val="en-US"/>
                            </w:rPr>
                            <m:t>0</m:t>
                          </m:r>
                        </m:sup>
                      </m:sSubSup>
                    </m:e>
                  </m:d>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lang w:val="en-US"/>
                    </w:rPr>
                    <m:t>f-</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j</m:t>
                      </m:r>
                    </m:sub>
                  </m:sSub>
                  <m:r>
                    <w:rPr>
                      <w:rFonts w:ascii="Cambria Math" w:eastAsia="Batang" w:hAnsi="Cambria Math"/>
                      <w:lang w:val="en-US"/>
                    </w:rPr>
                    <m:t>f-</m:t>
                  </m:r>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e>
                <m:e>
                  <m:r>
                    <w:rPr>
                      <w:rFonts w:ascii="Cambria Math" w:eastAsia="Batang" w:hAnsi="Cambria Math"/>
                      <w:lang w:val="en-US"/>
                    </w:rPr>
                    <m:t xml:space="preserve"> </m:t>
                  </m:r>
                  <m:r>
                    <w:rPr>
                      <w:rFonts w:ascii="Cambria Math" w:eastAsia="Batang" w:hAnsi="Cambria Math" w:hint="eastAsia"/>
                      <w:lang w:val="en-US"/>
                    </w:rPr>
                    <m:t>…</m:t>
                  </m:r>
                  <m:r>
                    <w:rPr>
                      <w:rFonts w:ascii="Cambria Math" w:eastAsia="Batang" w:hAnsi="Cambria Math"/>
                      <w:lang w:val="en-US"/>
                    </w:rPr>
                    <m:t xml:space="preserve">                                                                                               </m:t>
                  </m:r>
                </m:e>
              </m:eqArr>
            </m:e>
          </m:d>
        </m:oMath>
      </m:oMathPara>
    </w:p>
    <w:p w:rsidR="00850225" w:rsidRPr="00313E82" w:rsidRDefault="00850225">
      <w:pPr>
        <w:rPr>
          <w:rFonts w:eastAsia="Batang"/>
          <w:lang w:val="en-US"/>
        </w:rPr>
      </w:pPr>
      <w:r w:rsidRPr="00313E82">
        <w:rPr>
          <w:rFonts w:eastAsia="Batang"/>
          <w:lang w:val="en-US"/>
        </w:rPr>
        <w:t xml:space="preserve">The output change </w:t>
      </w:r>
      <m:oMath>
        <m:r>
          <w:rPr>
            <w:rFonts w:ascii="Cambria Math" w:eastAsia="Batang" w:hAnsi="Cambria Math"/>
            <w:lang w:val="en-US"/>
          </w:rPr>
          <m:t>Δ</m:t>
        </m:r>
        <m:r>
          <w:rPr>
            <w:rFonts w:ascii="Cambria Math" w:hAnsi="Cambria Math"/>
            <w:lang w:val="en-US"/>
          </w:rPr>
          <m:t>f</m:t>
        </m:r>
      </m:oMath>
      <w:r w:rsidRPr="00313E82">
        <w:rPr>
          <w:rFonts w:eastAsia="Batang"/>
          <w:lang w:val="en-US"/>
        </w:rPr>
        <w:t xml:space="preserve"> can thus be decomposed into </w:t>
      </w:r>
      <m:oMath>
        <m:sSup>
          <m:sSupPr>
            <m:ctrlPr>
              <w:rPr>
                <w:rFonts w:ascii="Cambria Math" w:eastAsia="Batang" w:hAnsi="Cambria Math"/>
                <w:i/>
                <w:lang w:val="en-US"/>
              </w:rPr>
            </m:ctrlPr>
          </m:sSupPr>
          <m:e>
            <m:r>
              <w:rPr>
                <w:rFonts w:ascii="Cambria Math" w:eastAsia="Batang" w:hAnsi="Cambria Math"/>
                <w:lang w:val="en-US"/>
              </w:rPr>
              <m:t>2</m:t>
            </m:r>
          </m:e>
          <m:sup>
            <m:r>
              <w:rPr>
                <w:rFonts w:ascii="Cambria Math" w:eastAsia="Batang" w:hAnsi="Cambria Math"/>
                <w:lang w:val="en-US"/>
              </w:rPr>
              <m:t>n</m:t>
            </m:r>
          </m:sup>
        </m:sSup>
      </m:oMath>
      <w:r w:rsidRPr="00313E82">
        <w:rPr>
          <w:rFonts w:eastAsia="Batang"/>
          <w:lang w:val="en-US"/>
        </w:rPr>
        <w:t xml:space="preserve">-1 terms depending on an increasing number of variables: the first order terms </w:t>
      </w:r>
      <m:oMath>
        <m:sSub>
          <m:sSubPr>
            <m:ctrlPr>
              <w:rPr>
                <w:rFonts w:ascii="Cambria Math" w:eastAsia="Batang" w:hAnsi="Cambria Math"/>
                <w:lang w:val="en-US"/>
              </w:rPr>
            </m:ctrlPr>
          </m:sSubPr>
          <m:e>
            <m:r>
              <m:rPr>
                <m:sty m:val="p"/>
              </m:rPr>
              <w:rPr>
                <w:rFonts w:ascii="Cambria Math" w:eastAsia="Batang" w:hAnsi="Cambria Math" w:hint="eastAsia"/>
                <w:lang w:val="en-US"/>
              </w:rPr>
              <m:t>Δ</m:t>
            </m:r>
          </m:e>
          <m:sub>
            <m:r>
              <m:rPr>
                <m:sty m:val="p"/>
              </m:rPr>
              <w:rPr>
                <w:rFonts w:ascii="Cambria Math" w:eastAsia="Batang" w:hAnsi="Cambria Math"/>
                <w:lang w:val="en-US"/>
              </w:rPr>
              <m:t>i</m:t>
            </m:r>
          </m:sub>
        </m:sSub>
        <m:r>
          <m:rPr>
            <m:sty m:val="p"/>
          </m:rPr>
          <w:rPr>
            <w:rFonts w:ascii="Cambria Math" w:eastAsia="Batang" w:hAnsi="Cambria Math" w:hint="eastAsia"/>
            <w:lang w:val="en-US"/>
          </w:rPr>
          <m:t>f</m:t>
        </m:r>
      </m:oMath>
      <w:r w:rsidRPr="00313E82">
        <w:rPr>
          <w:rFonts w:eastAsia="Batang"/>
          <w:lang w:val="en-US"/>
        </w:rPr>
        <w:t xml:space="preserve"> consider the contributions due to the one at time change of the input variables, the second order terms </w:t>
      </w:r>
      <m:oMath>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hint="eastAsia"/>
            <w:lang w:val="en-US"/>
          </w:rPr>
          <m:t>f</m:t>
        </m:r>
      </m:oMath>
      <w:r w:rsidRPr="00313E82">
        <w:rPr>
          <w:rFonts w:eastAsia="Batang"/>
          <w:lang w:val="en-US"/>
        </w:rPr>
        <w:t xml:space="preserve"> consider the additional contributions due to the interaction between all variables pairs (i.e. due to their concurrent changes), and so on. </w:t>
      </w:r>
    </w:p>
    <w:p w:rsidR="00850225" w:rsidRPr="00313E82" w:rsidRDefault="00850225">
      <w:pPr>
        <w:rPr>
          <w:rFonts w:eastAsia="Batang"/>
          <w:lang w:val="en-US"/>
        </w:rPr>
      </w:pPr>
      <w:r w:rsidRPr="00313E82">
        <w:rPr>
          <w:rFonts w:eastAsia="Batang"/>
          <w:lang w:val="en-US"/>
        </w:rPr>
        <w:t>Starting from the above decomposition of the finite change of the model output, the following measures can be defined.</w:t>
      </w:r>
    </w:p>
    <w:p w:rsidR="00850225" w:rsidRPr="00313E82" w:rsidRDefault="00850225">
      <w:pPr>
        <w:rPr>
          <w:rFonts w:eastAsia="Batang"/>
          <w:u w:val="single"/>
          <w:lang w:val="en-US"/>
        </w:rPr>
      </w:pPr>
      <w:r w:rsidRPr="00313E82">
        <w:rPr>
          <w:rFonts w:eastAsia="Batang"/>
          <w:u w:val="single"/>
          <w:lang w:val="en-US"/>
        </w:rPr>
        <w:t>First Order Finite Change Sensitivity measure</w:t>
      </w:r>
    </w:p>
    <w:p w:rsidR="00850225" w:rsidRPr="00313E82" w:rsidRDefault="00850225">
      <w:pPr>
        <w:spacing w:before="120" w:line="360" w:lineRule="auto"/>
        <w:rPr>
          <w:rFonts w:eastAsia="Batang"/>
          <w:lang w:val="en-US"/>
        </w:rPr>
      </w:pPr>
      <w:r w:rsidRPr="00313E82">
        <w:rPr>
          <w:rFonts w:eastAsia="Batang"/>
          <w:lang w:val="en-US"/>
        </w:rPr>
        <w:t>The “</w:t>
      </w:r>
      <w:r w:rsidR="00C773E4">
        <w:rPr>
          <w:rFonts w:eastAsia="Batang"/>
          <w:lang w:val="en-US"/>
        </w:rPr>
        <w:t>f</w:t>
      </w:r>
      <w:r w:rsidR="00C773E4" w:rsidRPr="00313E82">
        <w:rPr>
          <w:rFonts w:eastAsia="Batang"/>
          <w:lang w:val="en-US"/>
        </w:rPr>
        <w:t xml:space="preserve">irst </w:t>
      </w:r>
      <w:r w:rsidR="00C773E4">
        <w:rPr>
          <w:rFonts w:eastAsia="Batang"/>
          <w:lang w:val="en-US"/>
        </w:rPr>
        <w:t>o</w:t>
      </w:r>
      <w:r w:rsidR="00C773E4" w:rsidRPr="00313E82">
        <w:rPr>
          <w:rFonts w:eastAsia="Batang"/>
          <w:lang w:val="en-US"/>
        </w:rPr>
        <w:t xml:space="preserve">rder </w:t>
      </w:r>
      <w:r w:rsidR="00C773E4">
        <w:rPr>
          <w:rFonts w:eastAsia="Batang"/>
          <w:lang w:val="en-US"/>
        </w:rPr>
        <w:t>f</w:t>
      </w:r>
      <w:r w:rsidR="00C773E4" w:rsidRPr="00313E82">
        <w:rPr>
          <w:rFonts w:eastAsia="Batang"/>
          <w:lang w:val="en-US"/>
        </w:rPr>
        <w:t xml:space="preserve">inite </w:t>
      </w:r>
      <w:r w:rsidR="00C773E4">
        <w:rPr>
          <w:rFonts w:eastAsia="Batang"/>
          <w:lang w:val="en-US"/>
        </w:rPr>
        <w:t>c</w:t>
      </w:r>
      <w:r w:rsidR="00C773E4" w:rsidRPr="00313E82">
        <w:rPr>
          <w:rFonts w:eastAsia="Batang"/>
          <w:lang w:val="en-US"/>
        </w:rPr>
        <w:t xml:space="preserve">hange </w:t>
      </w:r>
      <w:r w:rsidR="00C773E4">
        <w:rPr>
          <w:rFonts w:eastAsia="Batang"/>
          <w:lang w:val="en-US"/>
        </w:rPr>
        <w:t>s</w:t>
      </w:r>
      <w:r w:rsidR="00C773E4" w:rsidRPr="00313E82">
        <w:rPr>
          <w:rFonts w:eastAsia="Batang"/>
          <w:lang w:val="en-US"/>
        </w:rPr>
        <w:t xml:space="preserve">ensitivity </w:t>
      </w:r>
      <w:r w:rsidRPr="00313E82">
        <w:rPr>
          <w:rFonts w:eastAsia="Batang"/>
          <w:lang w:val="en-US"/>
        </w:rPr>
        <w:t xml:space="preserve">measure” is the contribution to the change </w:t>
      </w:r>
      <m:oMath>
        <m:r>
          <w:rPr>
            <w:rFonts w:ascii="Cambria Math" w:eastAsia="Batang" w:hAnsi="Cambria Math"/>
            <w:lang w:val="en-US"/>
          </w:rPr>
          <m:t>Δ</m:t>
        </m:r>
        <m:r>
          <w:rPr>
            <w:rFonts w:ascii="Cambria Math" w:hAnsi="Cambria Math"/>
            <w:lang w:val="en-US"/>
          </w:rPr>
          <m:t>φ</m:t>
        </m:r>
      </m:oMath>
      <w:r w:rsidRPr="00313E82">
        <w:rPr>
          <w:rFonts w:eastAsia="Batang"/>
          <w:lang w:val="en-US"/>
        </w:rPr>
        <w:t xml:space="preserve"> of the finite change of a single variable, its normalized version being the corresponding fraction of the change:</w:t>
      </w:r>
    </w:p>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1"/>
        <w:gridCol w:w="2841"/>
      </w:tblGrid>
      <w:tr w:rsidR="00850225" w:rsidRPr="00313E82" w:rsidTr="0054091C">
        <w:trPr>
          <w:jc w:val="center"/>
        </w:trPr>
        <w:tc>
          <w:tcPr>
            <w:tcW w:w="1751" w:type="dxa"/>
            <w:vAlign w:val="center"/>
            <w:hideMark/>
          </w:tcPr>
          <w:p w:rsidR="00850225" w:rsidRPr="00313E82" w:rsidRDefault="0043746A">
            <w:pPr>
              <w:spacing w:before="120" w:line="360" w:lineRule="auto"/>
              <w:jc w:val="center"/>
              <w:rPr>
                <w:rFonts w:eastAsia="Batang"/>
                <w:szCs w:val="18"/>
                <w:lang w:val="en-US"/>
              </w:rPr>
            </w:pPr>
            <m:oMathPara>
              <m:oMath>
                <m:sSubSup>
                  <m:sSubSupPr>
                    <m:ctrlPr>
                      <w:rPr>
                        <w:rFonts w:ascii="Cambria Math" w:eastAsia="Batang" w:hAnsi="Cambria Math"/>
                        <w:i/>
                        <w:szCs w:val="18"/>
                        <w:lang w:val="en-US"/>
                      </w:rPr>
                    </m:ctrlPr>
                  </m:sSubSupPr>
                  <m:e>
                    <m:r>
                      <w:rPr>
                        <w:rFonts w:ascii="Cambria Math" w:eastAsia="Batang" w:hAnsi="Cambria Math"/>
                        <w:i/>
                        <w:lang w:val="en-US"/>
                      </w:rPr>
                      <w:sym w:font="Symbol" w:char="F072"/>
                    </m:r>
                  </m:e>
                  <m:sub>
                    <m:r>
                      <w:rPr>
                        <w:rFonts w:ascii="Cambria Math" w:eastAsia="Batang" w:hAnsi="Cambria Math"/>
                        <w:szCs w:val="18"/>
                        <w:lang w:val="en-US"/>
                      </w:rPr>
                      <m:t>i</m:t>
                    </m:r>
                  </m:sub>
                  <m:sup>
                    <m:r>
                      <w:rPr>
                        <w:rFonts w:ascii="Cambria Math" w:eastAsia="Batang" w:hAnsi="Cambria Math"/>
                        <w:szCs w:val="18"/>
                        <w:lang w:val="en-US"/>
                      </w:rPr>
                      <m:t>1</m:t>
                    </m:r>
                  </m:sup>
                </m:sSubSup>
                <m:r>
                  <m:rPr>
                    <m:sty m:val="p"/>
                  </m:rPr>
                  <w:rPr>
                    <w:rFonts w:ascii="Cambria Math" w:eastAsia="Batang" w:hAnsi="Cambria Math" w:hint="eastAsia"/>
                    <w:szCs w:val="18"/>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hint="eastAsia"/>
                    <w:lang w:val="en-US"/>
                  </w:rPr>
                  <m:t>f</m:t>
                </m:r>
              </m:oMath>
            </m:oMathPara>
          </w:p>
        </w:tc>
        <w:tc>
          <w:tcPr>
            <w:tcW w:w="2841" w:type="dxa"/>
            <w:vAlign w:val="center"/>
            <w:hideMark/>
          </w:tcPr>
          <w:p w:rsidR="00850225" w:rsidRPr="00313E82" w:rsidRDefault="0043746A">
            <w:pPr>
              <w:spacing w:before="120" w:after="120"/>
              <w:ind w:left="360"/>
              <w:jc w:val="center"/>
              <w:rPr>
                <w:rFonts w:cs="Arial"/>
                <w:szCs w:val="18"/>
                <w:lang w:val="en-US"/>
              </w:rPr>
            </w:pPr>
            <m:oMathPara>
              <m:oMath>
                <m:sSubSup>
                  <m:sSubSupPr>
                    <m:ctrlPr>
                      <w:rPr>
                        <w:rFonts w:ascii="Cambria Math" w:eastAsia="Batang" w:hAnsi="Cambria Math"/>
                        <w:i/>
                        <w:szCs w:val="18"/>
                        <w:lang w:val="en-US"/>
                      </w:rPr>
                    </m:ctrlPr>
                  </m:sSubSupPr>
                  <m:e>
                    <m:r>
                      <m:rPr>
                        <m:sty m:val="p"/>
                      </m:rPr>
                      <w:rPr>
                        <w:rFonts w:ascii="Cambria Math" w:eastAsia="Batang" w:hAnsi="Cambria Math" w:hint="eastAsia"/>
                        <w:szCs w:val="18"/>
                        <w:lang w:val="en-US"/>
                      </w:rPr>
                      <m:t>Γ</m:t>
                    </m:r>
                  </m:e>
                  <m:sub>
                    <m:r>
                      <w:rPr>
                        <w:rFonts w:ascii="Cambria Math" w:eastAsia="Batang" w:hAnsi="Cambria Math"/>
                        <w:szCs w:val="18"/>
                        <w:lang w:val="en-US"/>
                      </w:rPr>
                      <m:t>i</m:t>
                    </m:r>
                  </m:sub>
                  <m:sup>
                    <m:r>
                      <w:rPr>
                        <w:rFonts w:ascii="Cambria Math" w:eastAsia="Batang" w:hAnsi="Cambria Math"/>
                        <w:szCs w:val="18"/>
                        <w:lang w:val="en-US"/>
                      </w:rPr>
                      <m:t>T</m:t>
                    </m:r>
                  </m:sup>
                </m:sSubSup>
                <m:r>
                  <m:rPr>
                    <m:sty m:val="p"/>
                  </m:rPr>
                  <w:rPr>
                    <w:rFonts w:ascii="Cambria Math" w:eastAsia="Batang" w:hAnsi="Cambria Math" w:hint="eastAsia"/>
                    <w:szCs w:val="18"/>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lang w:val="en-US"/>
                      </w:rPr>
                      <m:t>f</m:t>
                    </m:r>
                  </m:num>
                  <m:den>
                    <m:r>
                      <w:rPr>
                        <w:rFonts w:ascii="Cambria Math" w:eastAsia="Batang" w:hAnsi="Cambria Math"/>
                        <w:lang w:val="en-US"/>
                      </w:rPr>
                      <m:t>Δ</m:t>
                    </m:r>
                    <m:r>
                      <w:rPr>
                        <w:rFonts w:ascii="Cambria Math" w:hAnsi="Cambria Math"/>
                        <w:lang w:val="en-US"/>
                      </w:rPr>
                      <m:t>f</m:t>
                    </m:r>
                  </m:den>
                </m:f>
                <m:r>
                  <w:rPr>
                    <w:rFonts w:ascii="Cambria Math" w:eastAsia="Batang" w:hAnsi="Cambria Math" w:hint="eastAsia"/>
                    <w:lang w:val="en-US"/>
                  </w:rPr>
                  <m:t xml:space="preserve">= </m:t>
                </m:r>
                <m:f>
                  <m:fPr>
                    <m:ctrlPr>
                      <w:rPr>
                        <w:rFonts w:ascii="Cambria Math" w:eastAsia="Batang" w:hAnsi="Cambria Math"/>
                        <w:szCs w:val="18"/>
                        <w:lang w:val="en-US"/>
                      </w:rPr>
                    </m:ctrlPr>
                  </m:fPr>
                  <m:num>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r>
                              <w:rPr>
                                <w:rFonts w:ascii="Cambria Math" w:hAnsi="Cambria Math"/>
                                <w:szCs w:val="18"/>
                                <w:lang w:val="en-US"/>
                              </w:rPr>
                              <m:t>i</m:t>
                            </m:r>
                          </m:sub>
                          <m:sup>
                            <m:r>
                              <w:rPr>
                                <w:rFonts w:ascii="Cambria Math" w:hAnsi="Cambria Math"/>
                                <w:szCs w:val="18"/>
                                <w:lang w:val="en-US"/>
                              </w:rPr>
                              <m:t>1</m:t>
                            </m:r>
                          </m:sup>
                        </m:sSubSup>
                      </m:e>
                    </m:d>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sup>
                            <m:r>
                              <w:rPr>
                                <w:rFonts w:ascii="Cambria Math" w:hAnsi="Cambria Math"/>
                                <w:szCs w:val="18"/>
                                <w:lang w:val="en-US"/>
                              </w:rPr>
                              <m:t>0</m:t>
                            </m:r>
                          </m:sup>
                        </m:sSubSup>
                      </m:e>
                    </m:d>
                  </m:num>
                  <m:den>
                    <m:r>
                      <w:rPr>
                        <w:rFonts w:ascii="Cambria Math" w:hAnsi="Cambria Math"/>
                        <w:szCs w:val="18"/>
                        <w:lang w:val="en-US"/>
                      </w:rPr>
                      <m:t>f</m:t>
                    </m:r>
                    <m:d>
                      <m:dPr>
                        <m:ctrlPr>
                          <w:rPr>
                            <w:rFonts w:ascii="Cambria Math" w:hAnsi="Cambria Math"/>
                            <w:i/>
                            <w:szCs w:val="18"/>
                            <w:lang w:val="en-US"/>
                          </w:rPr>
                        </m:ctrlPr>
                      </m:dPr>
                      <m:e>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1</m:t>
                            </m:r>
                          </m:sup>
                        </m:sSup>
                      </m:e>
                    </m:d>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sup>
                            <m:r>
                              <w:rPr>
                                <w:rFonts w:ascii="Cambria Math" w:hAnsi="Cambria Math"/>
                                <w:szCs w:val="18"/>
                                <w:lang w:val="en-US"/>
                              </w:rPr>
                              <m:t>0</m:t>
                            </m:r>
                          </m:sup>
                        </m:sSubSup>
                      </m:e>
                    </m:d>
                  </m:den>
                </m:f>
              </m:oMath>
            </m:oMathPara>
          </w:p>
        </w:tc>
      </w:tr>
    </w:tbl>
    <w:p w:rsidR="00850225" w:rsidRPr="00313E82" w:rsidRDefault="00850225">
      <w:pPr>
        <w:rPr>
          <w:rFonts w:eastAsia="Batang"/>
          <w:lang w:val="en-US"/>
        </w:rPr>
      </w:pPr>
      <w:r w:rsidRPr="00313E82">
        <w:rPr>
          <w:rFonts w:eastAsia="Batang"/>
          <w:lang w:val="en-US"/>
        </w:rPr>
        <w:t xml:space="preserve">For a model with </w:t>
      </w:r>
      <m:oMath>
        <m:r>
          <w:rPr>
            <w:rFonts w:ascii="Cambria Math" w:eastAsia="Batang" w:hAnsi="Cambria Math"/>
            <w:lang w:val="en-US"/>
          </w:rPr>
          <m:t>n</m:t>
        </m:r>
      </m:oMath>
      <w:r w:rsidRPr="00313E82">
        <w:rPr>
          <w:rFonts w:eastAsia="Batang"/>
          <w:lang w:val="en-US"/>
        </w:rPr>
        <w:t xml:space="preserve"> input variables (i.e. </w:t>
      </w:r>
      <m:oMath>
        <m:r>
          <w:rPr>
            <w:rFonts w:ascii="Cambria Math" w:eastAsia="Batang" w:hAnsi="Cambria Math"/>
            <w:lang w:val="en-US"/>
          </w:rPr>
          <m:t>X</m:t>
        </m:r>
        <m:r>
          <w:rPr>
            <w:rFonts w:ascii="Cambria Math" w:eastAsia="Batang" w:hAnsi="Cambria Math" w:hint="eastAsia"/>
            <w:lang w:val="en-US"/>
          </w:rPr>
          <m:t>∈</m:t>
        </m:r>
        <m:sSup>
          <m:sSupPr>
            <m:ctrlPr>
              <w:rPr>
                <w:rFonts w:ascii="Cambria Math" w:eastAsia="Batang" w:hAnsi="Cambria Math"/>
                <w:i/>
                <w:lang w:val="en-US"/>
              </w:rPr>
            </m:ctrlPr>
          </m:sSupPr>
          <m:e>
            <m:r>
              <m:rPr>
                <m:scr m:val="double-struck"/>
              </m:rPr>
              <w:rPr>
                <w:rFonts w:ascii="Cambria Math" w:eastAsia="Batang" w:hAnsi="Cambria Math"/>
                <w:lang w:val="en-US"/>
              </w:rPr>
              <m:t>R</m:t>
            </m:r>
          </m:e>
          <m:sup>
            <m:r>
              <w:rPr>
                <w:rFonts w:ascii="Cambria Math" w:eastAsia="Batang" w:hAnsi="Cambria Math"/>
                <w:lang w:val="en-US"/>
              </w:rPr>
              <m:t>n</m:t>
            </m:r>
          </m:sup>
        </m:sSup>
      </m:oMath>
      <w:r w:rsidRPr="00313E82">
        <w:rPr>
          <w:rFonts w:eastAsia="Batang"/>
          <w:lang w:val="en-US"/>
        </w:rPr>
        <w:t xml:space="preserve">), the number of model evaluations required to compute the </w:t>
      </w:r>
      <w:r w:rsidR="00C773E4">
        <w:rPr>
          <w:rFonts w:eastAsia="Batang"/>
          <w:lang w:val="en-US"/>
        </w:rPr>
        <w:t>f</w:t>
      </w:r>
      <w:r w:rsidR="00C773E4" w:rsidRPr="00313E82">
        <w:rPr>
          <w:rFonts w:eastAsia="Batang"/>
          <w:lang w:val="en-US"/>
        </w:rPr>
        <w:t xml:space="preserve">irst </w:t>
      </w:r>
      <w:r w:rsidRPr="00313E82">
        <w:rPr>
          <w:rFonts w:eastAsia="Batang"/>
          <w:lang w:val="en-US"/>
        </w:rPr>
        <w:t xml:space="preserve">order </w:t>
      </w:r>
      <w:r w:rsidR="00C773E4">
        <w:rPr>
          <w:rFonts w:eastAsia="Batang"/>
          <w:lang w:val="en-US"/>
        </w:rPr>
        <w:t>f</w:t>
      </w:r>
      <w:r w:rsidR="00C773E4" w:rsidRPr="00313E82">
        <w:rPr>
          <w:rFonts w:eastAsia="Batang"/>
          <w:lang w:val="en-US"/>
        </w:rPr>
        <w:t xml:space="preserve">inite </w:t>
      </w:r>
      <w:r w:rsidR="00C773E4">
        <w:rPr>
          <w:rFonts w:eastAsia="Batang"/>
          <w:lang w:val="en-US"/>
        </w:rPr>
        <w:t>c</w:t>
      </w:r>
      <w:r w:rsidR="00C773E4" w:rsidRPr="00313E82">
        <w:rPr>
          <w:rFonts w:eastAsia="Batang"/>
          <w:lang w:val="en-US"/>
        </w:rPr>
        <w:t xml:space="preserve">hanges </w:t>
      </w:r>
      <w:r w:rsidR="00C773E4">
        <w:rPr>
          <w:rFonts w:eastAsia="Batang"/>
          <w:lang w:val="en-US"/>
        </w:rPr>
        <w:t>s</w:t>
      </w:r>
      <w:r w:rsidR="00C773E4" w:rsidRPr="00313E82">
        <w:rPr>
          <w:rFonts w:eastAsia="Batang"/>
          <w:lang w:val="en-US"/>
        </w:rPr>
        <w:t xml:space="preserve">ensitivity </w:t>
      </w:r>
      <w:r w:rsidRPr="00313E82">
        <w:rPr>
          <w:rFonts w:eastAsia="Batang"/>
          <w:lang w:val="en-US"/>
        </w:rPr>
        <w:t>index is</w:t>
      </w:r>
      <m:oMath>
        <m:r>
          <w:rPr>
            <w:rFonts w:ascii="Cambria Math" w:eastAsia="Batang" w:hAnsi="Cambria Math"/>
            <w:lang w:val="en-US"/>
          </w:rPr>
          <m:t xml:space="preserve">  n+2</m:t>
        </m:r>
      </m:oMath>
      <w:r w:rsidRPr="00313E82">
        <w:rPr>
          <w:rFonts w:eastAsia="Batang"/>
          <w:lang w:val="en-US"/>
        </w:rPr>
        <w:t xml:space="preserve">, being </w:t>
      </w:r>
      <m:oMath>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1</m:t>
                </m:r>
              </m:sup>
            </m:sSup>
          </m:e>
        </m:d>
      </m:oMath>
      <w:r w:rsidRPr="00313E82">
        <w:rPr>
          <w:rFonts w:eastAsia="Batang"/>
          <w:lang w:val="en-US"/>
        </w:rPr>
        <w:t xml:space="preserve">, </w:t>
      </w:r>
      <m:oMath>
        <m:r>
          <w:rPr>
            <w:rFonts w:ascii="Cambria Math"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oMath>
      <w:r w:rsidRPr="00313E82">
        <w:rPr>
          <w:rFonts w:eastAsia="Batang"/>
          <w:lang w:val="en-US"/>
        </w:rPr>
        <w:t xml:space="preserve"> and </w:t>
      </w:r>
      <m:oMath>
        <m:r>
          <w:rPr>
            <w:rFonts w:ascii="Cambria Math"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e>
        </m:d>
      </m:oMath>
      <w:r w:rsidRPr="005F3E6E">
        <w:rPr>
          <w:lang w:val="en-US"/>
        </w:rPr>
        <w:t xml:space="preserve"> </w:t>
      </w:r>
      <w:r w:rsidRPr="00313E82">
        <w:rPr>
          <w:rFonts w:eastAsia="Batang"/>
          <w:lang w:val="en-US"/>
        </w:rPr>
        <w:t>to be estimated.</w:t>
      </w:r>
    </w:p>
    <w:p w:rsidR="00850225" w:rsidRPr="00313E82" w:rsidRDefault="00850225">
      <w:pPr>
        <w:rPr>
          <w:rFonts w:eastAsia="Batang"/>
          <w:u w:val="single"/>
          <w:lang w:val="en-US"/>
        </w:rPr>
      </w:pPr>
      <w:r w:rsidRPr="00313E82">
        <w:rPr>
          <w:rFonts w:eastAsia="Batang"/>
          <w:u w:val="single"/>
          <w:lang w:val="en-US"/>
        </w:rPr>
        <w:t>Order k Finite Change Sensitivity measure</w:t>
      </w:r>
    </w:p>
    <w:p w:rsidR="00850225" w:rsidRPr="00313E82" w:rsidRDefault="00850225">
      <w:pPr>
        <w:rPr>
          <w:rFonts w:eastAsia="Batang"/>
          <w:szCs w:val="18"/>
          <w:lang w:val="en-US"/>
        </w:rPr>
      </w:pPr>
      <w:r w:rsidRPr="00313E82">
        <w:rPr>
          <w:rFonts w:eastAsia="Batang"/>
          <w:szCs w:val="18"/>
          <w:lang w:val="en-US"/>
        </w:rPr>
        <w:t>The “</w:t>
      </w:r>
      <w:r w:rsidR="00C773E4">
        <w:rPr>
          <w:rFonts w:eastAsia="Batang"/>
          <w:szCs w:val="18"/>
          <w:lang w:val="en-US"/>
        </w:rPr>
        <w:t>o</w:t>
      </w:r>
      <w:r w:rsidR="00C773E4" w:rsidRPr="00313E82">
        <w:rPr>
          <w:rFonts w:eastAsia="Batang"/>
          <w:szCs w:val="18"/>
          <w:lang w:val="en-US"/>
        </w:rPr>
        <w:t xml:space="preserve">rder </w:t>
      </w:r>
      <w:r w:rsidRPr="00313E82">
        <w:rPr>
          <w:rFonts w:eastAsia="Batang"/>
          <w:szCs w:val="18"/>
          <w:lang w:val="en-US"/>
        </w:rPr>
        <w:t xml:space="preserve">k </w:t>
      </w:r>
      <w:r w:rsidR="00C773E4">
        <w:rPr>
          <w:rFonts w:eastAsia="Batang"/>
          <w:szCs w:val="18"/>
          <w:lang w:val="en-US"/>
        </w:rPr>
        <w:t>f</w:t>
      </w:r>
      <w:r w:rsidR="00C773E4" w:rsidRPr="00313E82">
        <w:rPr>
          <w:rFonts w:eastAsia="Batang"/>
          <w:szCs w:val="18"/>
          <w:lang w:val="en-US"/>
        </w:rPr>
        <w:t xml:space="preserve">inite </w:t>
      </w:r>
      <w:r w:rsidR="00C773E4">
        <w:rPr>
          <w:rFonts w:eastAsia="Batang"/>
          <w:szCs w:val="18"/>
          <w:lang w:val="en-US"/>
        </w:rPr>
        <w:t>c</w:t>
      </w:r>
      <w:r w:rsidR="00C773E4" w:rsidRPr="00313E82">
        <w:rPr>
          <w:rFonts w:eastAsia="Batang"/>
          <w:szCs w:val="18"/>
          <w:lang w:val="en-US"/>
        </w:rPr>
        <w:t xml:space="preserve">hange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 xml:space="preserve">measure” is the contribution to the (finite) change </w:t>
      </w:r>
      <m:oMath>
        <m:r>
          <w:rPr>
            <w:rFonts w:ascii="Cambria Math" w:eastAsia="Batang" w:hAnsi="Cambria Math"/>
            <w:szCs w:val="18"/>
            <w:lang w:val="en-US"/>
          </w:rPr>
          <m:t>Δ</m:t>
        </m:r>
        <m:r>
          <w:rPr>
            <w:rFonts w:ascii="Cambria Math" w:hAnsi="Cambria Math"/>
            <w:szCs w:val="18"/>
            <w:lang w:val="en-US"/>
          </w:rPr>
          <m:t>φ</m:t>
        </m:r>
      </m:oMath>
      <w:r w:rsidRPr="00313E82">
        <w:rPr>
          <w:rFonts w:eastAsia="Batang"/>
          <w:szCs w:val="18"/>
          <w:lang w:val="en-US"/>
        </w:rPr>
        <w:t xml:space="preserve"> </w:t>
      </w:r>
      <w:r w:rsidRPr="00C94556">
        <w:rPr>
          <w:rFonts w:cs="Arial"/>
          <w:szCs w:val="18"/>
          <w:lang w:val="en-US"/>
        </w:rPr>
        <w:t>of</w:t>
      </w:r>
      <w:r w:rsidRPr="00313E82">
        <w:rPr>
          <w:rFonts w:eastAsia="Batang"/>
          <w:szCs w:val="18"/>
          <w:lang w:val="en-US"/>
        </w:rPr>
        <w:t xml:space="preserve"> the interactions among (the first) </w:t>
      </w:r>
      <w:r w:rsidRPr="00313E82">
        <w:rPr>
          <w:rFonts w:eastAsia="Batang"/>
          <w:i/>
          <w:szCs w:val="18"/>
          <w:lang w:val="en-US"/>
        </w:rPr>
        <w:t>k</w:t>
      </w:r>
      <w:r w:rsidRPr="00313E82">
        <w:rPr>
          <w:rFonts w:eastAsia="Batang"/>
          <w:szCs w:val="18"/>
          <w:lang w:val="en-US"/>
        </w:rPr>
        <w:t xml:space="preserve"> variables </w:t>
      </w:r>
      <m:oMath>
        <m:sSub>
          <m:sSubPr>
            <m:ctrlPr>
              <w:rPr>
                <w:rFonts w:ascii="Cambria Math" w:eastAsia="Batang" w:hAnsi="Cambria Math"/>
                <w:szCs w:val="18"/>
                <w:lang w:val="en-US"/>
              </w:rPr>
            </m:ctrlPr>
          </m:sSubPr>
          <m:e>
            <m:r>
              <m:rPr>
                <m:sty m:val="p"/>
              </m:rPr>
              <w:rPr>
                <w:rFonts w:ascii="Cambria Math" w:eastAsia="Batang" w:hAnsi="Cambria Math"/>
                <w:szCs w:val="18"/>
                <w:lang w:val="en-US"/>
              </w:rPr>
              <m:t>x</m:t>
            </m:r>
          </m:e>
          <m:sub>
            <m:r>
              <w:rPr>
                <w:rFonts w:ascii="Cambria Math" w:eastAsia="Batang" w:hAnsi="Cambria Math"/>
                <w:szCs w:val="18"/>
                <w:lang w:val="en-US"/>
              </w:rPr>
              <m:t>1</m:t>
            </m:r>
          </m:sub>
        </m:sSub>
        <m:r>
          <w:rPr>
            <w:rFonts w:ascii="Cambria Math" w:eastAsia="Batang" w:hAnsi="Cambria Math" w:hint="eastAsia"/>
            <w:szCs w:val="18"/>
            <w:lang w:val="en-US"/>
          </w:rPr>
          <m:t>,</m:t>
        </m:r>
        <m:sSub>
          <m:sSubPr>
            <m:ctrlPr>
              <w:rPr>
                <w:rFonts w:ascii="Cambria Math" w:eastAsia="Batang" w:hAnsi="Cambria Math"/>
                <w:i/>
                <w:szCs w:val="18"/>
                <w:lang w:val="en-US"/>
              </w:rPr>
            </m:ctrlPr>
          </m:sSubPr>
          <m:e>
            <m:r>
              <w:rPr>
                <w:rFonts w:ascii="Cambria Math" w:eastAsia="Batang" w:hAnsi="Cambria Math"/>
                <w:szCs w:val="18"/>
                <w:lang w:val="en-US"/>
              </w:rPr>
              <m:t>x</m:t>
            </m:r>
          </m:e>
          <m:sub>
            <m:r>
              <w:rPr>
                <w:rFonts w:ascii="Cambria Math" w:eastAsia="Batang" w:hAnsi="Cambria Math"/>
                <w:szCs w:val="18"/>
                <w:lang w:val="en-US"/>
              </w:rPr>
              <m:t>2</m:t>
            </m:r>
          </m:sub>
        </m:sSub>
        <m:r>
          <w:rPr>
            <w:rFonts w:ascii="Cambria Math" w:eastAsia="Batang" w:hAnsi="Cambria Math" w:hint="eastAsia"/>
            <w:szCs w:val="18"/>
            <w:lang w:val="en-US"/>
          </w:rPr>
          <m:t>,</m:t>
        </m:r>
        <m:r>
          <w:rPr>
            <w:rFonts w:ascii="Cambria Math" w:eastAsia="Batang" w:hAnsi="Cambria Math" w:hint="eastAsia"/>
            <w:szCs w:val="18"/>
            <w:lang w:val="en-US"/>
          </w:rPr>
          <m:t>…</m:t>
        </m:r>
        <m:r>
          <w:rPr>
            <w:rFonts w:ascii="Cambria Math" w:eastAsia="Batang" w:hAnsi="Cambria Math"/>
            <w:szCs w:val="18"/>
            <w:lang w:val="en-US"/>
          </w:rPr>
          <m:t>,</m:t>
        </m:r>
        <m:sSub>
          <m:sSubPr>
            <m:ctrlPr>
              <w:rPr>
                <w:rFonts w:ascii="Cambria Math" w:eastAsia="Batang" w:hAnsi="Cambria Math"/>
                <w:i/>
                <w:szCs w:val="18"/>
                <w:lang w:val="en-US"/>
              </w:rPr>
            </m:ctrlPr>
          </m:sSubPr>
          <m:e>
            <m:r>
              <w:rPr>
                <w:rFonts w:ascii="Cambria Math" w:eastAsia="Batang" w:hAnsi="Cambria Math"/>
                <w:szCs w:val="18"/>
                <w:lang w:val="en-US"/>
              </w:rPr>
              <m:t>x</m:t>
            </m:r>
          </m:e>
          <m:sub>
            <m:r>
              <w:rPr>
                <w:rFonts w:ascii="Cambria Math" w:eastAsia="Batang" w:hAnsi="Cambria Math"/>
                <w:szCs w:val="18"/>
                <w:lang w:val="en-US"/>
              </w:rPr>
              <m:t>k</m:t>
            </m:r>
          </m:sub>
        </m:sSub>
      </m:oMath>
      <w:r w:rsidRPr="00313E82">
        <w:rPr>
          <w:rFonts w:eastAsia="Batang"/>
          <w:szCs w:val="18"/>
          <w:lang w:val="en-US"/>
        </w:rPr>
        <w:t>, its normalized version being the corresponding fraction of the change:</w:t>
      </w:r>
    </w:p>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1"/>
        <w:gridCol w:w="2841"/>
      </w:tblGrid>
      <w:tr w:rsidR="00850225" w:rsidRPr="00313E82" w:rsidTr="0054091C">
        <w:trPr>
          <w:jc w:val="center"/>
        </w:trPr>
        <w:tc>
          <w:tcPr>
            <w:tcW w:w="1751" w:type="dxa"/>
            <w:vAlign w:val="center"/>
            <w:hideMark/>
          </w:tcPr>
          <w:p w:rsidR="00850225" w:rsidRPr="00313E82" w:rsidRDefault="0043746A">
            <w:pPr>
              <w:spacing w:before="120" w:line="360" w:lineRule="auto"/>
              <w:jc w:val="center"/>
              <w:rPr>
                <w:rFonts w:eastAsia="Batang"/>
                <w:szCs w:val="18"/>
                <w:lang w:val="en-US"/>
              </w:rPr>
            </w:pPr>
            <m:oMathPara>
              <m:oMath>
                <m:sSubSup>
                  <m:sSubSupPr>
                    <m:ctrlPr>
                      <w:rPr>
                        <w:rFonts w:ascii="Cambria Math" w:eastAsia="Batang" w:hAnsi="Cambria Math"/>
                        <w:i/>
                        <w:lang w:val="en-US"/>
                      </w:rPr>
                    </m:ctrlPr>
                  </m:sSubSupPr>
                  <m:e>
                    <m:r>
                      <w:rPr>
                        <w:rFonts w:ascii="Cambria Math" w:eastAsia="Batang" w:hAnsi="Cambria Math"/>
                        <w:i/>
                        <w:lang w:val="en-US"/>
                      </w:rPr>
                      <w:sym w:font="Symbol" w:char="F072"/>
                    </m:r>
                  </m:e>
                  <m:sub>
                    <m:sSub>
                      <m:sSubPr>
                        <m:ctrlPr>
                          <w:rPr>
                            <w:rFonts w:ascii="Cambria Math" w:eastAsia="Batang" w:hAnsi="Cambria Math"/>
                            <w:i/>
                            <w:lang w:val="en-US"/>
                          </w:rPr>
                        </m:ctrlPr>
                      </m:sSubPr>
                      <m:e>
                        <m:r>
                          <w:rPr>
                            <w:rFonts w:ascii="Cambria Math" w:eastAsia="Batang" w:hAnsi="Cambria Math"/>
                            <w:lang w:val="en-US"/>
                          </w:rPr>
                          <m:t>i</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i</m:t>
                        </m:r>
                      </m:e>
                      <m:sub>
                        <m:r>
                          <w:rPr>
                            <w:rFonts w:ascii="Cambria Math" w:eastAsia="Batang" w:hAnsi="Cambria Math"/>
                            <w:lang w:val="en-US"/>
                          </w:rPr>
                          <m:t>k</m:t>
                        </m:r>
                      </m:sub>
                    </m:sSub>
                  </m:sub>
                  <m:sup>
                    <m:r>
                      <w:rPr>
                        <w:rFonts w:ascii="Cambria Math" w:eastAsia="Batang" w:hAnsi="Cambria Math"/>
                        <w:lang w:val="en-US"/>
                      </w:rPr>
                      <m:t>k</m:t>
                    </m:r>
                  </m:sup>
                </m:sSubSup>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Δ</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Sub>
                <m:r>
                  <w:rPr>
                    <w:rFonts w:ascii="Cambria Math" w:eastAsia="Batang" w:hAnsi="Cambria Math" w:hint="eastAsia"/>
                    <w:lang w:val="en-US"/>
                  </w:rPr>
                  <m:t>f</m:t>
                </m:r>
              </m:oMath>
            </m:oMathPara>
          </w:p>
        </w:tc>
        <w:tc>
          <w:tcPr>
            <w:tcW w:w="2841" w:type="dxa"/>
            <w:vAlign w:val="center"/>
            <w:hideMark/>
          </w:tcPr>
          <w:p w:rsidR="00850225" w:rsidRPr="00313E82" w:rsidRDefault="0043746A">
            <w:pPr>
              <w:tabs>
                <w:tab w:val="left" w:pos="2268"/>
                <w:tab w:val="left" w:pos="2410"/>
              </w:tabs>
              <w:spacing w:before="120" w:line="360" w:lineRule="auto"/>
              <w:jc w:val="center"/>
              <w:rPr>
                <w:rFonts w:eastAsia="Batang"/>
                <w:lang w:val="en-US"/>
              </w:rPr>
            </w:pPr>
            <m:oMathPara>
              <m:oMath>
                <m:sSubSup>
                  <m:sSubSupPr>
                    <m:ctrlPr>
                      <w:rPr>
                        <w:rFonts w:ascii="Cambria Math" w:eastAsia="Batang" w:hAnsi="Cambria Math"/>
                        <w:i/>
                        <w:lang w:val="en-US"/>
                      </w:rPr>
                    </m:ctrlPr>
                  </m:sSubSupPr>
                  <m:e>
                    <m:r>
                      <m:rPr>
                        <m:sty m:val="p"/>
                      </m:rPr>
                      <w:rPr>
                        <w:rFonts w:ascii="Cambria Math" w:eastAsia="Batang" w:hAnsi="Cambria Math" w:hint="eastAsia"/>
                        <w:lang w:val="en-US"/>
                      </w:rPr>
                      <m:t>Γ</m:t>
                    </m:r>
                  </m:e>
                  <m:sub>
                    <m:sSub>
                      <m:sSubPr>
                        <m:ctrlPr>
                          <w:rPr>
                            <w:rFonts w:ascii="Cambria Math" w:eastAsia="Batang" w:hAnsi="Cambria Math"/>
                            <w:i/>
                            <w:lang w:val="en-US"/>
                          </w:rPr>
                        </m:ctrlPr>
                      </m:sSubPr>
                      <m:e>
                        <m:r>
                          <w:rPr>
                            <w:rFonts w:ascii="Cambria Math" w:eastAsia="Batang" w:hAnsi="Cambria Math"/>
                            <w:lang w:val="en-US"/>
                          </w:rPr>
                          <m:t>i</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i</m:t>
                        </m:r>
                      </m:e>
                      <m:sub>
                        <m:r>
                          <w:rPr>
                            <w:rFonts w:ascii="Cambria Math" w:eastAsia="Batang" w:hAnsi="Cambria Math"/>
                            <w:lang w:val="en-US"/>
                          </w:rPr>
                          <m:t>k</m:t>
                        </m:r>
                      </m:sub>
                    </m:sSub>
                  </m:sub>
                  <m:sup>
                    <m:r>
                      <w:rPr>
                        <w:rFonts w:ascii="Cambria Math" w:eastAsia="Batang" w:hAnsi="Cambria Math"/>
                        <w:lang w:val="en-US"/>
                      </w:rPr>
                      <m:t>k</m:t>
                    </m:r>
                  </m:sup>
                </m:sSubSup>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Δ</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Sub>
                    <m:r>
                      <w:rPr>
                        <w:rFonts w:ascii="Cambria Math" w:eastAsia="Batang" w:hAnsi="Cambria Math"/>
                        <w:lang w:val="en-US"/>
                      </w:rPr>
                      <m:t>f</m:t>
                    </m:r>
                  </m:num>
                  <m:den>
                    <m:r>
                      <w:rPr>
                        <w:rFonts w:ascii="Cambria Math" w:eastAsia="Batang" w:hAnsi="Cambria Math"/>
                        <w:lang w:val="en-US"/>
                      </w:rPr>
                      <m:t>Δ</m:t>
                    </m:r>
                    <m:r>
                      <w:rPr>
                        <w:rFonts w:ascii="Cambria Math" w:hAnsi="Cambria Math"/>
                        <w:lang w:val="en-US"/>
                      </w:rPr>
                      <m:t>f</m:t>
                    </m:r>
                  </m:den>
                </m:f>
              </m:oMath>
            </m:oMathPara>
          </w:p>
        </w:tc>
      </w:tr>
    </w:tbl>
    <w:p w:rsidR="00850225" w:rsidRPr="00313E82" w:rsidRDefault="00850225">
      <w:pPr>
        <w:rPr>
          <w:rFonts w:eastAsia="Batang"/>
          <w:u w:val="single"/>
          <w:lang w:val="en-US"/>
        </w:rPr>
      </w:pPr>
      <w:r w:rsidRPr="00313E82">
        <w:rPr>
          <w:rFonts w:eastAsia="Batang"/>
          <w:u w:val="single"/>
          <w:lang w:val="en-US"/>
        </w:rPr>
        <w:t>Total Order Finite Change Sensitivity measure</w:t>
      </w:r>
    </w:p>
    <w:p w:rsidR="00850225" w:rsidRPr="00313E82" w:rsidRDefault="00850225">
      <w:pPr>
        <w:rPr>
          <w:rFonts w:eastAsia="Batang"/>
          <w:lang w:val="en-US"/>
        </w:rPr>
      </w:pPr>
      <w:r w:rsidRPr="00313E82">
        <w:rPr>
          <w:rFonts w:eastAsia="Batang"/>
          <w:lang w:val="en-US"/>
        </w:rPr>
        <w:t>The “</w:t>
      </w:r>
      <w:r w:rsidR="00C773E4">
        <w:rPr>
          <w:rFonts w:eastAsia="Batang"/>
          <w:lang w:val="en-US"/>
        </w:rPr>
        <w:t>t</w:t>
      </w:r>
      <w:r w:rsidR="00C773E4" w:rsidRPr="00313E82">
        <w:rPr>
          <w:rFonts w:eastAsia="Batang"/>
          <w:lang w:val="en-US"/>
        </w:rPr>
        <w:t xml:space="preserve">otal </w:t>
      </w:r>
      <w:r w:rsidR="00C773E4">
        <w:rPr>
          <w:rFonts w:eastAsia="Batang"/>
          <w:lang w:val="en-US"/>
        </w:rPr>
        <w:t>o</w:t>
      </w:r>
      <w:r w:rsidR="00C773E4" w:rsidRPr="00313E82">
        <w:rPr>
          <w:rFonts w:eastAsia="Batang"/>
          <w:lang w:val="en-US"/>
        </w:rPr>
        <w:t xml:space="preserve">rder </w:t>
      </w:r>
      <w:r w:rsidR="00C773E4">
        <w:rPr>
          <w:rFonts w:eastAsia="Batang"/>
          <w:lang w:val="en-US"/>
        </w:rPr>
        <w:t>f</w:t>
      </w:r>
      <w:r w:rsidR="00C773E4" w:rsidRPr="00313E82">
        <w:rPr>
          <w:rFonts w:eastAsia="Batang"/>
          <w:lang w:val="en-US"/>
        </w:rPr>
        <w:t xml:space="preserve">inite </w:t>
      </w:r>
      <w:r w:rsidR="00C773E4">
        <w:rPr>
          <w:rFonts w:eastAsia="Batang"/>
          <w:lang w:val="en-US"/>
        </w:rPr>
        <w:t>c</w:t>
      </w:r>
      <w:r w:rsidR="00C773E4" w:rsidRPr="00313E82">
        <w:rPr>
          <w:rFonts w:eastAsia="Batang"/>
          <w:lang w:val="en-US"/>
        </w:rPr>
        <w:t xml:space="preserve">hange </w:t>
      </w:r>
      <w:r w:rsidR="00C773E4">
        <w:rPr>
          <w:rFonts w:eastAsia="Batang"/>
          <w:lang w:val="en-US"/>
        </w:rPr>
        <w:t>s</w:t>
      </w:r>
      <w:r w:rsidR="00C773E4" w:rsidRPr="00313E82">
        <w:rPr>
          <w:rFonts w:eastAsia="Batang"/>
          <w:lang w:val="en-US"/>
        </w:rPr>
        <w:t xml:space="preserve">ensitivity </w:t>
      </w:r>
      <w:r w:rsidRPr="00313E82">
        <w:rPr>
          <w:rFonts w:eastAsia="Batang"/>
          <w:lang w:val="en-US"/>
        </w:rPr>
        <w:t xml:space="preserve">measure” </w:t>
      </w:r>
      <w:r w:rsidRPr="00313E82">
        <w:rPr>
          <w:rFonts w:eastAsia="Batang"/>
          <w:szCs w:val="18"/>
          <w:lang w:val="en-US"/>
        </w:rPr>
        <w:t xml:space="preserve">is the contribution to the (finite) change </w:t>
      </w:r>
      <m:oMath>
        <m:r>
          <w:rPr>
            <w:rFonts w:ascii="Cambria Math" w:eastAsia="Batang" w:hAnsi="Cambria Math"/>
            <w:szCs w:val="18"/>
            <w:lang w:val="en-US"/>
          </w:rPr>
          <m:t>Δ</m:t>
        </m:r>
        <m:r>
          <w:rPr>
            <w:rFonts w:ascii="Cambria Math" w:hAnsi="Cambria Math"/>
            <w:szCs w:val="18"/>
            <w:lang w:val="en-US"/>
          </w:rPr>
          <m:t>φ</m:t>
        </m:r>
      </m:oMath>
      <w:r w:rsidRPr="00313E82">
        <w:rPr>
          <w:rFonts w:eastAsia="Batang"/>
          <w:szCs w:val="18"/>
          <w:lang w:val="en-US"/>
        </w:rPr>
        <w:t xml:space="preserve"> </w:t>
      </w:r>
      <w:r w:rsidRPr="00C94556">
        <w:rPr>
          <w:rFonts w:cs="Arial"/>
          <w:szCs w:val="18"/>
          <w:lang w:val="en-US"/>
        </w:rPr>
        <w:t>of</w:t>
      </w:r>
      <w:r w:rsidRPr="00313E82">
        <w:rPr>
          <w:rFonts w:eastAsia="Batang"/>
          <w:lang w:val="en-US"/>
        </w:rPr>
        <w:t xml:space="preserve"> the </w:t>
      </w:r>
      <w:r w:rsidRPr="00313E82">
        <w:rPr>
          <w:rFonts w:eastAsia="Batang"/>
          <w:szCs w:val="18"/>
          <w:lang w:val="en-US"/>
        </w:rPr>
        <w:t xml:space="preserve">(finite) </w:t>
      </w:r>
      <w:r w:rsidRPr="00313E82">
        <w:rPr>
          <w:rFonts w:eastAsia="Batang"/>
          <w:lang w:val="en-US"/>
        </w:rPr>
        <w:t>change of the variable at issue, alone and together with the changes of all remaining variables in any number and combination, its normalized version being the corresponding fraction of the change:</w:t>
      </w:r>
    </w:p>
    <w:p w:rsidR="00850225" w:rsidRPr="00313E82" w:rsidRDefault="0043746A">
      <w:pPr>
        <w:spacing w:before="120" w:line="360" w:lineRule="auto"/>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i/>
                  <w:lang w:val="en-US"/>
                </w:rPr>
                <w:sym w:font="Symbol" w:char="F072"/>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hint="eastAsia"/>
              <w:lang w:val="en-US"/>
            </w:rPr>
            <m:t>f</m:t>
          </m:r>
          <m:r>
            <w:rPr>
              <w:rFonts w:ascii="Cambria Math" w:eastAsia="Batang" w:hAnsi="Cambria Math"/>
              <w:lang w:val="en-US"/>
            </w:rPr>
            <m:t>+</m:t>
          </m:r>
          <m:nary>
            <m:naryPr>
              <m:chr m:val="∑"/>
              <m:limLoc m:val="undOvr"/>
              <m:supHide m:val="1"/>
              <m:ctrlPr>
                <w:rPr>
                  <w:rFonts w:ascii="Cambria Math" w:eastAsia="Batang" w:hAnsi="Cambria Math"/>
                  <w:i/>
                  <w:lang w:val="en-US"/>
                </w:rPr>
              </m:ctrlPr>
            </m:naryPr>
            <m:sub>
              <m:r>
                <w:rPr>
                  <w:rFonts w:ascii="Cambria Math" w:eastAsia="Batang" w:hAnsi="Cambria Math"/>
                  <w:lang w:val="en-US"/>
                </w:rPr>
                <m:t>j</m:t>
              </m:r>
              <m:r>
                <w:rPr>
                  <w:rFonts w:ascii="Cambria Math" w:eastAsia="Batang" w:hAnsi="Cambria Math" w:hint="eastAsia"/>
                  <w:lang w:val="en-US"/>
                </w:rPr>
                <m:t>≠</m:t>
              </m:r>
              <m:r>
                <w:rPr>
                  <w:rFonts w:ascii="Cambria Math" w:eastAsia="Batang" w:hAnsi="Cambria Math"/>
                  <w:lang w:val="en-US"/>
                </w:rPr>
                <m:t>i</m:t>
              </m:r>
            </m:sub>
            <m:sup/>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lang w:val="en-US"/>
                </w:rPr>
                <m:t>f</m:t>
              </m:r>
            </m:e>
          </m:nary>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r>
            <w:rPr>
              <w:rFonts w:ascii="Cambria Math" w:eastAsia="Batang" w:hAnsi="Cambria Math" w:hint="eastAsia"/>
              <w:lang w:val="en-US"/>
            </w:rPr>
            <m:t>f</m:t>
          </m:r>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nary>
                <m:naryPr>
                  <m:chr m:val="∑"/>
                  <m:limLoc m:val="undOvr"/>
                  <m:supHide m:val="1"/>
                  <m:ctrlPr>
                    <w:rPr>
                      <w:rFonts w:ascii="Cambria Math" w:eastAsia="Batang" w:hAnsi="Cambria Math"/>
                      <w:i/>
                      <w:lang w:val="en-US"/>
                    </w:rPr>
                  </m:ctrlPr>
                </m:naryPr>
                <m:sub>
                  <m:r>
                    <w:rPr>
                      <w:rFonts w:ascii="Cambria Math" w:eastAsia="Batang" w:hAnsi="Cambria Math"/>
                      <w:lang w:val="en-US"/>
                    </w:rPr>
                    <m:t>i</m:t>
                  </m:r>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e>
                  <m:sSubSup>
                    <m:sSubSupPr>
                      <m:ctrlPr>
                        <w:rPr>
                          <w:rFonts w:ascii="Cambria Math" w:eastAsia="Batang" w:hAnsi="Cambria Math"/>
                          <w:i/>
                          <w:lang w:val="en-US"/>
                        </w:rPr>
                      </m:ctrlPr>
                    </m:sSubSupPr>
                    <m:e>
                      <m:r>
                        <w:rPr>
                          <w:rFonts w:ascii="Cambria Math" w:eastAsia="Batang" w:hAnsi="Cambria Math"/>
                          <w:lang w:val="en-US"/>
                        </w:rPr>
                        <m:t>f</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r>
                        <w:rPr>
                          <w:rFonts w:ascii="Cambria Math" w:eastAsia="Batang" w:hAnsi="Cambria Math"/>
                          <w:lang w:val="en-US"/>
                        </w:rPr>
                        <m:t>k</m:t>
                      </m:r>
                    </m:sup>
                  </m:sSubSup>
                </m:e>
              </m:nary>
            </m:e>
          </m:nary>
        </m:oMath>
      </m:oMathPara>
    </w:p>
    <w:p w:rsidR="00850225" w:rsidRPr="00313E82" w:rsidRDefault="0043746A">
      <w:pPr>
        <w:spacing w:before="120" w:line="360" w:lineRule="auto"/>
        <w:rPr>
          <w:rFonts w:eastAsia="Batang"/>
          <w:lang w:val="en-US"/>
        </w:rPr>
      </w:pPr>
      <m:oMathPara>
        <m:oMath>
          <m:sSubSup>
            <m:sSubSupPr>
              <m:ctrlPr>
                <w:rPr>
                  <w:rFonts w:ascii="Cambria Math" w:eastAsia="Batang" w:hAnsi="Cambria Math"/>
                  <w:i/>
                  <w:lang w:val="en-US"/>
                </w:rPr>
              </m:ctrlPr>
            </m:sSubSupPr>
            <m:e>
              <m:r>
                <m:rPr>
                  <m:sty m:val="p"/>
                </m:rPr>
                <w:rPr>
                  <w:rFonts w:ascii="Cambria Math" w:eastAsia="Batang" w:hAnsi="Cambria Math" w:hint="eastAsia"/>
                  <w:lang w:val="en-US"/>
                </w:rPr>
                <m:t>Γ</m:t>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m:t>
                  </m:r>
                </m:sub>
              </m:sSub>
              <m:r>
                <w:rPr>
                  <w:rFonts w:ascii="Cambria Math" w:eastAsia="Batang" w:hAnsi="Cambria Math"/>
                  <w:lang w:val="en-US"/>
                </w:rPr>
                <m:t>f+</m:t>
              </m:r>
              <m:nary>
                <m:naryPr>
                  <m:chr m:val="∑"/>
                  <m:limLoc m:val="undOvr"/>
                  <m:supHide m:val="1"/>
                  <m:ctrlPr>
                    <w:rPr>
                      <w:rFonts w:ascii="Cambria Math" w:eastAsia="Batang" w:hAnsi="Cambria Math"/>
                      <w:i/>
                      <w:lang w:val="en-US"/>
                    </w:rPr>
                  </m:ctrlPr>
                </m:naryPr>
                <m:sub>
                  <m:r>
                    <w:rPr>
                      <w:rFonts w:ascii="Cambria Math" w:eastAsia="Batang" w:hAnsi="Cambria Math"/>
                      <w:lang w:val="en-US"/>
                    </w:rPr>
                    <m:t>j</m:t>
                  </m:r>
                  <m:r>
                    <w:rPr>
                      <w:rFonts w:ascii="Cambria Math" w:eastAsia="Batang" w:hAnsi="Cambria Math" w:hint="eastAsia"/>
                      <w:lang w:val="en-US"/>
                    </w:rPr>
                    <m:t>≠</m:t>
                  </m:r>
                  <m:r>
                    <w:rPr>
                      <w:rFonts w:ascii="Cambria Math" w:eastAsia="Batang" w:hAnsi="Cambria Math"/>
                      <w:lang w:val="en-US"/>
                    </w:rPr>
                    <m:t>i</m:t>
                  </m:r>
                </m:sub>
                <m:sup/>
                <m:e>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ij</m:t>
                      </m:r>
                    </m:sub>
                  </m:sSub>
                  <m:r>
                    <w:rPr>
                      <w:rFonts w:ascii="Cambria Math" w:eastAsia="Batang" w:hAnsi="Cambria Math"/>
                      <w:lang w:val="en-US"/>
                    </w:rPr>
                    <m:t>f</m:t>
                  </m:r>
                </m:e>
              </m:nary>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Δ</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r>
                <w:rPr>
                  <w:rFonts w:ascii="Cambria Math" w:eastAsia="Batang" w:hAnsi="Cambria Math"/>
                  <w:lang w:val="en-US"/>
                </w:rPr>
                <m:t>f</m:t>
              </m:r>
            </m:num>
            <m:den>
              <m:r>
                <w:rPr>
                  <w:rFonts w:ascii="Cambria Math" w:eastAsia="Batang" w:hAnsi="Cambria Math"/>
                  <w:lang w:val="en-US"/>
                </w:rPr>
                <m:t>Δ</m:t>
              </m:r>
              <m:r>
                <w:rPr>
                  <w:rFonts w:ascii="Cambria Math" w:hAnsi="Cambria Math"/>
                  <w:lang w:val="en-US"/>
                </w:rPr>
                <m:t>f</m:t>
              </m:r>
            </m:den>
          </m:f>
          <m:r>
            <w:rPr>
              <w:rFonts w:ascii="Cambria Math" w:eastAsia="Batang" w:hAnsi="Cambria Math" w:hint="eastAsia"/>
              <w:lang w:val="en-US"/>
            </w:rPr>
            <m:t xml:space="preserve"> =</m:t>
          </m:r>
          <m:f>
            <m:fPr>
              <m:ctrlPr>
                <w:rPr>
                  <w:rFonts w:ascii="Cambria Math" w:eastAsia="Batang" w:hAnsi="Cambria Math"/>
                  <w:i/>
                  <w:lang w:val="en-US"/>
                </w:rPr>
              </m:ctrlPr>
            </m:fPr>
            <m:num>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nary>
                    <m:naryPr>
                      <m:chr m:val="∑"/>
                      <m:limLoc m:val="undOvr"/>
                      <m:supHide m:val="1"/>
                      <m:ctrlPr>
                        <w:rPr>
                          <w:rFonts w:ascii="Cambria Math" w:eastAsia="Batang" w:hAnsi="Cambria Math"/>
                          <w:i/>
                          <w:lang w:val="en-US"/>
                        </w:rPr>
                      </m:ctrlPr>
                    </m:naryPr>
                    <m:sub>
                      <m:r>
                        <w:rPr>
                          <w:rFonts w:ascii="Cambria Math" w:eastAsia="Batang" w:hAnsi="Cambria Math"/>
                          <w:lang w:val="en-US"/>
                        </w:rPr>
                        <m:t>i</m:t>
                      </m:r>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e>
                      <m:sSubSup>
                        <m:sSubSupPr>
                          <m:ctrlPr>
                            <w:rPr>
                              <w:rFonts w:ascii="Cambria Math" w:eastAsia="Batang" w:hAnsi="Cambria Math"/>
                              <w:i/>
                              <w:lang w:val="en-US"/>
                            </w:rPr>
                          </m:ctrlPr>
                        </m:sSubSupPr>
                        <m:e>
                          <m:r>
                            <w:rPr>
                              <w:rFonts w:ascii="Cambria Math" w:eastAsia="Batang" w:hAnsi="Cambria Math"/>
                              <w:lang w:val="en-US"/>
                            </w:rPr>
                            <m:t>f</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r>
                            <w:rPr>
                              <w:rFonts w:ascii="Cambria Math" w:eastAsia="Batang" w:hAnsi="Cambria Math"/>
                              <w:lang w:val="en-US"/>
                            </w:rPr>
                            <m:t>k</m:t>
                          </m:r>
                        </m:sup>
                      </m:sSubSup>
                    </m:e>
                  </m:nary>
                </m:e>
              </m:nary>
            </m:num>
            <m:den>
              <m:r>
                <w:rPr>
                  <w:rFonts w:ascii="Cambria Math" w:eastAsia="Batang" w:hAnsi="Cambria Math"/>
                  <w:lang w:val="en-US"/>
                </w:rPr>
                <m:t>Δ</m:t>
              </m:r>
              <m:r>
                <w:rPr>
                  <w:rFonts w:ascii="Cambria Math" w:hAnsi="Cambria Math"/>
                  <w:lang w:val="en-US"/>
                </w:rPr>
                <m:t>f</m:t>
              </m:r>
            </m:den>
          </m:f>
        </m:oMath>
      </m:oMathPara>
    </w:p>
    <w:p w:rsidR="00850225" w:rsidRPr="00313E82" w:rsidRDefault="00850225" w:rsidP="00C94556">
      <w:pPr>
        <w:pStyle w:val="Titre3"/>
        <w:rPr>
          <w:rFonts w:eastAsia="Batang"/>
          <w:lang w:val="en-US"/>
        </w:rPr>
      </w:pPr>
      <w:bookmarkStart w:id="135" w:name="_Toc474430153"/>
      <w:r w:rsidRPr="00313E82">
        <w:rPr>
          <w:rFonts w:eastAsia="Batang"/>
          <w:lang w:val="en-US"/>
        </w:rPr>
        <w:t>Areas of application</w:t>
      </w:r>
      <w:bookmarkEnd w:id="135"/>
    </w:p>
    <w:p w:rsidR="00850225" w:rsidRPr="00313E82" w:rsidRDefault="00850225">
      <w:pPr>
        <w:rPr>
          <w:rFonts w:eastAsia="Batang"/>
          <w:szCs w:val="18"/>
          <w:lang w:val="en-US"/>
        </w:rPr>
      </w:pPr>
      <w:r w:rsidRPr="00313E82">
        <w:rPr>
          <w:rFonts w:eastAsia="Batang"/>
          <w:szCs w:val="18"/>
          <w:lang w:val="en-US"/>
        </w:rPr>
        <w:t xml:space="preserve">The </w:t>
      </w:r>
      <w:r w:rsidR="00C773E4">
        <w:rPr>
          <w:rFonts w:eastAsia="Batang"/>
          <w:szCs w:val="18"/>
          <w:lang w:val="en-US"/>
        </w:rPr>
        <w:t>i</w:t>
      </w:r>
      <w:r w:rsidR="00C773E4" w:rsidRPr="00313E82">
        <w:rPr>
          <w:rFonts w:eastAsia="Batang"/>
          <w:szCs w:val="18"/>
          <w:lang w:val="en-US"/>
        </w:rPr>
        <w:t xml:space="preserve">mportance </w:t>
      </w:r>
      <w:r w:rsidRPr="00313E82">
        <w:rPr>
          <w:rFonts w:eastAsia="Batang"/>
          <w:szCs w:val="18"/>
          <w:lang w:val="en-US"/>
        </w:rPr>
        <w:t xml:space="preserve">and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analysis could (and should) be considered as a unique task that includes the computation of different measures, which provide complementary information to the decision maker, concerning the contributions of each single variable to the value of the model output (</w:t>
      </w:r>
      <w:r w:rsidR="00C773E4">
        <w:rPr>
          <w:rFonts w:eastAsia="Batang"/>
          <w:szCs w:val="18"/>
          <w:lang w:val="en-US"/>
        </w:rPr>
        <w:t>i</w:t>
      </w:r>
      <w:r w:rsidR="00C773E4" w:rsidRPr="00313E82">
        <w:rPr>
          <w:rFonts w:eastAsia="Batang"/>
          <w:szCs w:val="18"/>
          <w:lang w:val="en-US"/>
        </w:rPr>
        <w:t xml:space="preserve">mportance </w:t>
      </w:r>
      <w:r w:rsidRPr="00313E82">
        <w:rPr>
          <w:rFonts w:eastAsia="Batang"/>
          <w:szCs w:val="18"/>
          <w:lang w:val="en-US"/>
        </w:rPr>
        <w:t xml:space="preserve">analysis) and to the </w:t>
      </w:r>
      <w:r w:rsidRPr="00313E82">
        <w:rPr>
          <w:rFonts w:eastAsia="Batang"/>
          <w:szCs w:val="18"/>
          <w:lang w:val="en-US"/>
        </w:rPr>
        <w:lastRenderedPageBreak/>
        <w:t>relevant uncertainty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 xml:space="preserve">analysis). In this regard, the </w:t>
      </w:r>
      <w:r w:rsidR="00C773E4">
        <w:rPr>
          <w:rFonts w:eastAsia="Batang"/>
          <w:szCs w:val="18"/>
          <w:lang w:val="en-US"/>
        </w:rPr>
        <w:t>i</w:t>
      </w:r>
      <w:r w:rsidR="00C773E4" w:rsidRPr="00313E82">
        <w:rPr>
          <w:rFonts w:eastAsia="Batang"/>
          <w:szCs w:val="18"/>
          <w:lang w:val="en-US"/>
        </w:rPr>
        <w:t xml:space="preserve">mportance </w:t>
      </w:r>
      <w:r w:rsidRPr="00313E82">
        <w:rPr>
          <w:rFonts w:eastAsia="Batang"/>
          <w:szCs w:val="18"/>
          <w:lang w:val="en-US"/>
        </w:rPr>
        <w:t xml:space="preserve">analysis has significant overlap with the </w:t>
      </w:r>
      <w:r w:rsidR="00C773E4">
        <w:rPr>
          <w:rFonts w:eastAsia="Batang"/>
          <w:szCs w:val="18"/>
          <w:lang w:val="en-US"/>
        </w:rPr>
        <w:t>l</w:t>
      </w:r>
      <w:r w:rsidR="00C773E4" w:rsidRPr="00313E82">
        <w:rPr>
          <w:rFonts w:eastAsia="Batang"/>
          <w:szCs w:val="18"/>
          <w:lang w:val="en-US"/>
        </w:rPr>
        <w:t xml:space="preserve">ocal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 xml:space="preserve">analysis. </w:t>
      </w:r>
    </w:p>
    <w:p w:rsidR="00850225" w:rsidRPr="00313E82" w:rsidRDefault="00850225">
      <w:pPr>
        <w:rPr>
          <w:rFonts w:eastAsia="Batang"/>
          <w:szCs w:val="18"/>
          <w:lang w:val="en-US"/>
        </w:rPr>
      </w:pPr>
      <w:r w:rsidRPr="00313E82">
        <w:rPr>
          <w:rFonts w:eastAsia="Batang"/>
          <w:szCs w:val="18"/>
          <w:lang w:val="en-US"/>
        </w:rPr>
        <w:t>As pointed out</w:t>
      </w:r>
      <w:r w:rsidR="00C773E4">
        <w:rPr>
          <w:rFonts w:eastAsia="Batang"/>
          <w:szCs w:val="18"/>
          <w:lang w:val="en-US"/>
        </w:rPr>
        <w:t xml:space="preserve"> </w:t>
      </w:r>
      <w:r w:rsidR="00C773E4" w:rsidRPr="00313E82">
        <w:rPr>
          <w:rFonts w:eastAsia="Batang"/>
          <w:szCs w:val="18"/>
          <w:lang w:val="en-US"/>
        </w:rPr>
        <w:t>above</w:t>
      </w:r>
      <w:r w:rsidRPr="00313E82">
        <w:rPr>
          <w:rFonts w:eastAsia="Batang"/>
          <w:szCs w:val="18"/>
          <w:lang w:val="en-US"/>
        </w:rPr>
        <w:t xml:space="preserve">, different approaches for sensitivity analysis can be classified </w:t>
      </w:r>
      <w:r w:rsidR="00C773E4">
        <w:rPr>
          <w:rFonts w:eastAsia="Batang"/>
          <w:szCs w:val="18"/>
          <w:lang w:val="en-US"/>
        </w:rPr>
        <w:t>l</w:t>
      </w:r>
      <w:r w:rsidR="00C773E4" w:rsidRPr="00313E82">
        <w:rPr>
          <w:rFonts w:eastAsia="Batang"/>
          <w:szCs w:val="18"/>
          <w:lang w:val="en-US"/>
        </w:rPr>
        <w:t xml:space="preserve">ocal </w:t>
      </w:r>
      <w:r w:rsidRPr="00313E82">
        <w:rPr>
          <w:rFonts w:eastAsia="Batang"/>
          <w:szCs w:val="18"/>
          <w:lang w:val="en-US"/>
        </w:rPr>
        <w:t xml:space="preserve">and </w:t>
      </w:r>
      <w:r w:rsidR="00C773E4">
        <w:rPr>
          <w:rFonts w:eastAsia="Batang"/>
          <w:szCs w:val="18"/>
          <w:lang w:val="en-US"/>
        </w:rPr>
        <w:t>g</w:t>
      </w:r>
      <w:r w:rsidR="00C773E4" w:rsidRPr="00313E82">
        <w:rPr>
          <w:rFonts w:eastAsia="Batang"/>
          <w:szCs w:val="18"/>
          <w:lang w:val="en-US"/>
        </w:rPr>
        <w:t xml:space="preserve">lobal </w:t>
      </w:r>
      <w:r w:rsidRPr="00313E82">
        <w:rPr>
          <w:rFonts w:eastAsia="Batang"/>
          <w:szCs w:val="18"/>
          <w:lang w:val="en-US"/>
        </w:rPr>
        <w:t>ones.</w:t>
      </w:r>
    </w:p>
    <w:p w:rsidR="00850225" w:rsidRPr="00313E82" w:rsidRDefault="00850225">
      <w:pPr>
        <w:rPr>
          <w:rFonts w:eastAsia="Batang"/>
          <w:szCs w:val="18"/>
          <w:lang w:val="en-US"/>
        </w:rPr>
      </w:pPr>
      <w:r w:rsidRPr="00313E82">
        <w:rPr>
          <w:rFonts w:eastAsia="Batang"/>
          <w:szCs w:val="18"/>
          <w:lang w:val="en-US"/>
        </w:rPr>
        <w:t xml:space="preserve">The </w:t>
      </w:r>
      <w:r w:rsidR="00C773E4">
        <w:rPr>
          <w:rFonts w:eastAsia="Batang"/>
          <w:szCs w:val="18"/>
          <w:lang w:val="en-US"/>
        </w:rPr>
        <w:t>f</w:t>
      </w:r>
      <w:r w:rsidR="00C773E4" w:rsidRPr="00313E82">
        <w:rPr>
          <w:rFonts w:eastAsia="Batang"/>
          <w:szCs w:val="18"/>
          <w:lang w:val="en-US"/>
        </w:rPr>
        <w:t xml:space="preserve">inite </w:t>
      </w:r>
      <w:r w:rsidR="00C773E4">
        <w:rPr>
          <w:rFonts w:eastAsia="Batang"/>
          <w:szCs w:val="18"/>
          <w:lang w:val="en-US"/>
        </w:rPr>
        <w:t>c</w:t>
      </w:r>
      <w:r w:rsidR="00C773E4" w:rsidRPr="00313E82">
        <w:rPr>
          <w:rFonts w:eastAsia="Batang"/>
          <w:szCs w:val="18"/>
          <w:lang w:val="en-US"/>
        </w:rPr>
        <w:t xml:space="preserve">hange </w:t>
      </w:r>
      <w:r w:rsidRPr="00313E82">
        <w:rPr>
          <w:rFonts w:eastAsia="Batang"/>
          <w:szCs w:val="18"/>
          <w:lang w:val="en-US"/>
        </w:rPr>
        <w:t xml:space="preserve">sensitivity measures (as well as the </w:t>
      </w:r>
      <w:r w:rsidR="00C773E4">
        <w:rPr>
          <w:rFonts w:eastAsia="Batang"/>
          <w:szCs w:val="18"/>
          <w:lang w:val="en-US"/>
        </w:rPr>
        <w:t>v</w:t>
      </w:r>
      <w:r w:rsidR="00C773E4" w:rsidRPr="00313E82">
        <w:rPr>
          <w:rFonts w:eastAsia="Batang"/>
          <w:szCs w:val="18"/>
          <w:lang w:val="en-US"/>
        </w:rPr>
        <w:t xml:space="preserve">ariance </w:t>
      </w:r>
      <w:r w:rsidRPr="00313E82">
        <w:rPr>
          <w:rFonts w:eastAsia="Batang"/>
          <w:szCs w:val="18"/>
          <w:lang w:val="en-US"/>
        </w:rPr>
        <w:t xml:space="preserve">based approach introduced in the following) allow a global </w:t>
      </w:r>
      <w:r w:rsidR="00C773E4">
        <w:rPr>
          <w:rFonts w:eastAsia="Batang"/>
          <w:szCs w:val="18"/>
          <w:lang w:val="en-US"/>
        </w:rPr>
        <w:t>i</w:t>
      </w:r>
      <w:r w:rsidR="00C773E4" w:rsidRPr="00313E82">
        <w:rPr>
          <w:rFonts w:eastAsia="Batang"/>
          <w:szCs w:val="18"/>
          <w:lang w:val="en-US"/>
        </w:rPr>
        <w:t xml:space="preserve">mportance </w:t>
      </w:r>
      <w:r w:rsidRPr="00313E82">
        <w:rPr>
          <w:rFonts w:eastAsia="Batang"/>
          <w:szCs w:val="18"/>
          <w:lang w:val="en-US"/>
        </w:rPr>
        <w:t xml:space="preserve">and </w:t>
      </w:r>
      <w:r w:rsidR="00C773E4">
        <w:rPr>
          <w:rFonts w:eastAsia="Batang"/>
          <w:szCs w:val="18"/>
          <w:lang w:val="en-US"/>
        </w:rPr>
        <w:t>s</w:t>
      </w:r>
      <w:r w:rsidR="00C773E4" w:rsidRPr="00313E82">
        <w:rPr>
          <w:rFonts w:eastAsia="Batang"/>
          <w:szCs w:val="18"/>
          <w:lang w:val="en-US"/>
        </w:rPr>
        <w:t xml:space="preserve">ensitivity </w:t>
      </w:r>
      <w:r w:rsidRPr="00313E82">
        <w:rPr>
          <w:rFonts w:eastAsia="Batang"/>
          <w:szCs w:val="18"/>
          <w:lang w:val="en-US"/>
        </w:rPr>
        <w:t xml:space="preserve">analysis, being considered the entire range of values of the input variables, and providing information on their contributions to the model output and to the relevant uncertainty. Specifically, the </w:t>
      </w:r>
      <w:r w:rsidR="00A31A35">
        <w:rPr>
          <w:rFonts w:eastAsia="Batang"/>
          <w:szCs w:val="18"/>
          <w:lang w:val="en-US"/>
        </w:rPr>
        <w:t>f</w:t>
      </w:r>
      <w:r w:rsidR="00A31A35" w:rsidRPr="00313E82">
        <w:rPr>
          <w:rFonts w:eastAsia="Batang"/>
          <w:szCs w:val="18"/>
          <w:lang w:val="en-US"/>
        </w:rPr>
        <w:t xml:space="preserve">inite </w:t>
      </w:r>
      <w:r w:rsidRPr="00313E82">
        <w:rPr>
          <w:rFonts w:eastAsia="Batang"/>
          <w:szCs w:val="18"/>
          <w:lang w:val="en-US"/>
        </w:rPr>
        <w:t>change sensitivity measures allow ranking input variables through a non-parametric approach, i.e. without the need to specify probability distributions for the relevant uncertainty, but just their ranges of variability.</w:t>
      </w:r>
    </w:p>
    <w:p w:rsidR="00850225" w:rsidRPr="00313E82" w:rsidRDefault="00850225" w:rsidP="00C94556">
      <w:pPr>
        <w:pStyle w:val="Titre3"/>
        <w:rPr>
          <w:rFonts w:eastAsia="Batang"/>
          <w:lang w:val="en-US"/>
        </w:rPr>
      </w:pPr>
      <w:bookmarkStart w:id="136" w:name="_Toc474430154"/>
      <w:r w:rsidRPr="00313E82">
        <w:rPr>
          <w:rFonts w:eastAsia="Batang"/>
          <w:lang w:val="en-US"/>
        </w:rPr>
        <w:t>Discussion</w:t>
      </w:r>
      <w:bookmarkEnd w:id="136"/>
    </w:p>
    <w:p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w:t>
      </w:r>
    </w:p>
    <w:p w:rsidR="00850225" w:rsidRPr="00313E82" w:rsidRDefault="00850225" w:rsidP="00B76953">
      <w:pPr>
        <w:ind w:left="709"/>
        <w:rPr>
          <w:rFonts w:eastAsia="Batang"/>
          <w:lang w:val="en-US"/>
        </w:rPr>
      </w:pPr>
      <w:r w:rsidRPr="00313E82">
        <w:rPr>
          <w:rFonts w:eastAsia="Batang"/>
          <w:lang w:val="en-US"/>
        </w:rPr>
        <w:t>The “</w:t>
      </w:r>
      <w:r w:rsidR="00C33368">
        <w:rPr>
          <w:rFonts w:eastAsia="Batang"/>
          <w:lang w:val="en-US"/>
        </w:rPr>
        <w:t>f</w:t>
      </w:r>
      <w:r w:rsidR="00C33368" w:rsidRPr="00313E82">
        <w:rPr>
          <w:rFonts w:eastAsia="Batang"/>
          <w:lang w:val="en-US"/>
        </w:rPr>
        <w:t xml:space="preserve">inite </w:t>
      </w:r>
      <w:r w:rsidRPr="00313E82">
        <w:rPr>
          <w:rFonts w:eastAsia="Batang"/>
          <w:lang w:val="en-US"/>
        </w:rPr>
        <w:t xml:space="preserve">change” approach for the </w:t>
      </w:r>
      <w:r w:rsidR="00C33368">
        <w:rPr>
          <w:rFonts w:eastAsia="Batang"/>
          <w:lang w:val="en-US"/>
        </w:rPr>
        <w:t>i</w:t>
      </w:r>
      <w:r w:rsidR="00C33368" w:rsidRPr="00313E82">
        <w:rPr>
          <w:rFonts w:eastAsia="Batang"/>
          <w:lang w:val="en-US"/>
        </w:rPr>
        <w:t xml:space="preserve">mportance </w:t>
      </w:r>
      <w:r w:rsidRPr="00313E82">
        <w:rPr>
          <w:rFonts w:eastAsia="Batang"/>
          <w:lang w:val="en-US"/>
        </w:rPr>
        <w:t xml:space="preserve">and </w:t>
      </w:r>
      <w:r w:rsidR="00C33368">
        <w:rPr>
          <w:rFonts w:eastAsia="Batang"/>
          <w:lang w:val="en-US"/>
        </w:rPr>
        <w:t>s</w:t>
      </w:r>
      <w:r w:rsidR="00C33368" w:rsidRPr="00313E82">
        <w:rPr>
          <w:rFonts w:eastAsia="Batang"/>
          <w:lang w:val="en-US"/>
        </w:rPr>
        <w:t xml:space="preserve">ensitivity </w:t>
      </w:r>
      <w:r w:rsidRPr="00313E82">
        <w:rPr>
          <w:rFonts w:eastAsia="Batang"/>
          <w:lang w:val="en-US"/>
        </w:rPr>
        <w:t xml:space="preserve">analysis allows the apportionment of the (finite) change of the model output into the contributions due to the individual and simultaneous (finite) changes of input </w:t>
      </w:r>
      <w:r w:rsidRPr="00313E82">
        <w:rPr>
          <w:rFonts w:eastAsia="Batang"/>
          <w:szCs w:val="18"/>
          <w:lang w:val="en-US"/>
        </w:rPr>
        <w:t>variables</w:t>
      </w:r>
      <w:r w:rsidRPr="00313E82">
        <w:rPr>
          <w:rFonts w:eastAsia="Batang"/>
          <w:lang w:val="en-US"/>
        </w:rPr>
        <w:t>.</w:t>
      </w:r>
    </w:p>
    <w:p w:rsidR="00850225" w:rsidRPr="00313E82" w:rsidRDefault="00850225" w:rsidP="00B76953">
      <w:pPr>
        <w:ind w:left="709"/>
        <w:rPr>
          <w:rFonts w:eastAsia="Batang"/>
          <w:lang w:val="en-US"/>
        </w:rPr>
      </w:pPr>
      <w:r w:rsidRPr="00313E82">
        <w:rPr>
          <w:rFonts w:eastAsia="Batang"/>
          <w:lang w:val="en-US"/>
        </w:rPr>
        <w:t xml:space="preserve">Although it has been only recently proposed and probably never used in NPP PSA, the consistency with other </w:t>
      </w:r>
      <w:r w:rsidRPr="00313E82">
        <w:rPr>
          <w:rFonts w:eastAsia="Batang"/>
          <w:szCs w:val="18"/>
          <w:lang w:val="en-US"/>
        </w:rPr>
        <w:t>secondary</w:t>
      </w:r>
      <w:r w:rsidRPr="00313E82">
        <w:rPr>
          <w:rFonts w:eastAsia="Batang"/>
          <w:lang w:val="en-US"/>
        </w:rPr>
        <w:t xml:space="preserve"> measures, the possibility to overcome the computational limits of other approaches for </w:t>
      </w:r>
      <w:r w:rsidR="00AC73B3">
        <w:rPr>
          <w:rFonts w:eastAsia="Batang"/>
          <w:lang w:val="en-US"/>
        </w:rPr>
        <w:t>g</w:t>
      </w:r>
      <w:r w:rsidR="00AC73B3" w:rsidRPr="00313E82">
        <w:rPr>
          <w:rFonts w:eastAsia="Batang"/>
          <w:lang w:val="en-US"/>
        </w:rPr>
        <w:t xml:space="preserve">lobal </w:t>
      </w:r>
      <w:r w:rsidRPr="00313E82">
        <w:rPr>
          <w:rFonts w:eastAsia="Batang"/>
          <w:lang w:val="en-US"/>
        </w:rPr>
        <w:t xml:space="preserve">sensitivity analysis (as for the </w:t>
      </w:r>
      <w:r w:rsidR="00AC73B3">
        <w:rPr>
          <w:rFonts w:eastAsia="Batang"/>
          <w:lang w:val="en-US"/>
        </w:rPr>
        <w:t>v</w:t>
      </w:r>
      <w:r w:rsidR="00AC73B3" w:rsidRPr="00313E82">
        <w:rPr>
          <w:rFonts w:eastAsia="Batang"/>
          <w:lang w:val="en-US"/>
        </w:rPr>
        <w:t>ariance</w:t>
      </w:r>
      <w:r w:rsidRPr="00313E82">
        <w:rPr>
          <w:rFonts w:eastAsia="Batang"/>
          <w:lang w:val="en-US"/>
        </w:rPr>
        <w:t>-based approach introduced in the following) and to avoid the specifications of a probability distributions representing the uncertainty on the input variables, make this approach very attractive.</w:t>
      </w:r>
    </w:p>
    <w:p w:rsidR="00850225" w:rsidRPr="00313E82" w:rsidRDefault="00850225" w:rsidP="00B76953">
      <w:pPr>
        <w:ind w:left="709"/>
        <w:rPr>
          <w:rFonts w:eastAsia="Batang"/>
          <w:lang w:val="en-US"/>
        </w:rPr>
      </w:pPr>
      <w:r w:rsidRPr="00313E82">
        <w:rPr>
          <w:rFonts w:eastAsia="Batang"/>
          <w:lang w:val="en-US"/>
        </w:rPr>
        <w:t xml:space="preserve">The </w:t>
      </w:r>
      <w:r w:rsidR="00AC73B3">
        <w:rPr>
          <w:rFonts w:eastAsia="Batang"/>
          <w:lang w:val="en-US"/>
        </w:rPr>
        <w:t>t</w:t>
      </w:r>
      <w:r w:rsidR="00AC73B3" w:rsidRPr="00313E82">
        <w:rPr>
          <w:rFonts w:eastAsia="Batang"/>
          <w:lang w:val="en-US"/>
        </w:rPr>
        <w:t xml:space="preserve">otal </w:t>
      </w:r>
      <w:r w:rsidRPr="00313E82">
        <w:rPr>
          <w:rFonts w:eastAsia="Batang"/>
          <w:lang w:val="en-US"/>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Pr="00313E82">
        <w:rPr>
          <w:rFonts w:eastAsia="Batang"/>
          <w:lang w:val="en-US"/>
        </w:rPr>
        <w:t>sensitivity measure, when referr</w:t>
      </w:r>
      <w:r w:rsidR="00AC73B3">
        <w:rPr>
          <w:rFonts w:eastAsia="Batang"/>
          <w:lang w:val="en-US"/>
        </w:rPr>
        <w:t>ing</w:t>
      </w:r>
      <w:r w:rsidRPr="00313E82">
        <w:rPr>
          <w:rFonts w:eastAsia="Batang"/>
          <w:lang w:val="en-US"/>
        </w:rPr>
        <w:t xml:space="preserve"> to basic events probability, coincides with the </w:t>
      </w:r>
      <w:r w:rsidR="00AC73B3">
        <w:rPr>
          <w:rFonts w:eastAsia="Batang"/>
          <w:lang w:val="en-US"/>
        </w:rPr>
        <w:t>t</w:t>
      </w:r>
      <w:r w:rsidR="00AC73B3" w:rsidRPr="00313E82">
        <w:rPr>
          <w:rFonts w:eastAsia="Batang"/>
          <w:lang w:val="en-US"/>
        </w:rPr>
        <w:t xml:space="preserve">otal </w:t>
      </w:r>
      <w:r w:rsidRPr="00313E82">
        <w:rPr>
          <w:rFonts w:eastAsia="Batang"/>
          <w:lang w:val="en-US"/>
        </w:rPr>
        <w:t xml:space="preserve">order </w:t>
      </w:r>
      <w:r w:rsidR="00AC73B3">
        <w:rPr>
          <w:rFonts w:eastAsia="Batang"/>
          <w:lang w:val="en-US"/>
        </w:rPr>
        <w:t>d</w:t>
      </w:r>
      <w:r w:rsidR="00AC73B3" w:rsidRPr="00313E82">
        <w:rPr>
          <w:rFonts w:eastAsia="Batang"/>
          <w:lang w:val="en-US"/>
        </w:rPr>
        <w:t xml:space="preserve">ifferential </w:t>
      </w:r>
      <w:r w:rsidR="00AC73B3">
        <w:rPr>
          <w:rFonts w:eastAsia="Batang"/>
          <w:lang w:val="en-US"/>
        </w:rPr>
        <w:t>i</w:t>
      </w:r>
      <w:r w:rsidR="00AC73B3" w:rsidRPr="00313E82">
        <w:rPr>
          <w:rFonts w:eastAsia="Batang"/>
          <w:lang w:val="en-US"/>
        </w:rPr>
        <w:t xml:space="preserve">mportance </w:t>
      </w:r>
      <w:r w:rsidRPr="00313E82">
        <w:rPr>
          <w:rFonts w:eastAsia="Batang"/>
          <w:lang w:val="en-US"/>
        </w:rPr>
        <w:t xml:space="preserve">measure and both coincide with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w:t>
      </w:r>
      <w:r w:rsidR="00AC73B3">
        <w:rPr>
          <w:rFonts w:eastAsia="Batang"/>
          <w:lang w:val="en-US"/>
        </w:rPr>
        <w:t>d</w:t>
      </w:r>
      <w:r w:rsidR="00AC73B3" w:rsidRPr="00313E82">
        <w:rPr>
          <w:rFonts w:eastAsia="Batang"/>
          <w:lang w:val="en-US"/>
        </w:rPr>
        <w:t xml:space="preserve">ifferential </w:t>
      </w:r>
      <w:r w:rsidR="00AC73B3">
        <w:rPr>
          <w:rFonts w:eastAsia="Batang"/>
          <w:lang w:val="en-US"/>
        </w:rPr>
        <w:t>i</w:t>
      </w:r>
      <w:r w:rsidR="00AC73B3" w:rsidRPr="00313E82">
        <w:rPr>
          <w:rFonts w:eastAsia="Batang"/>
          <w:lang w:val="en-US"/>
        </w:rPr>
        <w:t xml:space="preserve">mportance </w:t>
      </w:r>
      <w:r w:rsidRPr="00313E82">
        <w:rPr>
          <w:rFonts w:eastAsia="Batang"/>
          <w:lang w:val="en-US"/>
        </w:rPr>
        <w:t xml:space="preserve">measure when the finite changes become “small enough” (i.e. differential ones). This “reconciles” the </w:t>
      </w:r>
      <w:r w:rsidR="00AC73B3">
        <w:rPr>
          <w:rFonts w:eastAsia="Batang"/>
          <w:lang w:val="en-US"/>
        </w:rPr>
        <w:t>c</w:t>
      </w:r>
      <w:r w:rsidR="00AC73B3" w:rsidRPr="00313E82">
        <w:rPr>
          <w:rFonts w:eastAsia="Batang"/>
          <w:lang w:val="en-US"/>
        </w:rPr>
        <w:t xml:space="preserve">hanges </w:t>
      </w:r>
      <w:r w:rsidRPr="00313E82">
        <w:rPr>
          <w:rFonts w:eastAsia="Batang"/>
          <w:lang w:val="en-US"/>
        </w:rPr>
        <w:t xml:space="preserve">sensitivity measures with the traditional </w:t>
      </w:r>
      <w:r w:rsidR="00AC73B3">
        <w:rPr>
          <w:rFonts w:eastAsia="Batang"/>
          <w:lang w:val="en-US"/>
        </w:rPr>
        <w:t>i</w:t>
      </w:r>
      <w:r w:rsidR="00AC73B3" w:rsidRPr="00313E82">
        <w:rPr>
          <w:rFonts w:eastAsia="Batang"/>
          <w:lang w:val="en-US"/>
        </w:rPr>
        <w:t xml:space="preserve">mportance </w:t>
      </w:r>
      <w:r w:rsidRPr="00313E82">
        <w:rPr>
          <w:rFonts w:eastAsia="Batang"/>
          <w:lang w:val="en-US"/>
        </w:rPr>
        <w:t>measure already used in PSA applications.</w:t>
      </w:r>
    </w:p>
    <w:p w:rsidR="00850225" w:rsidRPr="00313E82" w:rsidRDefault="00850225">
      <w:pPr>
        <w:rPr>
          <w:rFonts w:eastAsia="Batang"/>
          <w:lang w:val="en-US"/>
        </w:rPr>
      </w:pPr>
      <w:r w:rsidRPr="00313E82">
        <w:rPr>
          <w:rFonts w:eastAsia="Batang"/>
          <w:u w:val="single"/>
          <w:lang w:val="en-US"/>
        </w:rPr>
        <w:t>Reliability &amp; Consistency:</w:t>
      </w:r>
    </w:p>
    <w:p w:rsidR="00850225" w:rsidRPr="00313E82" w:rsidRDefault="00850225" w:rsidP="00B76953">
      <w:pPr>
        <w:ind w:left="709"/>
        <w:rPr>
          <w:rFonts w:eastAsia="Batang"/>
          <w:lang w:val="en-US"/>
        </w:rPr>
      </w:pPr>
      <w:r w:rsidRPr="00313E82">
        <w:rPr>
          <w:rFonts w:eastAsia="Batang"/>
          <w:lang w:val="en-US"/>
        </w:rPr>
        <w:t xml:space="preserve">The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Pr="00313E82">
        <w:rPr>
          <w:rFonts w:eastAsia="Batang"/>
          <w:lang w:val="en-US"/>
        </w:rPr>
        <w:t>sensitivity measures are introduced consistently with the HDMR representation of the model output (</w:t>
      </w:r>
      <w:r w:rsidR="00AC73B3">
        <w:rPr>
          <w:rFonts w:eastAsia="Batang"/>
          <w:lang w:val="en-US"/>
        </w:rPr>
        <w:t>direct</w:t>
      </w:r>
      <w:r w:rsidR="00AC73B3" w:rsidRPr="00313E82">
        <w:rPr>
          <w:rFonts w:eastAsia="Batang"/>
          <w:lang w:val="en-US"/>
        </w:rPr>
        <w:t xml:space="preserve"> </w:t>
      </w:r>
      <w:r w:rsidRPr="00313E82">
        <w:rPr>
          <w:rFonts w:eastAsia="Batang"/>
          <w:lang w:val="en-US"/>
        </w:rPr>
        <w:t>risk measure) and then intrinsically recognize the presence of terms depending on a number of variables interacting among themselves.</w:t>
      </w:r>
    </w:p>
    <w:p w:rsidR="00850225" w:rsidRPr="00C94556" w:rsidRDefault="00850225" w:rsidP="00B76953">
      <w:pPr>
        <w:ind w:left="709"/>
        <w:rPr>
          <w:lang w:val="en-US"/>
        </w:rPr>
      </w:pPr>
      <w:r w:rsidRPr="00313E82">
        <w:rPr>
          <w:rFonts w:eastAsia="Batang"/>
          <w:lang w:val="en-US"/>
        </w:rPr>
        <w:t xml:space="preserve">Although based on a “sophisticated” representation of the </w:t>
      </w:r>
      <w:r w:rsidR="00AC73B3">
        <w:rPr>
          <w:rFonts w:eastAsia="Batang"/>
          <w:lang w:val="en-US"/>
        </w:rPr>
        <w:t>direct</w:t>
      </w:r>
      <w:r w:rsidR="00AC73B3" w:rsidRPr="00313E82">
        <w:rPr>
          <w:rFonts w:eastAsia="Batang"/>
          <w:lang w:val="en-US"/>
        </w:rPr>
        <w:t xml:space="preserve"> </w:t>
      </w:r>
      <w:r w:rsidRPr="00313E82">
        <w:rPr>
          <w:rFonts w:eastAsia="Batang"/>
          <w:lang w:val="en-US"/>
        </w:rPr>
        <w:t xml:space="preserve">risk measure (HDMR), the formulas to be used for the computation of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(to be used for a local perspective) and </w:t>
      </w:r>
      <w:r w:rsidR="00AC73B3">
        <w:rPr>
          <w:rFonts w:eastAsia="Batang"/>
          <w:lang w:val="en-US"/>
        </w:rPr>
        <w:t>t</w:t>
      </w:r>
      <w:r w:rsidR="00AC73B3" w:rsidRPr="00313E82">
        <w:rPr>
          <w:rFonts w:eastAsia="Batang"/>
          <w:lang w:val="en-US"/>
        </w:rPr>
        <w:t xml:space="preserve">otal </w:t>
      </w:r>
      <w:r w:rsidRPr="00313E82">
        <w:rPr>
          <w:rFonts w:eastAsia="Batang"/>
          <w:lang w:val="en-US"/>
        </w:rPr>
        <w:t xml:space="preserve">order (to be used for a global perspective)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Pr="00313E82">
        <w:rPr>
          <w:rFonts w:eastAsia="Batang"/>
          <w:lang w:val="en-US"/>
        </w:rPr>
        <w:t xml:space="preserve">sensitivity measures for basic events are very simple and require </w:t>
      </w:r>
      <m:oMath>
        <m:r>
          <w:rPr>
            <w:rFonts w:ascii="Cambria Math" w:eastAsia="Batang" w:hAnsi="Cambria Math"/>
            <w:lang w:val="en-US"/>
          </w:rPr>
          <m:t xml:space="preserve">2n+2 </m:t>
        </m:r>
      </m:oMath>
      <w:r w:rsidRPr="00313E82">
        <w:rPr>
          <w:rFonts w:eastAsia="Batang"/>
          <w:lang w:val="en-US"/>
        </w:rPr>
        <w:t>evaluations of the model (according to the procedure introduced in the following).</w:t>
      </w:r>
    </w:p>
    <w:p w:rsidR="00850225" w:rsidRPr="00313E82" w:rsidRDefault="00850225">
      <w:pPr>
        <w:rPr>
          <w:rFonts w:eastAsia="Batang"/>
          <w:lang w:val="en-US"/>
        </w:rPr>
      </w:pPr>
      <w:r w:rsidRPr="00313E82">
        <w:rPr>
          <w:rFonts w:eastAsia="Batang"/>
          <w:u w:val="single"/>
          <w:lang w:val="en-US"/>
        </w:rPr>
        <w:t>Risk aggregation properties</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t xml:space="preserve">The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 </w:t>
      </w:r>
      <w:r w:rsidRPr="00313E82">
        <w:rPr>
          <w:rFonts w:eastAsia="Batang"/>
          <w:lang w:val="en-US"/>
        </w:rPr>
        <w:t>sensitivity measures, being based on a representation of the model output which is a sum of terms depending on an increasing number of variables, are intrinsically additive.</w:t>
      </w:r>
    </w:p>
    <w:p w:rsidR="00850225" w:rsidRPr="00313E82" w:rsidRDefault="00850225" w:rsidP="00B76953">
      <w:pPr>
        <w:ind w:left="709"/>
        <w:rPr>
          <w:rFonts w:eastAsia="Batang"/>
          <w:lang w:val="en-US"/>
        </w:rPr>
      </w:pPr>
      <w:r w:rsidRPr="00313E82">
        <w:rPr>
          <w:rFonts w:eastAsia="Batang"/>
          <w:lang w:val="en-US"/>
        </w:rPr>
        <w:t xml:space="preserve">Rigorously, however, only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 </w:t>
      </w:r>
      <w:r w:rsidRPr="00313E82">
        <w:rPr>
          <w:rFonts w:eastAsia="Batang"/>
          <w:lang w:val="en-US"/>
        </w:rPr>
        <w:t xml:space="preserve">sensitivity measure is an additive measure: the measure for a group of variables (basic events probability or relevant parameters) is equal to the sum of </w:t>
      </w:r>
      <w:r w:rsidRPr="00313E82">
        <w:rPr>
          <w:rFonts w:eastAsia="Batang"/>
          <w:lang w:val="en-US"/>
        </w:rPr>
        <w:lastRenderedPageBreak/>
        <w:t>measures computed for each one of them and can be estimated without additional evaluations of the model.</w:t>
      </w:r>
    </w:p>
    <w:p w:rsidR="00850225" w:rsidRPr="00313E82" w:rsidRDefault="00850225" w:rsidP="00B76953">
      <w:pPr>
        <w:ind w:left="709"/>
        <w:rPr>
          <w:rFonts w:eastAsia="Batang"/>
          <w:lang w:val="en-US"/>
        </w:rPr>
      </w:pPr>
      <w:r w:rsidRPr="00313E82">
        <w:rPr>
          <w:rFonts w:eastAsia="Batang"/>
          <w:lang w:val="en-US"/>
        </w:rPr>
        <w:t>Differently, all the higher order measures for a group of variables cannot be estimated as sum of the measures computed for single or subgroups of variables, and requires further computations because new interactions terms are introduced.</w:t>
      </w:r>
    </w:p>
    <w:p w:rsidR="00850225" w:rsidRPr="00313E82" w:rsidRDefault="00850225">
      <w:pPr>
        <w:ind w:left="284" w:hanging="284"/>
        <w:rPr>
          <w:rFonts w:eastAsia="Batang"/>
          <w:lang w:val="en-US"/>
        </w:rPr>
      </w:pPr>
      <w:r w:rsidRPr="00313E82">
        <w:rPr>
          <w:rFonts w:eastAsia="Batang"/>
          <w:u w:val="single"/>
          <w:lang w:val="en-US"/>
        </w:rPr>
        <w:t>Understandability to the PSA community</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t xml:space="preserve">The interpretation of the ranking produced by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 </w:t>
      </w:r>
      <w:r w:rsidRPr="00313E82">
        <w:rPr>
          <w:rFonts w:eastAsia="Batang"/>
          <w:lang w:val="en-US"/>
        </w:rPr>
        <w:t xml:space="preserve">sensitivity measures is substantially the same of the DIM and of the risk-significance traditional </w:t>
      </w:r>
      <w:r w:rsidR="00AC73B3">
        <w:rPr>
          <w:rFonts w:eastAsia="Batang"/>
          <w:lang w:val="en-US"/>
        </w:rPr>
        <w:t>i</w:t>
      </w:r>
      <w:r w:rsidR="00AC73B3" w:rsidRPr="00313E82">
        <w:rPr>
          <w:rFonts w:eastAsia="Batang"/>
          <w:lang w:val="en-US"/>
        </w:rPr>
        <w:t xml:space="preserve">mportance </w:t>
      </w:r>
      <w:r w:rsidRPr="00313E82">
        <w:rPr>
          <w:rFonts w:eastAsia="Batang"/>
          <w:lang w:val="en-US"/>
        </w:rPr>
        <w:t xml:space="preserve">measures. Considering the whole range of the basic events probability </w:t>
      </w:r>
      <m:oMath>
        <m:d>
          <m:dPr>
            <m:begChr m:val="["/>
            <m:endChr m:val="]"/>
            <m:ctrlPr>
              <w:rPr>
                <w:rFonts w:ascii="Cambria Math" w:eastAsia="Batang" w:hAnsi="Cambria Math"/>
                <w:i/>
                <w:lang w:val="en-US"/>
              </w:rPr>
            </m:ctrlPr>
          </m:dPr>
          <m:e>
            <m:r>
              <w:rPr>
                <w:rFonts w:ascii="Cambria Math" w:eastAsia="Batang" w:hAnsi="Cambria Math"/>
                <w:lang w:val="en-US"/>
              </w:rPr>
              <m:t>0;1</m:t>
            </m:r>
          </m:e>
        </m:d>
      </m:oMath>
      <w:r w:rsidRPr="00313E82">
        <w:rPr>
          <w:rFonts w:eastAsia="Batang"/>
          <w:lang w:val="en-US"/>
        </w:rPr>
        <w:t xml:space="preserve">,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 </w:t>
      </w:r>
      <w:r w:rsidRPr="00313E82">
        <w:rPr>
          <w:rFonts w:eastAsia="Batang"/>
          <w:lang w:val="en-US"/>
        </w:rPr>
        <w:t>sensitivity measure coincides with the Birnbaum measure, being neglected non-linear terms of the model output.</w:t>
      </w:r>
    </w:p>
    <w:p w:rsidR="00850225" w:rsidRPr="00313E82" w:rsidRDefault="00850225" w:rsidP="00B76953">
      <w:pPr>
        <w:ind w:left="709"/>
        <w:rPr>
          <w:rFonts w:eastAsia="Batang"/>
          <w:lang w:val="en-US"/>
        </w:rPr>
      </w:pPr>
      <w:r w:rsidRPr="00313E82">
        <w:rPr>
          <w:rFonts w:eastAsia="Batang"/>
          <w:lang w:val="en-US"/>
        </w:rPr>
        <w:t xml:space="preserve">From a general point of view, </w:t>
      </w:r>
      <w:r w:rsidR="00AC73B3">
        <w:rPr>
          <w:rFonts w:eastAsia="Batang"/>
          <w:lang w:val="en-US"/>
        </w:rPr>
        <w:t>s</w:t>
      </w:r>
      <w:r w:rsidR="00AC73B3" w:rsidRPr="00313E82">
        <w:rPr>
          <w:rFonts w:eastAsia="Batang"/>
          <w:lang w:val="en-US"/>
        </w:rPr>
        <w:t xml:space="preserve">ensitivity </w:t>
      </w:r>
      <w:r w:rsidR="00AC73B3">
        <w:rPr>
          <w:rFonts w:eastAsia="Batang"/>
          <w:lang w:val="en-US"/>
        </w:rPr>
        <w:t>i</w:t>
      </w:r>
      <w:r w:rsidR="00AC73B3" w:rsidRPr="00313E82">
        <w:rPr>
          <w:rFonts w:eastAsia="Batang"/>
          <w:lang w:val="en-US"/>
        </w:rPr>
        <w:t xml:space="preserve">ndices </w:t>
      </w:r>
      <w:r w:rsidRPr="00313E82">
        <w:rPr>
          <w:rFonts w:eastAsia="Batang"/>
          <w:lang w:val="en-US"/>
        </w:rPr>
        <w:t>give information about the direction of change of the model output due to individual or simultaneous changes of the input variables (not interested for coherent systems), the key-drivers of the change of the model output (</w:t>
      </w:r>
      <w:r w:rsidR="00AC73B3">
        <w:rPr>
          <w:rFonts w:eastAsia="Batang"/>
          <w:lang w:val="en-US"/>
        </w:rPr>
        <w:t>direct</w:t>
      </w:r>
      <w:r w:rsidR="00AC73B3" w:rsidRPr="00313E82">
        <w:rPr>
          <w:rFonts w:eastAsia="Batang"/>
          <w:lang w:val="en-US"/>
        </w:rPr>
        <w:t xml:space="preserve"> </w:t>
      </w:r>
      <w:r w:rsidRPr="00313E82">
        <w:rPr>
          <w:rFonts w:eastAsia="Batang"/>
          <w:lang w:val="en-US"/>
        </w:rPr>
        <w:t>risk measure) and the structure of the model (i.e. the relevance of interactions).</w:t>
      </w:r>
    </w:p>
    <w:p w:rsidR="00850225" w:rsidRPr="00313E82" w:rsidRDefault="00850225" w:rsidP="00B76953">
      <w:pPr>
        <w:ind w:left="709"/>
        <w:rPr>
          <w:rFonts w:eastAsia="Batang"/>
          <w:lang w:val="en-US"/>
        </w:rPr>
      </w:pPr>
      <w:r w:rsidRPr="00313E82">
        <w:rPr>
          <w:rFonts w:eastAsia="Batang"/>
          <w:lang w:val="en-US"/>
        </w:rPr>
        <w:t xml:space="preserve">The magnitudes of the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T</m:t>
            </m:r>
          </m:sup>
        </m:sSubSup>
      </m:oMath>
      <w:r w:rsidRPr="00313E82">
        <w:rPr>
          <w:rFonts w:eastAsia="Batang"/>
          <w:lang w:val="en-US"/>
        </w:rPr>
        <w:t xml:space="preserve"> allow the identification of the key</w:t>
      </w:r>
      <w:r w:rsidR="00AC73B3">
        <w:rPr>
          <w:rFonts w:eastAsia="Batang"/>
          <w:lang w:val="en-US"/>
        </w:rPr>
        <w:t xml:space="preserve"> </w:t>
      </w:r>
      <w:r w:rsidRPr="00313E82">
        <w:rPr>
          <w:rFonts w:eastAsia="Batang"/>
          <w:lang w:val="en-US"/>
        </w:rPr>
        <w:t xml:space="preserve">drivers of the model output change, i.e. the variables whose change – alone and together with the changes of the remaining variables – </w:t>
      </w:r>
      <w:r w:rsidR="00AC73B3">
        <w:rPr>
          <w:rFonts w:eastAsia="Batang"/>
          <w:lang w:val="en-US"/>
        </w:rPr>
        <w:t>determines</w:t>
      </w:r>
      <w:r w:rsidR="00AC73B3" w:rsidRPr="00313E82">
        <w:rPr>
          <w:rFonts w:eastAsia="Batang"/>
          <w:lang w:val="en-US"/>
        </w:rPr>
        <w:t xml:space="preserve"> </w:t>
      </w:r>
      <w:r w:rsidRPr="00313E82">
        <w:rPr>
          <w:rFonts w:eastAsia="Batang"/>
          <w:lang w:val="en-US"/>
        </w:rPr>
        <w:t xml:space="preserve">the </w:t>
      </w:r>
      <w:r w:rsidR="00AC73B3">
        <w:rPr>
          <w:rFonts w:eastAsia="Batang"/>
          <w:lang w:val="en-US"/>
        </w:rPr>
        <w:t>larger</w:t>
      </w:r>
      <w:r w:rsidR="00AC73B3" w:rsidRPr="00313E82">
        <w:rPr>
          <w:rFonts w:eastAsia="Batang"/>
          <w:lang w:val="en-US"/>
        </w:rPr>
        <w:t xml:space="preserve"> </w:t>
      </w:r>
      <w:r w:rsidRPr="00313E82">
        <w:rPr>
          <w:rFonts w:eastAsia="Batang"/>
          <w:lang w:val="en-US"/>
        </w:rPr>
        <w:t>contributions to the change of the model output.</w:t>
      </w:r>
    </w:p>
    <w:p w:rsidR="00850225" w:rsidRPr="00313E82" w:rsidRDefault="00850225" w:rsidP="00B76953">
      <w:pPr>
        <w:ind w:left="709"/>
        <w:rPr>
          <w:rFonts w:eastAsia="Batang"/>
          <w:lang w:val="en-US"/>
        </w:rPr>
      </w:pPr>
      <w:r w:rsidRPr="00313E82">
        <w:rPr>
          <w:rFonts w:eastAsia="Batang"/>
          <w:lang w:val="en-US"/>
        </w:rPr>
        <w:t xml:space="preserve">Information about the structure of the model is provided by the magnitudes of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oMath>
      <w:r w:rsidRPr="00313E82">
        <w:rPr>
          <w:rFonts w:eastAsia="Batang"/>
          <w:lang w:val="en-US"/>
        </w:rPr>
        <w:t xml:space="preserve"> and all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sSub>
              <m:sSubPr>
                <m:ctrlPr>
                  <w:rPr>
                    <w:rFonts w:ascii="Cambria Math" w:eastAsia="Batang" w:hAnsi="Cambria Math"/>
                    <w:lang w:val="en-US"/>
                  </w:rPr>
                </m:ctrlPr>
              </m:sSubPr>
              <m:e>
                <m:r>
                  <m:rPr>
                    <m:sty m:val="p"/>
                  </m:rPr>
                  <w:rPr>
                    <w:rFonts w:ascii="Cambria Math" w:eastAsia="Batang" w:hAnsi="Cambria Math"/>
                    <w:lang w:val="en-US"/>
                  </w:rPr>
                  <m:t>i</m:t>
                </m:r>
              </m:e>
              <m:sub>
                <m:r>
                  <m:rPr>
                    <m:sty m:val="p"/>
                  </m:rPr>
                  <w:rPr>
                    <w:rFonts w:ascii="Cambria Math" w:eastAsia="Batang" w:hAnsi="Cambria Math"/>
                    <w:lang w:val="en-US"/>
                  </w:rPr>
                  <m:t>1</m:t>
                </m:r>
              </m:sub>
            </m:sSub>
            <m:r>
              <m:rPr>
                <m:sty m:val="p"/>
              </m:rPr>
              <w:rPr>
                <w:rFonts w:ascii="Cambria Math" w:eastAsia="Batang" w:hAnsi="Cambria Math"/>
                <w:lang w:val="en-US"/>
              </w:rPr>
              <m:t>,</m:t>
            </m:r>
            <m:r>
              <m:rPr>
                <m:sty m:val="p"/>
              </m:rPr>
              <w:rPr>
                <w:rFonts w:ascii="Cambria Math" w:eastAsia="Batang" w:hAnsi="Cambria Math" w:hint="eastAsia"/>
                <w:lang w:val="en-US"/>
              </w:rPr>
              <m:t>…</m:t>
            </m:r>
            <m:r>
              <m:rPr>
                <m:sty m:val="p"/>
              </m:rPr>
              <w:rPr>
                <w:rFonts w:ascii="Cambria Math" w:eastAsia="Batang" w:hAnsi="Cambria Math"/>
                <w:lang w:val="en-US"/>
              </w:rPr>
              <m:t>,</m:t>
            </m:r>
            <m:sSub>
              <m:sSubPr>
                <m:ctrlPr>
                  <w:rPr>
                    <w:rFonts w:ascii="Cambria Math" w:eastAsia="Batang" w:hAnsi="Cambria Math"/>
                    <w:lang w:val="en-US"/>
                  </w:rPr>
                </m:ctrlPr>
              </m:sSubPr>
              <m:e>
                <m:r>
                  <m:rPr>
                    <m:sty m:val="p"/>
                  </m:rPr>
                  <w:rPr>
                    <w:rFonts w:ascii="Cambria Math" w:eastAsia="Batang" w:hAnsi="Cambria Math"/>
                    <w:lang w:val="en-US"/>
                  </w:rPr>
                  <m:t>i</m:t>
                </m:r>
              </m:e>
              <m:sub>
                <m:r>
                  <m:rPr>
                    <m:sty m:val="p"/>
                  </m:rPr>
                  <w:rPr>
                    <w:rFonts w:ascii="Cambria Math" w:eastAsia="Batang" w:hAnsi="Cambria Math"/>
                    <w:lang w:val="en-US"/>
                  </w:rPr>
                  <m:t>k</m:t>
                </m:r>
              </m:sub>
            </m:sSub>
          </m:sub>
          <m:sup>
            <m:r>
              <m:rPr>
                <m:sty m:val="p"/>
              </m:rPr>
              <w:rPr>
                <w:rFonts w:ascii="Cambria Math" w:eastAsia="Batang" w:hAnsi="Cambria Math"/>
                <w:lang w:val="en-US"/>
              </w:rPr>
              <m:t>k</m:t>
            </m:r>
          </m:sup>
        </m:sSubSup>
      </m:oMath>
      <w:r w:rsidRPr="00313E82">
        <w:rPr>
          <w:rFonts w:eastAsia="Batang"/>
          <w:lang w:val="en-US"/>
        </w:rPr>
        <w:t xml:space="preserve"> with any other variables, in any combination. If the complete decomposition is not achievable due to the required computational effort, the differences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T</m:t>
            </m:r>
          </m:sup>
        </m:sSubSup>
        <m:r>
          <m:rPr>
            <m:sty m:val="p"/>
          </m:rPr>
          <w:rPr>
            <w:rFonts w:ascii="Cambria Math" w:eastAsia="Batang" w:hAnsi="Cambria Math"/>
            <w:lang w:val="en-US"/>
          </w:rPr>
          <m:t>-</m:t>
        </m:r>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oMath>
      <w:r w:rsidRPr="00313E82">
        <w:rPr>
          <w:rFonts w:eastAsia="Batang"/>
          <w:lang w:val="en-US"/>
        </w:rPr>
        <w:t xml:space="preserve"> can be taken as indicators of the relevance of interactions among variables:</w:t>
      </w:r>
    </w:p>
    <w:p w:rsidR="00850225" w:rsidRPr="00313E82" w:rsidRDefault="00850225" w:rsidP="00B76953">
      <w:pPr>
        <w:pStyle w:val="Paragraphedeliste"/>
        <w:numPr>
          <w:ilvl w:val="0"/>
          <w:numId w:val="44"/>
        </w:numPr>
        <w:ind w:left="1069"/>
        <w:rPr>
          <w:rFonts w:eastAsia="Batang"/>
          <w:lang w:val="en-US"/>
        </w:rPr>
      </w:pPr>
      <w:r w:rsidRPr="00313E82">
        <w:rPr>
          <w:rFonts w:eastAsia="Batang"/>
          <w:lang w:val="en-US"/>
        </w:rPr>
        <w:t xml:space="preserve">if </w:t>
      </w:r>
      <m:oMath>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T</m:t>
            </m:r>
          </m:sup>
        </m:sSubSup>
        <m:r>
          <m:rPr>
            <m:sty m:val="p"/>
          </m:rPr>
          <w:rPr>
            <w:rFonts w:ascii="Cambria Math" w:eastAsia="Batang" w:hAnsi="Cambria Math"/>
            <w:lang w:val="en-US"/>
          </w:rPr>
          <m:t>-</m:t>
        </m:r>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r>
          <w:rPr>
            <w:rFonts w:ascii="Cambria Math" w:eastAsia="Batang" w:hAnsi="Cambria Math"/>
            <w:lang w:val="en-US"/>
          </w:rPr>
          <m:t>≈0</m:t>
        </m:r>
      </m:oMath>
      <w:r w:rsidRPr="00313E82">
        <w:rPr>
          <w:rFonts w:eastAsia="Batang"/>
          <w:lang w:val="en-US"/>
        </w:rPr>
        <w:t xml:space="preserve"> the effects of the interactions involving the variable </w:t>
      </w:r>
      <m:oMath>
        <m:r>
          <m:rPr>
            <m:sty m:val="p"/>
          </m:rPr>
          <w:rPr>
            <w:rFonts w:ascii="Cambria Math" w:eastAsia="Batang" w:hAnsi="Cambria Math"/>
            <w:lang w:val="en-US"/>
          </w:rPr>
          <m:t>i</m:t>
        </m:r>
      </m:oMath>
      <w:r w:rsidRPr="00313E82">
        <w:rPr>
          <w:rFonts w:eastAsia="Batang"/>
          <w:lang w:val="en-US"/>
        </w:rPr>
        <w:t xml:space="preserve"> are irrelevant;</w:t>
      </w:r>
    </w:p>
    <w:p w:rsidR="00850225" w:rsidRPr="00313E82" w:rsidRDefault="00850225" w:rsidP="00B76953">
      <w:pPr>
        <w:pStyle w:val="Paragraphedeliste"/>
        <w:numPr>
          <w:ilvl w:val="0"/>
          <w:numId w:val="44"/>
        </w:numPr>
        <w:ind w:left="1069"/>
        <w:rPr>
          <w:rFonts w:eastAsia="Batang"/>
          <w:lang w:val="en-US"/>
        </w:rPr>
      </w:pPr>
      <w:r w:rsidRPr="00313E82">
        <w:rPr>
          <w:rFonts w:eastAsia="Batang"/>
          <w:lang w:val="en-US"/>
        </w:rPr>
        <w:t xml:space="preserve">if </w:t>
      </w:r>
      <m:oMath>
        <m:d>
          <m:dPr>
            <m:begChr m:val="|"/>
            <m:endChr m:val="|"/>
            <m:ctrlPr>
              <w:rPr>
                <w:rFonts w:ascii="Cambria Math" w:eastAsia="Batang" w:hAnsi="Cambria Math"/>
                <w:lang w:val="en-US"/>
              </w:rPr>
            </m:ctrlPr>
          </m:dPr>
          <m:e>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T</m:t>
                </m:r>
              </m:sup>
            </m:sSubSup>
            <m:r>
              <m:rPr>
                <m:sty m:val="p"/>
              </m:rPr>
              <w:rPr>
                <w:rFonts w:ascii="Cambria Math" w:eastAsia="Batang" w:hAnsi="Cambria Math"/>
                <w:lang w:val="en-US"/>
              </w:rPr>
              <m:t>-</m:t>
            </m:r>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e>
        </m:d>
        <m:r>
          <w:rPr>
            <w:rFonts w:ascii="Cambria Math" w:eastAsia="Batang" w:hAnsi="Cambria Math" w:hint="eastAsia"/>
            <w:lang w:val="en-US"/>
          </w:rPr>
          <m:t>≫</m:t>
        </m:r>
        <m:d>
          <m:dPr>
            <m:begChr m:val="|"/>
            <m:endChr m:val="|"/>
            <m:ctrlPr>
              <w:rPr>
                <w:rFonts w:ascii="Cambria Math" w:eastAsia="Batang" w:hAnsi="Cambria Math"/>
                <w:lang w:val="en-US"/>
              </w:rPr>
            </m:ctrlPr>
          </m:dPr>
          <m:e>
            <m:sSubSup>
              <m:sSubSupPr>
                <m:ctrlPr>
                  <w:rPr>
                    <w:rFonts w:ascii="Cambria Math" w:eastAsia="Batang" w:hAnsi="Cambria Math"/>
                    <w:lang w:val="en-US"/>
                  </w:rPr>
                </m:ctrlPr>
              </m:sSubSupPr>
              <m:e>
                <m:r>
                  <m:rPr>
                    <m:sty m:val="p"/>
                  </m:rPr>
                  <w:rPr>
                    <w:rFonts w:ascii="Cambria Math" w:eastAsia="Batang" w:hAnsi="Cambria Math" w:hint="eastAsia"/>
                    <w:lang w:val="en-US"/>
                  </w:rPr>
                  <m:t>Γ</m:t>
                </m:r>
              </m:e>
              <m:sub>
                <m:r>
                  <m:rPr>
                    <m:sty m:val="p"/>
                  </m:rPr>
                  <w:rPr>
                    <w:rFonts w:ascii="Cambria Math" w:eastAsia="Batang" w:hAnsi="Cambria Math"/>
                    <w:lang w:val="en-US"/>
                  </w:rPr>
                  <m:t>i</m:t>
                </m:r>
              </m:sub>
              <m:sup>
                <m:r>
                  <m:rPr>
                    <m:sty m:val="p"/>
                  </m:rPr>
                  <w:rPr>
                    <w:rFonts w:ascii="Cambria Math" w:eastAsia="Batang" w:hAnsi="Cambria Math"/>
                    <w:lang w:val="en-US"/>
                  </w:rPr>
                  <m:t>1</m:t>
                </m:r>
              </m:sup>
            </m:sSubSup>
          </m:e>
        </m:d>
      </m:oMath>
      <w:r w:rsidRPr="00313E82">
        <w:rPr>
          <w:rFonts w:eastAsia="Batang"/>
          <w:lang w:val="en-US"/>
        </w:rPr>
        <w:t xml:space="preserve"> the relevance of the input variable is mainly attributable to its “cooperation” with the others, rather than to its individual effect.</w:t>
      </w:r>
    </w:p>
    <w:p w:rsidR="00850225" w:rsidRPr="00313E82" w:rsidRDefault="00850225" w:rsidP="00C94556">
      <w:pPr>
        <w:pStyle w:val="Titre3"/>
        <w:rPr>
          <w:rFonts w:eastAsia="Batang"/>
          <w:lang w:val="en-US"/>
        </w:rPr>
      </w:pPr>
      <w:bookmarkStart w:id="137" w:name="_Toc474430155"/>
      <w:r w:rsidRPr="00313E82">
        <w:rPr>
          <w:rFonts w:eastAsia="Batang"/>
          <w:lang w:val="en-US"/>
        </w:rPr>
        <w:t>Limitation</w:t>
      </w:r>
      <w:bookmarkEnd w:id="137"/>
    </w:p>
    <w:p w:rsidR="00850225" w:rsidRPr="00313E82" w:rsidRDefault="00850225">
      <w:pPr>
        <w:rPr>
          <w:rFonts w:eastAsia="Batang"/>
          <w:lang w:val="en-US"/>
        </w:rPr>
      </w:pPr>
      <w:r w:rsidRPr="00313E82">
        <w:rPr>
          <w:rFonts w:eastAsia="Batang"/>
          <w:lang w:val="en-US"/>
        </w:rPr>
        <w:t>The use of a non-parametric approach for the representation of the uncertainty on the input variables can be a limitation when a uniform probability distribution over the entire range of variability introduces an inappropriate bias for the extreme values (if reasonably less probable).</w:t>
      </w:r>
    </w:p>
    <w:p w:rsidR="00850225" w:rsidRPr="00313E82" w:rsidRDefault="00850225">
      <w:pPr>
        <w:rPr>
          <w:rFonts w:eastAsia="Batang"/>
          <w:lang w:val="en-US"/>
        </w:rPr>
      </w:pPr>
      <w:r w:rsidRPr="00313E82">
        <w:rPr>
          <w:rFonts w:eastAsia="Batang"/>
          <w:lang w:val="en-US"/>
        </w:rPr>
        <w:t xml:space="preserve">For a model with </w:t>
      </w:r>
      <m:oMath>
        <m:r>
          <m:rPr>
            <m:sty m:val="p"/>
          </m:rPr>
          <w:rPr>
            <w:rFonts w:ascii="Cambria Math" w:eastAsia="Batang" w:hAnsi="Cambria Math"/>
            <w:lang w:val="en-US"/>
          </w:rPr>
          <m:t>n</m:t>
        </m:r>
      </m:oMath>
      <w:r w:rsidRPr="00313E82">
        <w:rPr>
          <w:rFonts w:eastAsia="Batang"/>
          <w:lang w:val="en-US"/>
        </w:rPr>
        <w:t xml:space="preserve"> input variables (i.e. </w:t>
      </w:r>
      <m:oMath>
        <m:r>
          <m:rPr>
            <m:sty m:val="p"/>
          </m:rPr>
          <w:rPr>
            <w:rFonts w:ascii="Cambria Math" w:eastAsia="Batang" w:hAnsi="Cambria Math"/>
            <w:lang w:val="en-US"/>
          </w:rPr>
          <m:t>X</m:t>
        </m:r>
        <m:r>
          <m:rPr>
            <m:sty m:val="p"/>
          </m:rPr>
          <w:rPr>
            <w:rFonts w:ascii="Cambria Math" w:eastAsia="Batang" w:hAnsi="Cambria Math" w:hint="eastAsia"/>
            <w:lang w:val="en-US"/>
          </w:rPr>
          <m:t>∈</m:t>
        </m:r>
        <m:sSup>
          <m:sSupPr>
            <m:ctrlPr>
              <w:rPr>
                <w:rFonts w:ascii="Cambria Math" w:eastAsia="Batang" w:hAnsi="Cambria Math"/>
                <w:lang w:val="en-US"/>
              </w:rPr>
            </m:ctrlPr>
          </m:sSupPr>
          <m:e>
            <m:r>
              <m:rPr>
                <m:scr m:val="double-struck"/>
                <m:sty m:val="p"/>
              </m:rPr>
              <w:rPr>
                <w:rFonts w:ascii="Cambria Math" w:eastAsia="Batang" w:hAnsi="Cambria Math"/>
                <w:lang w:val="en-US"/>
              </w:rPr>
              <m:t>R</m:t>
            </m:r>
          </m:e>
          <m:sup>
            <m:r>
              <m:rPr>
                <m:sty m:val="p"/>
              </m:rPr>
              <w:rPr>
                <w:rFonts w:ascii="Cambria Math" w:eastAsia="Batang" w:hAnsi="Cambria Math"/>
                <w:lang w:val="en-US"/>
              </w:rPr>
              <m:t>n</m:t>
            </m:r>
          </m:sup>
        </m:sSup>
      </m:oMath>
      <w:r w:rsidRPr="00313E82">
        <w:rPr>
          <w:rFonts w:eastAsia="Batang"/>
          <w:lang w:val="en-US"/>
        </w:rPr>
        <w:t xml:space="preserve">), the computation of all 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00AC73B3">
        <w:rPr>
          <w:rFonts w:eastAsia="Batang"/>
          <w:lang w:val="en-US"/>
        </w:rPr>
        <w:t>s</w:t>
      </w:r>
      <w:r w:rsidR="00AC73B3" w:rsidRPr="00313E82">
        <w:rPr>
          <w:rFonts w:eastAsia="Batang"/>
          <w:lang w:val="en-US"/>
        </w:rPr>
        <w:t xml:space="preserve">ensitivity </w:t>
      </w:r>
      <w:r w:rsidRPr="00313E82">
        <w:rPr>
          <w:rFonts w:eastAsia="Batang"/>
          <w:lang w:val="en-US"/>
        </w:rPr>
        <w:t xml:space="preserve">measures can be performed directly from the definitions provided above, requiring </w:t>
      </w:r>
      <m:oMath>
        <m:nary>
          <m:naryPr>
            <m:chr m:val="∑"/>
            <m:limLoc m:val="undOvr"/>
            <m:ctrlPr>
              <w:rPr>
                <w:rFonts w:ascii="Cambria Math" w:eastAsia="Batang" w:hAnsi="Cambria Math"/>
                <w:lang w:val="en-US"/>
              </w:rPr>
            </m:ctrlPr>
          </m:naryPr>
          <m:sub>
            <m:r>
              <m:rPr>
                <m:sty m:val="p"/>
              </m:rPr>
              <w:rPr>
                <w:rFonts w:ascii="Cambria Math" w:eastAsia="Batang" w:hAnsi="Cambria Math"/>
                <w:lang w:val="en-US"/>
              </w:rPr>
              <m:t>i=1</m:t>
            </m:r>
          </m:sub>
          <m:sup>
            <m:r>
              <m:rPr>
                <m:sty m:val="p"/>
              </m:rPr>
              <w:rPr>
                <w:rFonts w:ascii="Cambria Math" w:eastAsia="Batang" w:hAnsi="Cambria Math"/>
                <w:lang w:val="en-US"/>
              </w:rPr>
              <m:t>n</m:t>
            </m:r>
          </m:sup>
          <m:e>
            <m:d>
              <m:dPr>
                <m:ctrlPr>
                  <w:rPr>
                    <w:rFonts w:ascii="Cambria Math" w:eastAsia="Batang" w:hAnsi="Cambria Math"/>
                    <w:lang w:val="en-US"/>
                  </w:rPr>
                </m:ctrlPr>
              </m:dPr>
              <m:e>
                <m:f>
                  <m:fPr>
                    <m:type m:val="noBar"/>
                    <m:ctrlPr>
                      <w:rPr>
                        <w:rFonts w:ascii="Cambria Math" w:eastAsia="Batang" w:hAnsi="Cambria Math"/>
                        <w:lang w:val="en-US"/>
                      </w:rPr>
                    </m:ctrlPr>
                  </m:fPr>
                  <m:num>
                    <m:r>
                      <m:rPr>
                        <m:sty m:val="p"/>
                      </m:rPr>
                      <w:rPr>
                        <w:rFonts w:ascii="Cambria Math" w:eastAsia="Batang" w:hAnsi="Cambria Math"/>
                        <w:lang w:val="en-US"/>
                      </w:rPr>
                      <m:t>n</m:t>
                    </m:r>
                  </m:num>
                  <m:den>
                    <m:r>
                      <m:rPr>
                        <m:sty m:val="p"/>
                      </m:rPr>
                      <w:rPr>
                        <w:rFonts w:ascii="Cambria Math" w:eastAsia="Batang" w:hAnsi="Cambria Math"/>
                        <w:lang w:val="en-US"/>
                      </w:rPr>
                      <m:t>i</m:t>
                    </m:r>
                  </m:den>
                </m:f>
              </m:e>
            </m:d>
          </m:e>
        </m:nary>
        <m:r>
          <m:rPr>
            <m:sty m:val="p"/>
          </m:rPr>
          <w:rPr>
            <w:rFonts w:ascii="Cambria Math" w:eastAsia="Batang" w:hAnsi="Cambria Math" w:hint="eastAsia"/>
            <w:lang w:val="en-US"/>
          </w:rPr>
          <m:t>=</m:t>
        </m:r>
        <m:sSup>
          <m:sSupPr>
            <m:ctrlPr>
              <w:rPr>
                <w:rFonts w:ascii="Cambria Math" w:eastAsia="Batang" w:hAnsi="Cambria Math"/>
                <w:lang w:val="en-US"/>
              </w:rPr>
            </m:ctrlPr>
          </m:sSupPr>
          <m:e>
            <m:r>
              <m:rPr>
                <m:sty m:val="p"/>
              </m:rPr>
              <w:rPr>
                <w:rFonts w:ascii="Cambria Math" w:eastAsia="Batang" w:hAnsi="Cambria Math"/>
                <w:lang w:val="en-US"/>
              </w:rPr>
              <m:t>2</m:t>
            </m:r>
          </m:e>
          <m:sup>
            <m:r>
              <m:rPr>
                <m:sty m:val="p"/>
              </m:rPr>
              <w:rPr>
                <w:rFonts w:ascii="Cambria Math" w:eastAsia="Batang" w:hAnsi="Cambria Math"/>
                <w:lang w:val="en-US"/>
              </w:rPr>
              <m:t>n</m:t>
            </m:r>
          </m:sup>
        </m:sSup>
      </m:oMath>
      <w:r w:rsidRPr="00313E82">
        <w:rPr>
          <w:rFonts w:eastAsia="Batang"/>
          <w:lang w:val="en-US"/>
        </w:rPr>
        <w:t xml:space="preserve"> model evaluations. Frequently for PSA applications it is computationally too onerous.</w:t>
      </w:r>
    </w:p>
    <w:p w:rsidR="00850225" w:rsidRPr="00313E82" w:rsidRDefault="00850225">
      <w:pPr>
        <w:rPr>
          <w:rFonts w:eastAsia="Batang"/>
          <w:lang w:val="en-US"/>
        </w:rPr>
      </w:pPr>
      <w:r w:rsidRPr="00313E82">
        <w:rPr>
          <w:rFonts w:eastAsia="Batang"/>
          <w:lang w:val="en-US"/>
        </w:rPr>
        <w:t xml:space="preserve">As already remarked for the </w:t>
      </w:r>
      <w:r w:rsidR="00AC73B3">
        <w:rPr>
          <w:rFonts w:eastAsia="Batang"/>
          <w:lang w:val="en-US"/>
        </w:rPr>
        <w:t>d</w:t>
      </w:r>
      <w:r w:rsidR="00AC73B3" w:rsidRPr="00313E82">
        <w:rPr>
          <w:rFonts w:eastAsia="Batang"/>
          <w:lang w:val="en-US"/>
        </w:rPr>
        <w:t xml:space="preserve">ifferential </w:t>
      </w:r>
      <w:r w:rsidRPr="00313E82">
        <w:rPr>
          <w:rFonts w:eastAsia="Batang"/>
          <w:lang w:val="en-US"/>
        </w:rPr>
        <w:t xml:space="preserve">importance measures, the knowledge of the </w:t>
      </w:r>
      <w:r w:rsidR="00AC73B3">
        <w:rPr>
          <w:rFonts w:eastAsia="Batang"/>
          <w:lang w:val="en-US"/>
        </w:rPr>
        <w:t>f</w:t>
      </w:r>
      <w:r w:rsidR="00AC73B3" w:rsidRPr="00313E82">
        <w:rPr>
          <w:rFonts w:eastAsia="Batang"/>
          <w:lang w:val="en-US"/>
        </w:rPr>
        <w:t xml:space="preserve">irst </w:t>
      </w:r>
      <w:r w:rsidRPr="00313E82">
        <w:rPr>
          <w:rFonts w:eastAsia="Batang"/>
          <w:lang w:val="en-US"/>
        </w:rPr>
        <w:t xml:space="preserve">and </w:t>
      </w:r>
      <w:r w:rsidR="00AC73B3">
        <w:rPr>
          <w:rFonts w:eastAsia="Batang"/>
          <w:lang w:val="en-US"/>
        </w:rPr>
        <w:t>t</w:t>
      </w:r>
      <w:r w:rsidR="00AC73B3" w:rsidRPr="00313E82">
        <w:rPr>
          <w:rFonts w:eastAsia="Batang"/>
          <w:lang w:val="en-US"/>
        </w:rPr>
        <w:t xml:space="preserve">otal </w:t>
      </w:r>
      <w:r w:rsidRPr="00313E82">
        <w:rPr>
          <w:rFonts w:eastAsia="Batang"/>
          <w:lang w:val="en-US"/>
        </w:rPr>
        <w:t>order measures provides information on the local and global significance of single input variables and on the whole effects of its interactions with the remaining variables, in any number and combination.</w:t>
      </w:r>
    </w:p>
    <w:p w:rsidR="00850225" w:rsidRPr="00C94556" w:rsidRDefault="00850225" w:rsidP="00741D3C">
      <w:pPr>
        <w:rPr>
          <w:rFonts w:cs="Arial"/>
          <w:color w:val="365F91" w:themeColor="accent1" w:themeShade="BF"/>
          <w:szCs w:val="18"/>
          <w:lang w:val="en-US" w:eastAsia="it-IT"/>
        </w:rPr>
      </w:pPr>
      <w:r w:rsidRPr="00313E82">
        <w:rPr>
          <w:rFonts w:eastAsia="Batang"/>
          <w:lang w:val="en-US"/>
        </w:rPr>
        <w:t xml:space="preserve">Starting from the evidence that the </w:t>
      </w:r>
      <w:r w:rsidR="00AC73B3">
        <w:rPr>
          <w:rFonts w:eastAsia="Batang"/>
          <w:lang w:val="en-US"/>
        </w:rPr>
        <w:t>direct</w:t>
      </w:r>
      <w:r w:rsidR="00AC73B3" w:rsidRPr="00313E82">
        <w:rPr>
          <w:rFonts w:eastAsia="Batang"/>
          <w:lang w:val="en-US"/>
        </w:rPr>
        <w:t xml:space="preserve"> </w:t>
      </w:r>
      <w:r w:rsidRPr="00313E82">
        <w:rPr>
          <w:rFonts w:eastAsia="Batang"/>
          <w:lang w:val="en-US"/>
        </w:rPr>
        <w:t xml:space="preserve">risk measure is a multi-linear function, being the </w:t>
      </w:r>
      <w:r w:rsidR="00AC73B3">
        <w:rPr>
          <w:rFonts w:eastAsia="Batang"/>
          <w:lang w:val="en-US"/>
        </w:rPr>
        <w:t>s</w:t>
      </w:r>
      <w:r w:rsidR="00AC73B3" w:rsidRPr="00313E82">
        <w:rPr>
          <w:rFonts w:eastAsia="Batang"/>
          <w:lang w:val="en-US"/>
        </w:rPr>
        <w:t xml:space="preserve">ystem </w:t>
      </w:r>
      <w:r w:rsidRPr="00313E82">
        <w:rPr>
          <w:rFonts w:eastAsia="Batang"/>
          <w:lang w:val="en-US"/>
        </w:rPr>
        <w:t>failure function represented by a</w:t>
      </w:r>
      <w:r w:rsidRPr="00C94556">
        <w:rPr>
          <w:rFonts w:cs="Arial"/>
          <w:szCs w:val="18"/>
          <w:lang w:val="en-US"/>
        </w:rPr>
        <w:t xml:space="preserve"> Boolean equation, </w:t>
      </w:r>
      <w:r w:rsidRPr="00C94556">
        <w:rPr>
          <w:rFonts w:cs="Arial"/>
          <w:szCs w:val="18"/>
          <w:lang w:val="en-US" w:eastAsia="it-IT"/>
        </w:rPr>
        <w:t xml:space="preserve">the </w:t>
      </w:r>
      <w:r w:rsidR="00AC73B3">
        <w:rPr>
          <w:rFonts w:cs="Arial"/>
          <w:szCs w:val="18"/>
          <w:lang w:val="en-US" w:eastAsia="it-IT"/>
        </w:rPr>
        <w:t>t</w:t>
      </w:r>
      <w:r w:rsidR="00AC73B3" w:rsidRPr="00C94556">
        <w:rPr>
          <w:rFonts w:cs="Arial"/>
          <w:szCs w:val="18"/>
          <w:lang w:val="en-US" w:eastAsia="it-IT"/>
        </w:rPr>
        <w:t xml:space="preserve">otal </w:t>
      </w:r>
      <w:r w:rsidRPr="00C94556">
        <w:rPr>
          <w:rFonts w:cs="Arial"/>
          <w:szCs w:val="18"/>
          <w:lang w:val="en-US" w:eastAsia="it-IT"/>
        </w:rPr>
        <w:t xml:space="preserve">order </w:t>
      </w:r>
      <w:r w:rsidR="00AC73B3">
        <w:rPr>
          <w:rFonts w:eastAsia="Batang"/>
          <w:lang w:val="en-US"/>
        </w:rPr>
        <w:t>f</w:t>
      </w:r>
      <w:r w:rsidR="00AC73B3" w:rsidRPr="00313E82">
        <w:rPr>
          <w:rFonts w:eastAsia="Batang"/>
          <w:lang w:val="en-US"/>
        </w:rPr>
        <w:t xml:space="preserve">inite </w:t>
      </w:r>
      <w:r w:rsidR="00AC73B3">
        <w:rPr>
          <w:rFonts w:eastAsia="Batang"/>
          <w:lang w:val="en-US"/>
        </w:rPr>
        <w:t>c</w:t>
      </w:r>
      <w:r w:rsidR="00AC73B3" w:rsidRPr="00313E82">
        <w:rPr>
          <w:rFonts w:eastAsia="Batang"/>
          <w:lang w:val="en-US"/>
        </w:rPr>
        <w:t xml:space="preserve">hanges </w:t>
      </w:r>
      <w:r w:rsidRPr="00313E82">
        <w:rPr>
          <w:rFonts w:eastAsia="Batang"/>
          <w:lang w:val="en-US"/>
        </w:rPr>
        <w:t xml:space="preserve">sensitivity measure for the basic events (which coincide with the </w:t>
      </w:r>
      <w:r w:rsidR="00AC73B3">
        <w:rPr>
          <w:rFonts w:cs="Arial"/>
          <w:szCs w:val="18"/>
          <w:lang w:val="en-US" w:eastAsia="it-IT"/>
        </w:rPr>
        <w:t>t</w:t>
      </w:r>
      <w:r w:rsidR="00AC73B3" w:rsidRPr="00C94556">
        <w:rPr>
          <w:rFonts w:cs="Arial"/>
          <w:szCs w:val="18"/>
          <w:lang w:val="en-US" w:eastAsia="it-IT"/>
        </w:rPr>
        <w:t xml:space="preserve">otal </w:t>
      </w:r>
      <w:r w:rsidRPr="00C94556">
        <w:rPr>
          <w:rFonts w:cs="Arial"/>
          <w:szCs w:val="18"/>
          <w:lang w:val="en-US" w:eastAsia="it-IT"/>
        </w:rPr>
        <w:t xml:space="preserve">order </w:t>
      </w:r>
      <w:r w:rsidR="00AC73B3">
        <w:rPr>
          <w:rFonts w:cs="Arial"/>
          <w:szCs w:val="18"/>
          <w:lang w:val="en-US" w:eastAsia="it-IT"/>
        </w:rPr>
        <w:t>d</w:t>
      </w:r>
      <w:r w:rsidR="00AC73B3" w:rsidRPr="00C94556">
        <w:rPr>
          <w:rFonts w:cs="Arial"/>
          <w:szCs w:val="18"/>
          <w:lang w:val="en-US" w:eastAsia="it-IT"/>
        </w:rPr>
        <w:t xml:space="preserve">ifferential </w:t>
      </w:r>
      <w:r w:rsidR="00AC73B3">
        <w:rPr>
          <w:rFonts w:cs="Arial"/>
          <w:szCs w:val="18"/>
          <w:lang w:val="en-US" w:eastAsia="it-IT"/>
        </w:rPr>
        <w:t>i</w:t>
      </w:r>
      <w:r w:rsidR="00AC73B3" w:rsidRPr="00C94556">
        <w:rPr>
          <w:rFonts w:cs="Arial"/>
          <w:szCs w:val="18"/>
          <w:lang w:val="en-US" w:eastAsia="it-IT"/>
        </w:rPr>
        <w:t xml:space="preserve">mportance </w:t>
      </w:r>
      <w:r w:rsidRPr="00C94556">
        <w:rPr>
          <w:rFonts w:cs="Arial"/>
          <w:szCs w:val="18"/>
          <w:lang w:val="en-US" w:eastAsia="it-IT"/>
        </w:rPr>
        <w:t xml:space="preserve">measure) can be computed through the equation </w:t>
      </w:r>
      <w:r w:rsidR="00CD0CBE">
        <w:fldChar w:fldCharType="begin"/>
      </w:r>
      <w:r w:rsidR="00CD0CBE">
        <w:instrText xml:space="preserve"> REF _Ref318039594 \r \h  \* MERGEFORMAT </w:instrText>
      </w:r>
      <w:r w:rsidR="00CD0CBE">
        <w:fldChar w:fldCharType="separate"/>
      </w:r>
      <w:r w:rsidR="00B772CA" w:rsidRPr="00B772CA">
        <w:rPr>
          <w:rFonts w:eastAsia="Batang"/>
          <w:szCs w:val="18"/>
          <w:lang w:val="en-US"/>
        </w:rPr>
        <w:t>[96]</w:t>
      </w:r>
      <w:r w:rsidR="00CD0CBE">
        <w:fldChar w:fldCharType="end"/>
      </w:r>
      <w:r w:rsidRPr="00C94556">
        <w:rPr>
          <w:rFonts w:cs="Arial"/>
          <w:color w:val="365F91" w:themeColor="accent1" w:themeShade="BF"/>
          <w:szCs w:val="18"/>
          <w:lang w:val="en-US" w:eastAsia="it-IT"/>
        </w:rPr>
        <w:t>:</w:t>
      </w:r>
    </w:p>
    <w:p w:rsidR="00850225" w:rsidRPr="00313E82" w:rsidRDefault="0043746A">
      <w:pPr>
        <w:spacing w:before="120" w:after="120"/>
        <w:ind w:left="360"/>
        <w:rPr>
          <w:rFonts w:cs="Arial"/>
          <w:szCs w:val="18"/>
          <w:lang w:val="en-US"/>
        </w:rPr>
      </w:pPr>
      <m:oMathPara>
        <m:oMath>
          <m:sSubSup>
            <m:sSubSupPr>
              <m:ctrlPr>
                <w:rPr>
                  <w:rFonts w:ascii="Cambria Math" w:eastAsia="Batang" w:hAnsi="Cambria Math"/>
                  <w:i/>
                  <w:szCs w:val="18"/>
                  <w:lang w:val="en-US"/>
                </w:rPr>
              </m:ctrlPr>
            </m:sSubSupPr>
            <m:e>
              <m:r>
                <m:rPr>
                  <m:sty m:val="p"/>
                </m:rPr>
                <w:rPr>
                  <w:rFonts w:ascii="Cambria Math" w:eastAsia="Batang" w:hAnsi="Cambria Math" w:hint="eastAsia"/>
                  <w:szCs w:val="18"/>
                  <w:lang w:val="en-US"/>
                </w:rPr>
                <m:t>Γ</m:t>
              </m:r>
            </m:e>
            <m:sub>
              <m:r>
                <w:rPr>
                  <w:rFonts w:ascii="Cambria Math" w:eastAsia="Batang" w:hAnsi="Cambria Math"/>
                  <w:szCs w:val="18"/>
                  <w:lang w:val="en-US"/>
                </w:rPr>
                <m:t>i</m:t>
              </m:r>
            </m:sub>
            <m:sup>
              <m:r>
                <w:rPr>
                  <w:rFonts w:ascii="Cambria Math" w:eastAsia="Batang" w:hAnsi="Cambria Math"/>
                  <w:szCs w:val="18"/>
                  <w:lang w:val="en-US"/>
                </w:rPr>
                <m:t>T</m:t>
              </m:r>
            </m:sup>
          </m:sSubSup>
          <m:r>
            <m:rPr>
              <m:sty m:val="p"/>
            </m:rPr>
            <w:rPr>
              <w:rFonts w:ascii="Cambria Math" w:eastAsia="Batang" w:hAnsi="Cambria Math" w:hint="eastAsia"/>
              <w:szCs w:val="18"/>
              <w:lang w:val="en-US"/>
            </w:rPr>
            <m:t>=</m:t>
          </m:r>
          <m:f>
            <m:fPr>
              <m:ctrlPr>
                <w:rPr>
                  <w:rFonts w:ascii="Cambria Math" w:eastAsia="Batang" w:hAnsi="Cambria Math"/>
                  <w:szCs w:val="18"/>
                  <w:lang w:val="en-US"/>
                </w:rPr>
              </m:ctrlPr>
            </m:fPr>
            <m:num>
              <m:r>
                <w:rPr>
                  <w:rFonts w:ascii="Cambria Math" w:hAnsi="Cambria Math"/>
                  <w:szCs w:val="18"/>
                  <w:lang w:val="en-US"/>
                </w:rPr>
                <m:t>f</m:t>
              </m:r>
              <m:d>
                <m:dPr>
                  <m:ctrlPr>
                    <w:rPr>
                      <w:rFonts w:ascii="Cambria Math" w:hAnsi="Cambria Math"/>
                      <w:i/>
                      <w:szCs w:val="18"/>
                      <w:lang w:val="en-US"/>
                    </w:rPr>
                  </m:ctrlPr>
                </m:dPr>
                <m:e>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1</m:t>
                      </m:r>
                    </m:sup>
                  </m:sSup>
                </m:e>
              </m:d>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r>
                        <w:rPr>
                          <w:rFonts w:ascii="Cambria Math" w:hAnsi="Cambria Math"/>
                          <w:szCs w:val="18"/>
                          <w:lang w:val="en-US"/>
                        </w:rPr>
                        <m:t>-i</m:t>
                      </m:r>
                    </m:sub>
                    <m:sup>
                      <m:r>
                        <w:rPr>
                          <w:rFonts w:ascii="Cambria Math" w:hAnsi="Cambria Math"/>
                          <w:szCs w:val="18"/>
                          <w:lang w:val="en-US"/>
                        </w:rPr>
                        <m:t>1</m:t>
                      </m:r>
                    </m:sup>
                  </m:sSubSup>
                </m:e>
              </m:d>
            </m:num>
            <m:den>
              <m:r>
                <w:rPr>
                  <w:rFonts w:ascii="Cambria Math" w:hAnsi="Cambria Math"/>
                  <w:szCs w:val="18"/>
                  <w:lang w:val="en-US"/>
                </w:rPr>
                <m:t>f</m:t>
              </m:r>
              <m:d>
                <m:dPr>
                  <m:ctrlPr>
                    <w:rPr>
                      <w:rFonts w:ascii="Cambria Math" w:hAnsi="Cambria Math"/>
                      <w:i/>
                      <w:szCs w:val="18"/>
                      <w:lang w:val="en-US"/>
                    </w:rPr>
                  </m:ctrlPr>
                </m:dPr>
                <m:e>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1</m:t>
                      </m:r>
                    </m:sup>
                  </m:sSup>
                </m:e>
              </m:d>
              <m:r>
                <w:rPr>
                  <w:rFonts w:ascii="Cambria Math" w:hAnsi="Cambria Math"/>
                  <w:szCs w:val="18"/>
                  <w:lang w:val="en-US"/>
                </w:rPr>
                <m:t>-f</m:t>
              </m:r>
              <m:d>
                <m:dPr>
                  <m:ctrlPr>
                    <w:rPr>
                      <w:rFonts w:ascii="Cambria Math" w:hAnsi="Cambria Math"/>
                      <w:i/>
                      <w:szCs w:val="18"/>
                      <w:lang w:val="en-US"/>
                    </w:rPr>
                  </m:ctrlPr>
                </m:dPr>
                <m:e>
                  <m:sSubSup>
                    <m:sSubSupPr>
                      <m:ctrlPr>
                        <w:rPr>
                          <w:rFonts w:ascii="Cambria Math" w:hAnsi="Cambria Math"/>
                          <w:i/>
                          <w:szCs w:val="18"/>
                          <w:lang w:val="en-US"/>
                        </w:rPr>
                      </m:ctrlPr>
                    </m:sSubSupPr>
                    <m:e>
                      <m:r>
                        <w:rPr>
                          <w:rFonts w:ascii="Cambria Math" w:hAnsi="Cambria Math"/>
                          <w:szCs w:val="18"/>
                          <w:lang w:val="en-US"/>
                        </w:rPr>
                        <m:t>x</m:t>
                      </m:r>
                    </m:e>
                    <m:sub/>
                    <m:sup>
                      <m:r>
                        <w:rPr>
                          <w:rFonts w:ascii="Cambria Math" w:hAnsi="Cambria Math"/>
                          <w:szCs w:val="18"/>
                          <w:lang w:val="en-US"/>
                        </w:rPr>
                        <m:t>0</m:t>
                      </m:r>
                    </m:sup>
                  </m:sSubSup>
                </m:e>
              </m:d>
            </m:den>
          </m:f>
        </m:oMath>
      </m:oMathPara>
    </w:p>
    <w:p w:rsidR="00850225" w:rsidRPr="00552F4E" w:rsidRDefault="00850225">
      <w:pPr>
        <w:pStyle w:val="Els-body-text"/>
        <w:spacing w:before="120" w:line="360" w:lineRule="auto"/>
        <w:ind w:firstLine="0"/>
        <w:rPr>
          <w:rFonts w:ascii="Trebuchet MS" w:eastAsia="PMingLiU" w:hAnsi="Trebuchet MS" w:cs="Arial"/>
          <w:sz w:val="18"/>
          <w:szCs w:val="18"/>
          <w:lang w:eastAsia="fr-FR"/>
        </w:rPr>
      </w:pPr>
      <w:r w:rsidRPr="00552F4E">
        <w:rPr>
          <w:rFonts w:ascii="Trebuchet MS" w:eastAsia="PMingLiU" w:hAnsi="Trebuchet MS" w:cs="Arial"/>
          <w:sz w:val="18"/>
          <w:szCs w:val="18"/>
          <w:lang w:eastAsia="fr-FR"/>
        </w:rPr>
        <w:t>where:</w:t>
      </w:r>
    </w:p>
    <w:p w:rsidR="00850225" w:rsidRPr="00C94556" w:rsidRDefault="0043746A" w:rsidP="00C94556">
      <w:pPr>
        <w:pStyle w:val="Paragraphedeliste"/>
        <w:numPr>
          <w:ilvl w:val="0"/>
          <w:numId w:val="45"/>
        </w:numPr>
        <w:spacing w:before="120" w:line="360" w:lineRule="auto"/>
        <w:rPr>
          <w:rFonts w:cs="Arial"/>
          <w:szCs w:val="18"/>
          <w:lang w:val="en-US"/>
        </w:rPr>
      </w:pPr>
      <m:oMath>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1</m:t>
            </m:r>
          </m:sup>
        </m:sSup>
        <m:r>
          <w:rPr>
            <w:rFonts w:ascii="Cambria Math" w:hAnsi="Cambria Math"/>
            <w:szCs w:val="18"/>
            <w:lang w:val="en-US"/>
          </w:rPr>
          <m:t xml:space="preserve"> </m:t>
        </m:r>
      </m:oMath>
      <w:r w:rsidR="00850225" w:rsidRPr="00313E82">
        <w:rPr>
          <w:rFonts w:eastAsia="PMingLiU" w:cs="Arial"/>
          <w:szCs w:val="18"/>
          <w:lang w:val="en-US"/>
        </w:rPr>
        <w:t xml:space="preserve">and </w:t>
      </w:r>
      <m:oMath>
        <m:sSup>
          <m:sSupPr>
            <m:ctrlPr>
              <w:rPr>
                <w:rFonts w:ascii="Cambria Math" w:hAnsi="Cambria Math"/>
                <w:i/>
                <w:szCs w:val="18"/>
                <w:lang w:val="en-US"/>
              </w:rPr>
            </m:ctrlPr>
          </m:sSupPr>
          <m:e>
            <m:r>
              <w:rPr>
                <w:rFonts w:ascii="Cambria Math" w:hAnsi="Cambria Math"/>
                <w:szCs w:val="18"/>
                <w:lang w:val="en-US"/>
              </w:rPr>
              <m:t>x</m:t>
            </m:r>
          </m:e>
          <m:sup>
            <m:r>
              <w:rPr>
                <w:rFonts w:ascii="Cambria Math" w:hAnsi="Cambria Math"/>
                <w:szCs w:val="18"/>
                <w:lang w:val="en-US"/>
              </w:rPr>
              <m:t>0</m:t>
            </m:r>
          </m:sup>
        </m:sSup>
      </m:oMath>
      <w:r w:rsidR="00850225" w:rsidRPr="00313E82">
        <w:rPr>
          <w:rFonts w:eastAsia="PMingLiU" w:cs="Arial"/>
          <w:szCs w:val="18"/>
          <w:lang w:val="en-US"/>
        </w:rPr>
        <w:t xml:space="preserve">are the initial and final values of the variable; </w:t>
      </w:r>
    </w:p>
    <w:p w:rsidR="00850225" w:rsidRPr="00C94556" w:rsidRDefault="00850225" w:rsidP="00C94556">
      <w:pPr>
        <w:pStyle w:val="Paragraphedeliste"/>
        <w:numPr>
          <w:ilvl w:val="0"/>
          <w:numId w:val="45"/>
        </w:numPr>
        <w:spacing w:before="120" w:line="360" w:lineRule="auto"/>
        <w:rPr>
          <w:rFonts w:cs="Arial"/>
          <w:szCs w:val="18"/>
          <w:lang w:val="en-US" w:eastAsia="it-IT"/>
        </w:rPr>
      </w:pPr>
      <w:r w:rsidRPr="004D7C87">
        <w:rPr>
          <w:rFonts w:eastAsia="PMingLiU"/>
          <w:noProof/>
          <w:position w:val="-14"/>
          <w:szCs w:val="18"/>
        </w:rPr>
        <w:drawing>
          <wp:inline distT="0" distB="0" distL="0" distR="0" wp14:anchorId="4A790945" wp14:editId="20657216">
            <wp:extent cx="254000" cy="254000"/>
            <wp:effectExtent l="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C94556">
        <w:rPr>
          <w:rFonts w:eastAsia="PMingLiU" w:cs="Arial"/>
          <w:szCs w:val="18"/>
          <w:lang w:val="en-US"/>
        </w:rPr>
        <w:t xml:space="preserve"> is the point obtained by shifting all parameters at their final value but</w:t>
      </w:r>
      <m:oMath>
        <m:r>
          <w:rPr>
            <w:rFonts w:ascii="Cambria Math" w:eastAsia="PMingLiU" w:hAnsi="Cambria Math" w:cs="Arial"/>
            <w:szCs w:val="18"/>
            <w:lang w:val="en-US"/>
          </w:rPr>
          <m:t xml:space="preserve"> </m:t>
        </m:r>
        <m:sSub>
          <m:sSubPr>
            <m:ctrlPr>
              <w:rPr>
                <w:rFonts w:ascii="Cambria Math" w:hAnsi="Cambria Math"/>
                <w:i/>
                <w:szCs w:val="18"/>
                <w:lang w:val="en-US"/>
              </w:rPr>
            </m:ctrlPr>
          </m:sSubPr>
          <m:e>
            <m:r>
              <w:rPr>
                <w:rFonts w:ascii="Cambria Math" w:hAnsi="Cambria Math"/>
                <w:szCs w:val="18"/>
                <w:lang w:val="en-US"/>
              </w:rPr>
              <m:t>x</m:t>
            </m:r>
          </m:e>
          <m:sub>
            <m:r>
              <w:rPr>
                <w:rFonts w:ascii="Cambria Math" w:hAnsi="Cambria Math"/>
                <w:szCs w:val="18"/>
                <w:lang w:val="en-US"/>
              </w:rPr>
              <m:t>l</m:t>
            </m:r>
          </m:sub>
        </m:sSub>
        <m:r>
          <w:rPr>
            <w:rFonts w:ascii="Cambria Math" w:hAnsi="Cambria Math"/>
            <w:szCs w:val="18"/>
            <w:lang w:val="en-US"/>
          </w:rPr>
          <m:t>,</m:t>
        </m:r>
      </m:oMath>
      <w:r w:rsidRPr="00C94556">
        <w:rPr>
          <w:rFonts w:cs="Arial"/>
          <w:szCs w:val="18"/>
          <w:lang w:val="en-US"/>
        </w:rPr>
        <w:t xml:space="preserve"> which is at its initial value, i.e. </w:t>
      </w:r>
      <w:r w:rsidRPr="004D7C87">
        <w:rPr>
          <w:rFonts w:eastAsia="Calibri"/>
          <w:noProof/>
          <w:position w:val="-14"/>
          <w:szCs w:val="18"/>
        </w:rPr>
        <w:drawing>
          <wp:inline distT="0" distB="0" distL="0" distR="0" wp14:anchorId="6ED67D8C" wp14:editId="359B4F9B">
            <wp:extent cx="2019300" cy="215900"/>
            <wp:effectExtent l="0" t="0" r="12700" b="1270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215900"/>
                    </a:xfrm>
                    <a:prstGeom prst="rect">
                      <a:avLst/>
                    </a:prstGeom>
                    <a:noFill/>
                    <a:ln>
                      <a:noFill/>
                    </a:ln>
                  </pic:spPr>
                </pic:pic>
              </a:graphicData>
            </a:graphic>
          </wp:inline>
        </w:drawing>
      </w:r>
      <w:r w:rsidRPr="00C94556">
        <w:rPr>
          <w:rFonts w:cs="Arial"/>
          <w:szCs w:val="18"/>
          <w:lang w:val="en-US"/>
        </w:rPr>
        <w:t>.</w:t>
      </w:r>
    </w:p>
    <w:p w:rsidR="00850225" w:rsidRPr="00313E82" w:rsidRDefault="00850225">
      <w:pPr>
        <w:spacing w:before="120" w:line="360" w:lineRule="auto"/>
        <w:rPr>
          <w:lang w:val="en-US"/>
        </w:rPr>
      </w:pPr>
      <w:r w:rsidRPr="00C94556">
        <w:rPr>
          <w:rFonts w:cs="Arial"/>
          <w:szCs w:val="18"/>
          <w:lang w:val="en-US" w:eastAsia="it-IT"/>
        </w:rPr>
        <w:t xml:space="preserve">Through </w:t>
      </w:r>
      <w:r w:rsidR="00EF10E0">
        <w:rPr>
          <w:rFonts w:cs="Arial"/>
          <w:szCs w:val="18"/>
          <w:lang w:val="en-US" w:eastAsia="it-IT"/>
        </w:rPr>
        <w:t>this</w:t>
      </w:r>
      <w:r w:rsidRPr="00C94556">
        <w:rPr>
          <w:rFonts w:cs="Arial"/>
          <w:szCs w:val="18"/>
          <w:lang w:val="en-US" w:eastAsia="it-IT"/>
        </w:rPr>
        <w:t xml:space="preserve"> procedure, </w:t>
      </w:r>
      <w:r w:rsidRPr="00313E82">
        <w:rPr>
          <w:rFonts w:eastAsia="Batang"/>
          <w:lang w:val="en-US"/>
        </w:rPr>
        <w:t xml:space="preserve">the number of model evaluations required to compute the </w:t>
      </w:r>
      <w:r w:rsidR="00EF10E0">
        <w:rPr>
          <w:rFonts w:eastAsia="Batang"/>
          <w:lang w:val="en-US"/>
        </w:rPr>
        <w:t>f</w:t>
      </w:r>
      <w:r w:rsidR="00EF10E0" w:rsidRPr="00313E82">
        <w:rPr>
          <w:rFonts w:eastAsia="Batang"/>
          <w:lang w:val="en-US"/>
        </w:rPr>
        <w:t xml:space="preserve">irst </w:t>
      </w:r>
      <w:r w:rsidRPr="00313E82">
        <w:rPr>
          <w:rFonts w:eastAsia="Batang"/>
          <w:lang w:val="en-US"/>
        </w:rPr>
        <w:t xml:space="preserve">and </w:t>
      </w:r>
      <w:r w:rsidR="00EF10E0">
        <w:rPr>
          <w:rFonts w:eastAsia="Batang"/>
          <w:lang w:val="en-US"/>
        </w:rPr>
        <w:t>t</w:t>
      </w:r>
      <w:r w:rsidR="00EF10E0" w:rsidRPr="00313E82">
        <w:rPr>
          <w:rFonts w:eastAsia="Batang"/>
          <w:lang w:val="en-US"/>
        </w:rPr>
        <w:t xml:space="preserve">otal </w:t>
      </w:r>
      <w:r w:rsidRPr="00313E82">
        <w:rPr>
          <w:rFonts w:eastAsia="Batang"/>
          <w:lang w:val="en-US"/>
        </w:rPr>
        <w:t xml:space="preserve">order </w:t>
      </w:r>
      <w:r w:rsidR="00EF10E0">
        <w:rPr>
          <w:rFonts w:eastAsia="Batang"/>
          <w:lang w:val="en-US"/>
        </w:rPr>
        <w:t>f</w:t>
      </w:r>
      <w:r w:rsidR="00EF10E0" w:rsidRPr="00313E82">
        <w:rPr>
          <w:rFonts w:eastAsia="Batang"/>
          <w:lang w:val="en-US"/>
        </w:rPr>
        <w:t xml:space="preserve">inite </w:t>
      </w:r>
      <w:r w:rsidR="00EF10E0">
        <w:rPr>
          <w:rFonts w:eastAsia="Batang"/>
          <w:lang w:val="en-US"/>
        </w:rPr>
        <w:t>c</w:t>
      </w:r>
      <w:r w:rsidR="00EF10E0" w:rsidRPr="00313E82">
        <w:rPr>
          <w:rFonts w:eastAsia="Batang"/>
          <w:lang w:val="en-US"/>
        </w:rPr>
        <w:t xml:space="preserve">hanges </w:t>
      </w:r>
      <w:r w:rsidR="00EF10E0">
        <w:rPr>
          <w:rFonts w:eastAsia="Batang"/>
          <w:lang w:val="en-US"/>
        </w:rPr>
        <w:t>s</w:t>
      </w:r>
      <w:r w:rsidR="00EF10E0" w:rsidRPr="00313E82">
        <w:rPr>
          <w:rFonts w:eastAsia="Batang"/>
          <w:lang w:val="en-US"/>
        </w:rPr>
        <w:t xml:space="preserve">ensitivity </w:t>
      </w:r>
      <w:r w:rsidRPr="00313E82">
        <w:rPr>
          <w:rFonts w:eastAsia="Batang"/>
          <w:lang w:val="en-US"/>
        </w:rPr>
        <w:t>measures is</w:t>
      </w:r>
      <m:oMath>
        <m:r>
          <w:rPr>
            <w:rFonts w:ascii="Cambria Math" w:eastAsia="Batang" w:hAnsi="Cambria Math"/>
            <w:lang w:val="en-US"/>
          </w:rPr>
          <m:t xml:space="preserve">  2n+2</m:t>
        </m:r>
      </m:oMath>
      <w:r w:rsidRPr="00313E82">
        <w:rPr>
          <w:rFonts w:eastAsia="Batang"/>
          <w:lang w:val="en-US"/>
        </w:rPr>
        <w:t xml:space="preserve">, requiring the evaluation of </w:t>
      </w:r>
      <m:oMath>
        <m:r>
          <w:rPr>
            <w:rFonts w:ascii="Cambria Math" w:eastAsia="Batang"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1</m:t>
                </m:r>
              </m:sup>
            </m:sSup>
          </m:e>
        </m:d>
      </m:oMath>
      <w:r w:rsidRPr="00313E82">
        <w:rPr>
          <w:rFonts w:eastAsia="Batang"/>
          <w:lang w:val="en-US"/>
        </w:rPr>
        <w:t xml:space="preserve">, </w:t>
      </w:r>
      <m:oMath>
        <m:r>
          <w:rPr>
            <w:rFonts w:ascii="Cambria Math" w:eastAsia="Batang" w:hAnsi="Cambria Math"/>
            <w:lang w:val="en-US"/>
          </w:rPr>
          <m:t>f</m:t>
        </m:r>
        <m:d>
          <m:dPr>
            <m:ctrlPr>
              <w:rPr>
                <w:rFonts w:ascii="Cambria Math" w:eastAsia="Batang" w:hAnsi="Cambria Math"/>
                <w:i/>
                <w:lang w:val="en-US"/>
              </w:rPr>
            </m:ctrlPr>
          </m:dPr>
          <m:e>
            <m:sSup>
              <m:sSupPr>
                <m:ctrlPr>
                  <w:rPr>
                    <w:rFonts w:ascii="Cambria Math" w:eastAsia="Batang" w:hAnsi="Cambria Math"/>
                    <w:i/>
                    <w:lang w:val="en-US"/>
                  </w:rPr>
                </m:ctrlPr>
              </m:sSupPr>
              <m:e>
                <m:r>
                  <w:rPr>
                    <w:rFonts w:ascii="Cambria Math" w:eastAsia="Batang" w:hAnsi="Cambria Math"/>
                    <w:lang w:val="en-US"/>
                  </w:rPr>
                  <m:t>x</m:t>
                </m:r>
              </m:e>
              <m:sup>
                <m:r>
                  <w:rPr>
                    <w:rFonts w:ascii="Cambria Math" w:eastAsia="Batang" w:hAnsi="Cambria Math"/>
                    <w:lang w:val="en-US"/>
                  </w:rPr>
                  <m:t>0</m:t>
                </m:r>
              </m:sup>
            </m:sSup>
          </m:e>
        </m:d>
      </m:oMath>
      <w:r w:rsidRPr="00313E82">
        <w:rPr>
          <w:rFonts w:eastAsia="Batang"/>
          <w:lang w:val="en-US"/>
        </w:rPr>
        <w:t xml:space="preserve"> </w:t>
      </w:r>
      <m:oMath>
        <m:r>
          <w:rPr>
            <w:rFonts w:ascii="Cambria Math" w:eastAsia="Batang"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r>
                  <w:rPr>
                    <w:rFonts w:ascii="Cambria Math" w:eastAsia="Batang" w:hAnsi="Cambria Math"/>
                    <w:lang w:val="en-US"/>
                  </w:rPr>
                  <m:t>i</m:t>
                </m:r>
              </m:sub>
              <m:sup>
                <m:r>
                  <w:rPr>
                    <w:rFonts w:ascii="Cambria Math" w:eastAsia="Batang" w:hAnsi="Cambria Math"/>
                    <w:lang w:val="en-US"/>
                  </w:rPr>
                  <m:t>1</m:t>
                </m:r>
              </m:sup>
            </m:sSubSup>
          </m:e>
        </m:d>
      </m:oMath>
      <w:r w:rsidRPr="005F3E6E">
        <w:rPr>
          <w:lang w:val="en-US"/>
        </w:rPr>
        <w:t xml:space="preserve"> and </w:t>
      </w:r>
      <m:oMath>
        <m:r>
          <w:rPr>
            <w:rFonts w:ascii="Cambria Math" w:eastAsia="Batang" w:hAnsi="Cambria Math"/>
            <w:lang w:val="en-US"/>
          </w:rPr>
          <m:t>f</m:t>
        </m:r>
        <m:d>
          <m:dPr>
            <m:ctrlPr>
              <w:rPr>
                <w:rFonts w:ascii="Cambria Math" w:eastAsia="Batang" w:hAnsi="Cambria Math"/>
                <w:i/>
                <w:lang w:val="en-US"/>
              </w:rPr>
            </m:ctrlPr>
          </m:dPr>
          <m:e>
            <m:sSubSup>
              <m:sSubSupPr>
                <m:ctrlPr>
                  <w:rPr>
                    <w:rFonts w:ascii="Cambria Math" w:eastAsia="Batang" w:hAnsi="Cambria Math"/>
                    <w:i/>
                    <w:lang w:val="en-US"/>
                  </w:rPr>
                </m:ctrlPr>
              </m:sSubSupPr>
              <m:e>
                <m:r>
                  <w:rPr>
                    <w:rFonts w:ascii="Cambria Math" w:eastAsia="Batang" w:hAnsi="Cambria Math"/>
                    <w:lang w:val="en-US"/>
                  </w:rPr>
                  <m:t>x</m:t>
                </m:r>
              </m:e>
              <m:sub>
                <m:d>
                  <m:dPr>
                    <m:ctrlPr>
                      <w:rPr>
                        <w:rFonts w:ascii="Cambria Math" w:eastAsia="Batang" w:hAnsi="Cambria Math"/>
                        <w:i/>
                        <w:lang w:val="en-US"/>
                      </w:rPr>
                    </m:ctrlPr>
                  </m:dPr>
                  <m:e>
                    <m:r>
                      <w:rPr>
                        <w:rFonts w:ascii="Cambria Math" w:eastAsia="Batang" w:hAnsi="Cambria Math"/>
                        <w:lang w:val="en-US"/>
                      </w:rPr>
                      <m:t>-i</m:t>
                    </m:r>
                  </m:e>
                </m:d>
              </m:sub>
              <m:sup>
                <m:r>
                  <w:rPr>
                    <w:rFonts w:ascii="Cambria Math" w:eastAsia="Batang" w:hAnsi="Cambria Math"/>
                    <w:lang w:val="en-US"/>
                  </w:rPr>
                  <m:t>1</m:t>
                </m:r>
              </m:sup>
            </m:sSubSup>
          </m:e>
        </m:d>
      </m:oMath>
      <w:r w:rsidRPr="00313E82">
        <w:rPr>
          <w:lang w:val="en-US"/>
        </w:rPr>
        <w:t>.</w:t>
      </w:r>
    </w:p>
    <w:p w:rsidR="00850225" w:rsidRDefault="00850225" w:rsidP="00C94556">
      <w:pPr>
        <w:pStyle w:val="Titre3"/>
        <w:rPr>
          <w:rFonts w:eastAsia="Batang"/>
          <w:lang w:val="en-US"/>
        </w:rPr>
      </w:pPr>
      <w:bookmarkStart w:id="138" w:name="_Toc474430156"/>
      <w:r w:rsidRPr="00313E82">
        <w:rPr>
          <w:rFonts w:eastAsia="Batang"/>
          <w:lang w:val="en-US"/>
        </w:rPr>
        <w:t xml:space="preserve">ASAMPSA_E recommendation on </w:t>
      </w:r>
      <w:r w:rsidR="00AF3134" w:rsidRPr="00AF3134">
        <w:rPr>
          <w:rFonts w:eastAsia="Batang"/>
          <w:lang w:val="en-US"/>
        </w:rPr>
        <w:t>“Finite Change” approach for Linear Regression Method for Sensitivity Measures</w:t>
      </w:r>
      <w:bookmarkEnd w:id="138"/>
    </w:p>
    <w:p w:rsidR="00680B18" w:rsidRPr="009374F3" w:rsidRDefault="00680B18" w:rsidP="00C94556">
      <w:pPr>
        <w:rPr>
          <w:rFonts w:eastAsia="Batang"/>
          <w:lang w:val="en-US"/>
        </w:rPr>
      </w:pPr>
      <w:r>
        <w:rPr>
          <w:rFonts w:eastAsia="Batang"/>
          <w:lang w:val="en-US"/>
        </w:rPr>
        <w:t>The definitions presented above are judged to be standard and state-of-the-art. No specific harmonization is found to be needed.</w:t>
      </w:r>
    </w:p>
    <w:p w:rsidR="00850225" w:rsidRPr="00313E82" w:rsidRDefault="00850225" w:rsidP="00C94556">
      <w:pPr>
        <w:pStyle w:val="Titre2"/>
        <w:rPr>
          <w:rFonts w:eastAsia="Batang"/>
          <w:lang w:val="en-US"/>
        </w:rPr>
      </w:pPr>
      <w:bookmarkStart w:id="139" w:name="_Ref306634958"/>
      <w:bookmarkStart w:id="140" w:name="_Toc474430157"/>
      <w:r w:rsidRPr="00313E82">
        <w:rPr>
          <w:rFonts w:eastAsia="Batang"/>
          <w:lang w:val="en-US"/>
        </w:rPr>
        <w:t>Variance Based approach for Sensitivity Measures</w:t>
      </w:r>
      <w:bookmarkEnd w:id="139"/>
      <w:bookmarkEnd w:id="140"/>
    </w:p>
    <w:p w:rsidR="00850225" w:rsidRPr="00313E82" w:rsidRDefault="00850225" w:rsidP="00C94556">
      <w:pPr>
        <w:pStyle w:val="Titre3"/>
        <w:rPr>
          <w:rFonts w:eastAsia="Batang"/>
          <w:lang w:val="en-US"/>
        </w:rPr>
      </w:pPr>
      <w:bookmarkStart w:id="141" w:name="_Toc474430158"/>
      <w:r w:rsidRPr="00313E82">
        <w:rPr>
          <w:rFonts w:eastAsia="Batang"/>
          <w:lang w:val="en-US"/>
        </w:rPr>
        <w:t>Definition of Risk Measure</w:t>
      </w:r>
      <w:bookmarkEnd w:id="141"/>
    </w:p>
    <w:p w:rsidR="00850225" w:rsidRPr="00313E82" w:rsidRDefault="00850225">
      <w:pPr>
        <w:spacing w:before="120" w:line="360" w:lineRule="auto"/>
        <w:rPr>
          <w:rFonts w:eastAsia="Batang"/>
          <w:lang w:val="en-US"/>
        </w:rPr>
      </w:pPr>
      <w:r w:rsidRPr="00313E82">
        <w:rPr>
          <w:rFonts w:eastAsia="Batang"/>
          <w:lang w:val="en-US"/>
        </w:rPr>
        <w:t>The “</w:t>
      </w:r>
      <w:r w:rsidR="00EF10E0">
        <w:rPr>
          <w:rFonts w:eastAsia="Batang"/>
          <w:lang w:val="en-US"/>
        </w:rPr>
        <w:t>v</w:t>
      </w:r>
      <w:r w:rsidR="00EF10E0" w:rsidRPr="00313E82">
        <w:rPr>
          <w:rFonts w:eastAsia="Batang"/>
          <w:lang w:val="en-US"/>
        </w:rPr>
        <w:t xml:space="preserve">ariance </w:t>
      </w:r>
      <w:r w:rsidRPr="00313E82">
        <w:rPr>
          <w:rFonts w:eastAsia="Batang"/>
          <w:lang w:val="en-US"/>
        </w:rPr>
        <w:t xml:space="preserve">based” approach for sensitivity analysis is based on the HDMR representation of the model output (i.e. probability of undesired consequences or different </w:t>
      </w:r>
      <w:r w:rsidR="00EF10E0">
        <w:rPr>
          <w:rFonts w:eastAsia="Batang"/>
          <w:lang w:val="en-US"/>
        </w:rPr>
        <w:t>direct</w:t>
      </w:r>
      <w:r w:rsidR="00EF10E0" w:rsidRPr="00313E82">
        <w:rPr>
          <w:rFonts w:eastAsia="Batang"/>
          <w:lang w:val="en-US"/>
        </w:rPr>
        <w:t xml:space="preserve"> </w:t>
      </w:r>
      <w:r w:rsidRPr="00313E82">
        <w:rPr>
          <w:rFonts w:eastAsia="Batang"/>
          <w:lang w:val="en-US"/>
        </w:rPr>
        <w:t xml:space="preserve">risk measure). </w:t>
      </w:r>
    </w:p>
    <w:p w:rsidR="00850225" w:rsidRPr="00313E82" w:rsidRDefault="00850225">
      <w:pPr>
        <w:spacing w:before="120" w:line="360" w:lineRule="auto"/>
        <w:rPr>
          <w:rFonts w:eastAsia="Batang"/>
          <w:lang w:val="en-US"/>
        </w:rPr>
      </w:pPr>
      <w:r w:rsidRPr="00313E82">
        <w:rPr>
          <w:rFonts w:eastAsia="Batang"/>
          <w:lang w:val="en-US"/>
        </w:rPr>
        <w:t>This parametric approach is based on the use of the normal probability distribution to represent – by the second central moment - the uncertainty on the input variables and the model output. The variance on the model output is apportioned into the contributions due to the variance on the input variables.</w:t>
      </w:r>
    </w:p>
    <w:p w:rsidR="00850225" w:rsidRPr="00313E82" w:rsidRDefault="00850225">
      <w:pPr>
        <w:spacing w:before="120" w:line="360" w:lineRule="auto"/>
        <w:rPr>
          <w:rFonts w:eastAsia="Batang"/>
          <w:lang w:val="en-US"/>
        </w:rPr>
      </w:pPr>
      <w:r w:rsidRPr="00313E82">
        <w:rPr>
          <w:rFonts w:eastAsia="Batang"/>
          <w:lang w:val="en-US"/>
        </w:rPr>
        <w:t>Sensitivity indices based on the “variance-decomposition” are introduced in the following.</w:t>
      </w:r>
    </w:p>
    <w:p w:rsidR="00850225" w:rsidRPr="00313E82" w:rsidRDefault="00850225">
      <w:pPr>
        <w:rPr>
          <w:rFonts w:eastAsia="Batang"/>
          <w:u w:val="single"/>
          <w:lang w:val="en-US"/>
        </w:rPr>
      </w:pPr>
      <w:r w:rsidRPr="00313E82">
        <w:rPr>
          <w:rFonts w:eastAsia="Batang"/>
          <w:u w:val="single"/>
          <w:lang w:val="en-US"/>
        </w:rPr>
        <w:t>Sobol Sensitivity Indices</w:t>
      </w:r>
    </w:p>
    <w:p w:rsidR="00850225" w:rsidRPr="00313E82" w:rsidRDefault="00850225">
      <w:pPr>
        <w:spacing w:before="120" w:line="360" w:lineRule="auto"/>
        <w:rPr>
          <w:rFonts w:eastAsia="Batang"/>
          <w:lang w:val="en-US"/>
        </w:rPr>
      </w:pPr>
      <w:r w:rsidRPr="00313E82">
        <w:rPr>
          <w:rFonts w:eastAsia="Batang"/>
          <w:lang w:val="en-US"/>
        </w:rPr>
        <w:t xml:space="preserve">Starting from the HDMR representation of the </w:t>
      </w:r>
      <w:r w:rsidR="00EF10E0">
        <w:rPr>
          <w:rFonts w:eastAsia="Batang"/>
          <w:lang w:val="en-US"/>
        </w:rPr>
        <w:t>direct</w:t>
      </w:r>
      <w:r w:rsidR="00EF10E0" w:rsidRPr="00313E82">
        <w:rPr>
          <w:rFonts w:eastAsia="Batang"/>
          <w:lang w:val="en-US"/>
        </w:rPr>
        <w:t xml:space="preserve"> </w:t>
      </w:r>
      <w:r w:rsidRPr="00313E82">
        <w:rPr>
          <w:rFonts w:eastAsia="Batang"/>
          <w:lang w:val="en-US"/>
        </w:rPr>
        <w:t>risk measure, the related variance can be written as the sum of terms (partial variances) depending on an increasing number of variables:</w:t>
      </w:r>
    </w:p>
    <w:p w:rsidR="00850225" w:rsidRPr="00313E82" w:rsidRDefault="00850225">
      <w:pPr>
        <w:spacing w:before="120" w:line="360" w:lineRule="auto"/>
        <w:rPr>
          <w:rFonts w:eastAsia="Batang"/>
          <w:lang w:val="en-US"/>
        </w:rPr>
      </w:pPr>
      <m:oMathPara>
        <m:oMath>
          <m:r>
            <w:rPr>
              <w:rFonts w:ascii="Cambria Math" w:eastAsia="Batang" w:hAnsi="Cambria Math"/>
              <w:lang w:val="en-US"/>
            </w:rPr>
            <m:t>V=</m:t>
          </m:r>
          <m:nary>
            <m:naryPr>
              <m:chr m:val="∑"/>
              <m:limLoc m:val="undOvr"/>
              <m:ctrlPr>
                <w:rPr>
                  <w:rFonts w:ascii="Cambria Math" w:eastAsia="Batang" w:hAnsi="Cambria Math"/>
                  <w:i/>
                  <w:lang w:val="en-US"/>
                </w:rPr>
              </m:ctrlPr>
            </m:naryPr>
            <m:sub>
              <m:r>
                <w:rPr>
                  <w:rFonts w:ascii="Cambria Math" w:eastAsia="Batang" w:hAnsi="Cambria Math"/>
                  <w:lang w:val="en-US"/>
                </w:rPr>
                <m:t>i=1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m:t>
                  </m:r>
                </m:sub>
              </m:sSub>
            </m:e>
          </m:nary>
          <m:r>
            <w:rPr>
              <w:rFonts w:ascii="Cambria Math" w:eastAsia="Batang" w:hAnsi="Cambria Math" w:hint="eastAsia"/>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i=1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r>
                    <w:rPr>
                      <w:rFonts w:ascii="Cambria Math" w:eastAsia="Batang" w:hAnsi="Cambria Math"/>
                      <w:lang w:val="en-US"/>
                    </w:rPr>
                    <m:t>j=i+1</m:t>
                  </m:r>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ij</m:t>
                      </m:r>
                    </m:sub>
                  </m:sSub>
                </m:e>
              </m:nary>
            </m:e>
          </m:nary>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oMath>
      </m:oMathPara>
    </w:p>
    <w:p w:rsidR="00850225" w:rsidRPr="00313E82" w:rsidRDefault="00850225">
      <w:pPr>
        <w:spacing w:before="120" w:line="360" w:lineRule="auto"/>
        <w:rPr>
          <w:rFonts w:eastAsia="Batang"/>
          <w:lang w:val="en-US"/>
        </w:rPr>
      </w:pPr>
      <w:r w:rsidRPr="00313E82">
        <w:rPr>
          <w:rFonts w:eastAsia="Batang"/>
          <w:lang w:val="en-US"/>
        </w:rPr>
        <w:t>where:</w:t>
      </w:r>
    </w:p>
    <w:tbl>
      <w:tblPr>
        <w:tblStyle w:val="Grilledutableau"/>
        <w:tblW w:w="87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0"/>
      </w:tblGrid>
      <w:tr w:rsidR="00850225" w:rsidRPr="00313E82" w:rsidTr="0054091C">
        <w:tc>
          <w:tcPr>
            <w:tcW w:w="8789" w:type="dxa"/>
            <w:hideMark/>
          </w:tcPr>
          <w:p w:rsidR="00850225" w:rsidRPr="00C94556" w:rsidRDefault="00850225" w:rsidP="00D873A7">
            <w:pPr>
              <w:pStyle w:val="Paragraphedeliste"/>
              <w:numPr>
                <w:ilvl w:val="0"/>
                <w:numId w:val="46"/>
              </w:numPr>
              <w:spacing w:before="120" w:after="120"/>
              <w:rPr>
                <w:rFonts w:cs="Arial"/>
                <w:sz w:val="20"/>
                <w:szCs w:val="20"/>
                <w:lang w:val="en-US"/>
              </w:rPr>
            </w:pPr>
            <m:oMath>
              <m:r>
                <w:rPr>
                  <w:rFonts w:ascii="Cambria Math" w:eastAsia="Batang" w:hAnsi="Cambria Math"/>
                  <w:lang w:val="en-US"/>
                </w:rPr>
                <m:t>V=Var</m:t>
              </m:r>
              <m:d>
                <m:dPr>
                  <m:ctrlPr>
                    <w:rPr>
                      <w:rFonts w:ascii="Cambria Math" w:eastAsia="Batang" w:hAnsi="Cambria Math"/>
                      <w:i/>
                      <w:lang w:val="en-US"/>
                    </w:rPr>
                  </m:ctrlPr>
                </m:dPr>
                <m:e>
                  <m:r>
                    <w:rPr>
                      <w:rFonts w:ascii="Cambria Math" w:eastAsia="Batang" w:hAnsi="Cambria Math"/>
                      <w:lang w:val="en-US"/>
                    </w:rPr>
                    <m:t>f</m:t>
                  </m:r>
                  <m:d>
                    <m:dPr>
                      <m:ctrlPr>
                        <w:rPr>
                          <w:rFonts w:ascii="Cambria Math" w:eastAsia="Batang" w:hAnsi="Cambria Math"/>
                          <w:i/>
                          <w:lang w:val="en-US"/>
                        </w:rPr>
                      </m:ctrlPr>
                    </m:dPr>
                    <m:e>
                      <m:r>
                        <w:rPr>
                          <w:rFonts w:ascii="Cambria Math" w:eastAsia="Batang" w:hAnsi="Cambria Math"/>
                          <w:lang w:val="en-US"/>
                        </w:rPr>
                        <m:t>X</m:t>
                      </m:r>
                    </m:e>
                  </m:d>
                </m:e>
              </m:d>
              <m:r>
                <w:rPr>
                  <w:rFonts w:ascii="Cambria Math" w:eastAsia="Batang" w:hAnsi="Cambria Math" w:hint="eastAsia"/>
                  <w:lang w:val="en-US"/>
                </w:rPr>
                <m:t>=</m:t>
              </m:r>
              <m:nary>
                <m:naryPr>
                  <m:limLoc m:val="undOvr"/>
                  <m:subHide m:val="1"/>
                  <m:supHide m:val="1"/>
                  <m:ctrlPr>
                    <w:rPr>
                      <w:rFonts w:ascii="Cambria Math" w:eastAsia="Batang" w:hAnsi="Cambria Math"/>
                      <w:i/>
                      <w:lang w:val="en-US"/>
                    </w:rPr>
                  </m:ctrlPr>
                </m:naryPr>
                <m:sub/>
                <m:sup/>
                <m:e>
                  <m:sSup>
                    <m:sSupPr>
                      <m:ctrlPr>
                        <w:rPr>
                          <w:rFonts w:ascii="Cambria Math" w:eastAsia="Batang" w:hAnsi="Cambria Math"/>
                          <w:i/>
                          <w:lang w:val="en-US"/>
                        </w:rPr>
                      </m:ctrlPr>
                    </m:sSupPr>
                    <m:e>
                      <m:r>
                        <w:rPr>
                          <w:rFonts w:ascii="Cambria Math" w:eastAsia="Batang" w:hAnsi="Cambria Math"/>
                          <w:lang w:val="en-US"/>
                        </w:rPr>
                        <m:t>f</m:t>
                      </m:r>
                    </m:e>
                    <m:sup>
                      <m:r>
                        <w:rPr>
                          <w:rFonts w:ascii="Cambria Math" w:eastAsia="Batang" w:hAnsi="Cambria Math"/>
                          <w:lang w:val="en-US"/>
                        </w:rPr>
                        <m:t>2</m:t>
                      </m:r>
                    </m:sup>
                  </m:sSup>
                  <m:r>
                    <w:rPr>
                      <w:rFonts w:ascii="Cambria Math" w:eastAsia="Batang" w:hAnsi="Cambria Math"/>
                      <w:lang w:val="en-US"/>
                    </w:rPr>
                    <m:t>∙p</m:t>
                  </m:r>
                  <m:d>
                    <m:dPr>
                      <m:ctrlPr>
                        <w:rPr>
                          <w:rFonts w:ascii="Cambria Math" w:eastAsia="Batang" w:hAnsi="Cambria Math"/>
                          <w:i/>
                          <w:lang w:val="en-US"/>
                        </w:rPr>
                      </m:ctrlPr>
                    </m:dPr>
                    <m:e>
                      <m:r>
                        <w:rPr>
                          <w:rFonts w:ascii="Cambria Math" w:eastAsia="Batang" w:hAnsi="Cambria Math"/>
                          <w:lang w:val="en-US"/>
                        </w:rPr>
                        <m:t>X</m:t>
                      </m:r>
                    </m:e>
                  </m:d>
                  <m:r>
                    <w:rPr>
                      <w:rFonts w:ascii="Cambria Math" w:eastAsia="Batang" w:hAnsi="Cambria Math"/>
                      <w:lang w:val="en-US"/>
                    </w:rPr>
                    <m:t>dX</m:t>
                  </m:r>
                </m:e>
              </m:nary>
              <m:r>
                <w:rPr>
                  <w:rFonts w:ascii="Cambria Math" w:eastAsia="Batang" w:hAnsi="Cambria Math"/>
                  <w:lang w:val="en-US"/>
                </w:rPr>
                <m:t>-</m:t>
              </m:r>
              <m:sSubSup>
                <m:sSubSupPr>
                  <m:ctrlPr>
                    <w:rPr>
                      <w:rFonts w:ascii="Cambria Math" w:eastAsia="Batang" w:hAnsi="Cambria Math"/>
                      <w:i/>
                      <w:lang w:val="en-US"/>
                    </w:rPr>
                  </m:ctrlPr>
                </m:sSubSupPr>
                <m:e>
                  <m:r>
                    <w:rPr>
                      <w:rFonts w:ascii="Cambria Math" w:eastAsia="Batang" w:hAnsi="Cambria Math"/>
                      <w:lang w:val="en-US"/>
                    </w:rPr>
                    <m:t>f</m:t>
                  </m:r>
                </m:e>
                <m:sub>
                  <m:r>
                    <w:rPr>
                      <w:rFonts w:ascii="Cambria Math" w:eastAsia="Batang" w:hAnsi="Cambria Math"/>
                      <w:lang w:val="en-US"/>
                    </w:rPr>
                    <m:t>0</m:t>
                  </m:r>
                </m:sub>
                <m:sup>
                  <m:r>
                    <w:rPr>
                      <w:rFonts w:ascii="Cambria Math" w:eastAsia="Batang" w:hAnsi="Cambria Math"/>
                      <w:lang w:val="en-US"/>
                    </w:rPr>
                    <m:t>2</m:t>
                  </m:r>
                </m:sup>
              </m:sSubSup>
            </m:oMath>
          </w:p>
        </w:tc>
      </w:tr>
      <w:tr w:rsidR="00850225" w:rsidRPr="00313E82" w:rsidTr="0054091C">
        <w:tc>
          <w:tcPr>
            <w:tcW w:w="8789" w:type="dxa"/>
            <w:hideMark/>
          </w:tcPr>
          <w:p w:rsidR="00850225" w:rsidRPr="00C94556" w:rsidRDefault="0043746A" w:rsidP="00C94556">
            <w:pPr>
              <w:pStyle w:val="Paragraphedeliste"/>
              <w:numPr>
                <w:ilvl w:val="0"/>
                <w:numId w:val="46"/>
              </w:numPr>
              <w:spacing w:before="120" w:after="120"/>
              <w:rPr>
                <w:rFonts w:cs="Arial"/>
                <w:sz w:val="20"/>
                <w:szCs w:val="20"/>
                <w:lang w:val="en-US"/>
              </w:rPr>
            </w:pPr>
            <m:oMath>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r>
                <w:rPr>
                  <w:rFonts w:ascii="Cambria Math" w:eastAsia="Batang" w:hAnsi="Cambria Math" w:hint="eastAsia"/>
                  <w:lang w:val="en-US"/>
                </w:rPr>
                <m:t>=</m:t>
              </m:r>
              <m:r>
                <w:rPr>
                  <w:rFonts w:ascii="Cambria Math" w:eastAsia="Batang" w:hAnsi="Cambria Math"/>
                  <w:lang w:val="en-US"/>
                </w:rPr>
                <m:t>Var</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f</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m</m:t>
                          </m:r>
                        </m:sub>
                      </m:sSub>
                    </m:e>
                  </m:d>
                </m:e>
              </m:d>
              <m:r>
                <w:rPr>
                  <w:rFonts w:ascii="Cambria Math" w:eastAsia="Batang" w:hAnsi="Cambria Math" w:hint="eastAsia"/>
                  <w:lang w:val="en-US"/>
                </w:rPr>
                <m:t>=</m:t>
              </m:r>
              <m:nary>
                <m:naryPr>
                  <m:limLoc m:val="undOvr"/>
                  <m:subHide m:val="1"/>
                  <m:supHide m:val="1"/>
                  <m:ctrlPr>
                    <w:rPr>
                      <w:rFonts w:ascii="Cambria Math" w:eastAsia="Batang" w:hAnsi="Cambria Math"/>
                      <w:i/>
                      <w:lang w:val="en-US"/>
                    </w:rPr>
                  </m:ctrlPr>
                </m:naryPr>
                <m:sub/>
                <m:sup/>
                <m:e>
                  <m:sSubSup>
                    <m:sSubSupPr>
                      <m:ctrlPr>
                        <w:rPr>
                          <w:rFonts w:ascii="Cambria Math" w:eastAsia="Batang" w:hAnsi="Cambria Math"/>
                          <w:i/>
                          <w:lang w:val="en-US"/>
                        </w:rPr>
                      </m:ctrlPr>
                    </m:sSubSupPr>
                    <m:e>
                      <m:r>
                        <w:rPr>
                          <w:rFonts w:ascii="Cambria Math" w:eastAsia="Batang" w:hAnsi="Cambria Math"/>
                          <w:lang w:val="en-US"/>
                        </w:rPr>
                        <m:t>f</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up>
                      <m:r>
                        <w:rPr>
                          <w:rFonts w:ascii="Cambria Math" w:eastAsia="Batang" w:hAnsi="Cambria Math"/>
                          <w:lang w:val="en-US"/>
                        </w:rPr>
                        <m:t>2</m:t>
                      </m:r>
                    </m:sup>
                  </m:sSubSup>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1</m:t>
                          </m:r>
                        </m:sub>
                      </m:sSub>
                      <m:r>
                        <w:rPr>
                          <w:rFonts w:ascii="Cambria Math" w:eastAsia="Batang" w:hAnsi="Cambria Math"/>
                          <w:lang w:val="en-US"/>
                        </w:rPr>
                        <m:t>,</m:t>
                      </m:r>
                      <m:r>
                        <w:rPr>
                          <w:rFonts w:ascii="Cambria Math" w:eastAsia="Batang" w:hAnsi="Cambria Math" w:hint="eastAsia"/>
                          <w:lang w:val="en-US"/>
                        </w:rPr>
                        <m:t>…</m:t>
                      </m:r>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m</m:t>
                          </m:r>
                        </m:sub>
                      </m:sSub>
                    </m:e>
                  </m:d>
                  <m:r>
                    <w:rPr>
                      <w:rFonts w:ascii="Cambria Math" w:eastAsia="Batang" w:hAnsi="Cambria Math"/>
                      <w:lang w:val="en-US"/>
                    </w:rPr>
                    <m:t>∙</m:t>
                  </m:r>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m</m:t>
                      </m:r>
                    </m:sup>
                    <m:e>
                      <m:sSub>
                        <m:sSubPr>
                          <m:ctrlPr>
                            <w:rPr>
                              <w:rFonts w:ascii="Cambria Math" w:eastAsia="Batang" w:hAnsi="Cambria Math"/>
                              <w:i/>
                              <w:lang w:val="en-US"/>
                            </w:rPr>
                          </m:ctrlPr>
                        </m:sSubPr>
                        <m:e>
                          <m:r>
                            <w:rPr>
                              <w:rFonts w:ascii="Cambria Math" w:eastAsia="Batang" w:hAnsi="Cambria Math"/>
                              <w:lang w:val="en-US"/>
                            </w:rPr>
                            <m:t>p</m:t>
                          </m:r>
                        </m:e>
                        <m:sub>
                          <m:r>
                            <w:rPr>
                              <w:rFonts w:ascii="Cambria Math" w:eastAsia="Batang" w:hAnsi="Cambria Math"/>
                              <w:lang w:val="en-US"/>
                            </w:rPr>
                            <m:t>k</m:t>
                          </m:r>
                        </m:sub>
                      </m:sSub>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k</m:t>
                              </m:r>
                            </m:sub>
                          </m:sSub>
                        </m:e>
                      </m:d>
                    </m:e>
                  </m:nary>
                  <m:r>
                    <w:rPr>
                      <w:rFonts w:ascii="Cambria Math" w:eastAsia="Batang" w:hAnsi="Cambria Math"/>
                      <w:lang w:val="en-US"/>
                    </w:rPr>
                    <m:t>d</m:t>
                  </m:r>
                  <m:sSub>
                    <m:sSubPr>
                      <m:ctrlPr>
                        <w:rPr>
                          <w:rFonts w:ascii="Cambria Math" w:eastAsia="Batang" w:hAnsi="Cambria Math"/>
                          <w:i/>
                          <w:lang w:val="en-US"/>
                        </w:rPr>
                      </m:ctrlPr>
                    </m:sSubPr>
                    <m:e>
                      <m:r>
                        <w:rPr>
                          <w:rFonts w:ascii="Cambria Math" w:eastAsia="Batang" w:hAnsi="Cambria Math"/>
                          <w:lang w:val="en-US"/>
                        </w:rPr>
                        <m:t>x</m:t>
                      </m:r>
                    </m:e>
                    <m:sub>
                      <m:r>
                        <w:rPr>
                          <w:rFonts w:ascii="Cambria Math" w:eastAsia="Batang" w:hAnsi="Cambria Math"/>
                          <w:lang w:val="en-US"/>
                        </w:rPr>
                        <m:t>k</m:t>
                      </m:r>
                    </m:sub>
                  </m:sSub>
                </m:e>
              </m:nary>
            </m:oMath>
          </w:p>
        </w:tc>
      </w:tr>
    </w:tbl>
    <w:p w:rsidR="00850225" w:rsidRPr="00313E82" w:rsidRDefault="00850225" w:rsidP="00741D3C">
      <w:pPr>
        <w:spacing w:before="120" w:line="360" w:lineRule="auto"/>
        <w:rPr>
          <w:rFonts w:eastAsia="Batang"/>
          <w:lang w:val="en-US"/>
        </w:rPr>
      </w:pPr>
      <w:r w:rsidRPr="00313E82">
        <w:rPr>
          <w:rFonts w:eastAsia="Batang"/>
          <w:lang w:val="en-US"/>
        </w:rPr>
        <w:t xml:space="preserve">Sobol Sensitivity indices are defined as the ratios between the partial variance due to the variables at issue and the total variance on the model output </w:t>
      </w:r>
      <w:r w:rsidR="00CD0CBE">
        <w:fldChar w:fldCharType="begin"/>
      </w:r>
      <w:r w:rsidR="00CD0CBE">
        <w:instrText xml:space="preserve"> REF _Ref428968153 \r \h  \* MERGEFORMAT </w:instrText>
      </w:r>
      <w:r w:rsidR="00CD0CBE">
        <w:fldChar w:fldCharType="separate"/>
      </w:r>
      <w:r w:rsidR="00B772CA" w:rsidRPr="00B772CA">
        <w:rPr>
          <w:rFonts w:eastAsia="Batang"/>
          <w:lang w:val="en-US"/>
        </w:rPr>
        <w:t>[101]</w:t>
      </w:r>
      <w:r w:rsidR="00CD0CBE">
        <w:fldChar w:fldCharType="end"/>
      </w:r>
      <w:r w:rsidRPr="00313E82">
        <w:rPr>
          <w:rFonts w:eastAsia="Batang"/>
          <w:lang w:val="en-US"/>
        </w:rPr>
        <w:t>:</w:t>
      </w:r>
    </w:p>
    <w:p w:rsidR="00850225" w:rsidRPr="00313E82" w:rsidRDefault="0043746A">
      <w:pPr>
        <w:spacing w:before="120" w:line="360" w:lineRule="auto"/>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num>
            <m:den>
              <m:r>
                <w:rPr>
                  <w:rFonts w:ascii="Cambria Math" w:eastAsia="Batang" w:hAnsi="Cambria Math"/>
                  <w:lang w:val="en-US"/>
                </w:rPr>
                <m:t>V</m:t>
              </m:r>
            </m:den>
          </m:f>
        </m:oMath>
      </m:oMathPara>
    </w:p>
    <w:p w:rsidR="00850225" w:rsidRPr="00313E82" w:rsidRDefault="00850225">
      <w:pPr>
        <w:spacing w:before="120" w:line="360" w:lineRule="auto"/>
        <w:rPr>
          <w:rFonts w:eastAsia="Batang"/>
          <w:lang w:val="en-US"/>
        </w:rPr>
      </w:pPr>
      <w:r w:rsidRPr="00313E82">
        <w:rPr>
          <w:rFonts w:eastAsia="Batang"/>
          <w:lang w:val="en-US"/>
        </w:rPr>
        <w:lastRenderedPageBreak/>
        <w:t xml:space="preserve">All the terms </w:t>
      </w:r>
      <m:oMath>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m</m:t>
            </m:r>
          </m:sub>
        </m:sSub>
      </m:oMath>
      <w:r w:rsidRPr="00313E82">
        <w:rPr>
          <w:rFonts w:eastAsia="Batang"/>
          <w:lang w:val="en-US"/>
        </w:rPr>
        <w:t xml:space="preserve"> are non negative and their sum is equal to one </w:t>
      </w:r>
      <m:oMath>
        <m:nary>
          <m:naryPr>
            <m:chr m:val="∑"/>
            <m:limLoc m:val="undOvr"/>
            <m:ctrlPr>
              <w:rPr>
                <w:rFonts w:ascii="Cambria Math" w:eastAsia="Batang" w:hAnsi="Cambria Math"/>
                <w:i/>
                <w:lang w:val="en-US"/>
              </w:rPr>
            </m:ctrlPr>
          </m:naryPr>
          <m:sub>
            <m:r>
              <w:rPr>
                <w:rFonts w:ascii="Cambria Math" w:eastAsia="Batang" w:hAnsi="Cambria Math"/>
                <w:lang w:val="en-US"/>
              </w:rPr>
              <m:t>k=1</m:t>
            </m:r>
          </m:sub>
          <m:sup>
            <m:r>
              <w:rPr>
                <w:rFonts w:ascii="Cambria Math" w:eastAsia="Batang" w:hAnsi="Cambria Math"/>
                <w:lang w:val="en-US"/>
              </w:rPr>
              <m:t>n</m:t>
            </m:r>
          </m:sup>
          <m:e>
            <m:nary>
              <m:naryPr>
                <m:chr m:val="∑"/>
                <m:limLoc m:val="undOvr"/>
                <m:ctrlPr>
                  <w:rPr>
                    <w:rFonts w:ascii="Cambria Math" w:eastAsia="Batang" w:hAnsi="Cambria Math"/>
                    <w:i/>
                    <w:lang w:val="en-US"/>
                  </w:rPr>
                </m:ctrlPr>
              </m:naryPr>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lang w:val="en-US"/>
                  </w:rPr>
                  <m:t>&lt;...&lt;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up>
                <m:r>
                  <w:rPr>
                    <w:rFonts w:ascii="Cambria Math" w:eastAsia="Batang" w:hAnsi="Cambria Math"/>
                    <w:lang w:val="en-US"/>
                  </w:rPr>
                  <m:t>n</m:t>
                </m:r>
              </m:sup>
              <m:e>
                <m:sSub>
                  <m:sSubPr>
                    <m:ctrlPr>
                      <w:rPr>
                        <w:rFonts w:ascii="Cambria Math" w:eastAsia="Batang" w:hAnsi="Cambria Math"/>
                        <w:i/>
                        <w:lang w:val="en-US"/>
                      </w:rPr>
                    </m:ctrlPr>
                  </m:sSubPr>
                  <m:e>
                    <m:r>
                      <w:rPr>
                        <w:rFonts w:ascii="Cambria Math" w:eastAsia="Batang" w:hAnsi="Cambria Math"/>
                        <w:lang w:val="en-US"/>
                      </w:rPr>
                      <m:t>S</m:t>
                    </m:r>
                  </m:e>
                  <m:sub>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1</m:t>
                        </m:r>
                      </m:sub>
                    </m:sSub>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j</m:t>
                        </m:r>
                      </m:e>
                      <m:sub>
                        <m:r>
                          <w:rPr>
                            <w:rFonts w:ascii="Cambria Math" w:eastAsia="Batang" w:hAnsi="Cambria Math"/>
                            <w:lang w:val="en-US"/>
                          </w:rPr>
                          <m:t>k</m:t>
                        </m:r>
                      </m:sub>
                    </m:sSub>
                  </m:sub>
                </m:sSub>
                <m:r>
                  <w:rPr>
                    <w:rFonts w:ascii="Cambria Math" w:eastAsia="Batang" w:hAnsi="Cambria Math"/>
                    <w:lang w:val="en-US"/>
                  </w:rPr>
                  <m:t xml:space="preserve"> </m:t>
                </m:r>
              </m:e>
            </m:nary>
          </m:e>
        </m:nary>
        <m:r>
          <w:rPr>
            <w:rFonts w:ascii="Cambria Math" w:eastAsia="Batang" w:hAnsi="Cambria Math" w:hint="eastAsia"/>
            <w:lang w:val="en-US"/>
          </w:rPr>
          <m:t>=1</m:t>
        </m:r>
      </m:oMath>
      <w:r w:rsidRPr="00313E82">
        <w:rPr>
          <w:rFonts w:eastAsia="Batang"/>
          <w:lang w:val="en-US"/>
        </w:rPr>
        <w:t>.</w:t>
      </w:r>
    </w:p>
    <w:p w:rsidR="00850225" w:rsidRPr="00313E82" w:rsidRDefault="00850225">
      <w:pPr>
        <w:spacing w:before="120" w:line="360" w:lineRule="auto"/>
        <w:rPr>
          <w:rFonts w:eastAsia="Batang"/>
          <w:lang w:val="en-US"/>
        </w:rPr>
      </w:pPr>
      <w:r w:rsidRPr="00313E82">
        <w:rPr>
          <w:rFonts w:eastAsia="Batang"/>
          <w:lang w:val="en-US"/>
        </w:rPr>
        <w:t xml:space="preserve">For each basic event, the term </w:t>
      </w:r>
      <m:oMath>
        <m:sSub>
          <m:sSubPr>
            <m:ctrlPr>
              <w:rPr>
                <w:rFonts w:ascii="Cambria Math" w:eastAsia="Batang" w:hAnsi="Cambria Math"/>
                <w:lang w:val="en-US"/>
              </w:rPr>
            </m:ctrlPr>
          </m:sSubPr>
          <m:e>
            <m:r>
              <m:rPr>
                <m:sty m:val="p"/>
              </m:rPr>
              <w:rPr>
                <w:rFonts w:ascii="Cambria Math" w:eastAsia="Batang" w:hAnsi="Cambria Math"/>
                <w:lang w:val="en-US"/>
              </w:rPr>
              <m:t>S</m:t>
            </m:r>
          </m:e>
          <m:sub>
            <m:r>
              <m:rPr>
                <m:sty m:val="p"/>
              </m:rPr>
              <w:rPr>
                <w:rFonts w:ascii="Cambria Math" w:eastAsia="Batang" w:hAnsi="Cambria Math"/>
                <w:lang w:val="en-US"/>
              </w:rPr>
              <m:t>i</m:t>
            </m:r>
          </m:sub>
        </m:sSub>
        <m:r>
          <w:rPr>
            <w:rFonts w:ascii="Cambria Math" w:eastAsia="Batang" w:hAnsi="Cambria Math" w:hint="eastAsia"/>
            <w:lang w:val="en-US"/>
          </w:rPr>
          <m:t>=</m:t>
        </m:r>
        <m:f>
          <m:fPr>
            <m:ctrlPr>
              <w:rPr>
                <w:rFonts w:ascii="Cambria Math" w:eastAsia="Batang" w:hAnsi="Cambria Math"/>
                <w:i/>
                <w:lang w:val="en-US"/>
              </w:rPr>
            </m:ctrlPr>
          </m:fPr>
          <m:num>
            <m:sSub>
              <m:sSubPr>
                <m:ctrlPr>
                  <w:rPr>
                    <w:rFonts w:ascii="Cambria Math" w:eastAsia="Batang" w:hAnsi="Cambria Math"/>
                    <w:i/>
                    <w:lang w:val="en-US"/>
                  </w:rPr>
                </m:ctrlPr>
              </m:sSubPr>
              <m:e>
                <m:r>
                  <w:rPr>
                    <w:rFonts w:ascii="Cambria Math" w:eastAsia="Batang" w:hAnsi="Cambria Math"/>
                    <w:lang w:val="en-US"/>
                  </w:rPr>
                  <m:t>V</m:t>
                </m:r>
              </m:e>
              <m:sub>
                <m:r>
                  <w:rPr>
                    <w:rFonts w:ascii="Cambria Math" w:eastAsia="Batang" w:hAnsi="Cambria Math"/>
                    <w:lang w:val="en-US"/>
                  </w:rPr>
                  <m:t>i</m:t>
                </m:r>
              </m:sub>
            </m:sSub>
          </m:num>
          <m:den>
            <m:r>
              <w:rPr>
                <w:rFonts w:ascii="Cambria Math" w:eastAsia="Batang" w:hAnsi="Cambria Math"/>
                <w:lang w:val="en-US"/>
              </w:rPr>
              <m:t>V</m:t>
            </m:r>
          </m:den>
        </m:f>
      </m:oMath>
      <w:r w:rsidRPr="00313E82">
        <w:rPr>
          <w:rFonts w:eastAsia="Batang"/>
          <w:lang w:val="en-US"/>
        </w:rPr>
        <w:t xml:space="preserve"> is named “Main Sensitivity Index”.</w:t>
      </w:r>
    </w:p>
    <w:p w:rsidR="00850225" w:rsidRPr="00313E82" w:rsidRDefault="00850225">
      <w:pPr>
        <w:spacing w:before="120" w:line="360" w:lineRule="auto"/>
        <w:rPr>
          <w:rFonts w:eastAsia="Batang"/>
          <w:lang w:val="en-US"/>
        </w:rPr>
      </w:pPr>
      <w:r w:rsidRPr="00313E82">
        <w:rPr>
          <w:rFonts w:eastAsia="Batang"/>
          <w:lang w:val="en-US"/>
        </w:rPr>
        <w:t xml:space="preserve">Generally </w:t>
      </w:r>
      <m:oMath>
        <m:nary>
          <m:naryPr>
            <m:chr m:val="∑"/>
            <m:limLoc m:val="undOvr"/>
            <m:subHide m:val="1"/>
            <m:supHide m:val="1"/>
            <m:ctrlPr>
              <w:rPr>
                <w:rFonts w:ascii="Cambria Math" w:eastAsia="Batang" w:hAnsi="Cambria Math"/>
                <w:lang w:val="en-US"/>
              </w:rPr>
            </m:ctrlPr>
          </m:naryPr>
          <m:sub/>
          <m:sup/>
          <m:e>
            <m:sSub>
              <m:sSubPr>
                <m:ctrlPr>
                  <w:rPr>
                    <w:rFonts w:ascii="Cambria Math" w:eastAsia="Batang" w:hAnsi="Cambria Math"/>
                    <w:lang w:val="en-US"/>
                  </w:rPr>
                </m:ctrlPr>
              </m:sSubPr>
              <m:e>
                <m:r>
                  <m:rPr>
                    <m:sty m:val="p"/>
                  </m:rPr>
                  <w:rPr>
                    <w:rFonts w:ascii="Cambria Math" w:eastAsia="Batang" w:hAnsi="Cambria Math"/>
                    <w:lang w:val="en-US"/>
                  </w:rPr>
                  <m:t>S</m:t>
                </m:r>
              </m:e>
              <m:sub>
                <m:r>
                  <m:rPr>
                    <m:sty m:val="p"/>
                  </m:rPr>
                  <w:rPr>
                    <w:rFonts w:ascii="Cambria Math" w:eastAsia="Batang" w:hAnsi="Cambria Math"/>
                    <w:lang w:val="en-US"/>
                  </w:rPr>
                  <m:t>i</m:t>
                </m:r>
              </m:sub>
            </m:sSub>
            <m:r>
              <w:rPr>
                <w:rFonts w:ascii="Cambria Math" w:eastAsia="Batang" w:hAnsi="Cambria Math" w:hint="eastAsia"/>
                <w:lang w:val="en-US"/>
              </w:rPr>
              <m:t>≤</m:t>
            </m:r>
            <m:r>
              <w:rPr>
                <w:rFonts w:ascii="Cambria Math" w:eastAsia="Batang" w:hAnsi="Cambria Math"/>
                <w:lang w:val="en-US"/>
              </w:rPr>
              <m:t>1</m:t>
            </m:r>
          </m:e>
        </m:nary>
      </m:oMath>
      <w:r w:rsidRPr="00313E82">
        <w:rPr>
          <w:rFonts w:eastAsia="Batang"/>
          <w:lang w:val="en-US"/>
        </w:rPr>
        <w:t>; specifically, the sum of the Main Sensitivity indices is equal to 1 for "additive</w:t>
      </w:r>
      <w:r w:rsidRPr="00313E82">
        <w:rPr>
          <w:rFonts w:eastAsia="Batang"/>
          <w:vertAlign w:val="superscript"/>
          <w:lang w:val="en-US"/>
        </w:rPr>
        <w:footnoteReference w:id="9"/>
      </w:r>
      <w:r w:rsidRPr="00313E82">
        <w:rPr>
          <w:rFonts w:eastAsia="Batang"/>
          <w:lang w:val="en-US"/>
        </w:rPr>
        <w:t xml:space="preserve">” models. </w:t>
      </w:r>
    </w:p>
    <w:p w:rsidR="00850225" w:rsidRPr="00313E82" w:rsidRDefault="00850225">
      <w:pPr>
        <w:rPr>
          <w:rFonts w:eastAsia="Batang"/>
          <w:u w:val="single"/>
          <w:lang w:val="en-US"/>
        </w:rPr>
      </w:pPr>
      <w:r w:rsidRPr="00313E82">
        <w:rPr>
          <w:rFonts w:eastAsia="Batang"/>
          <w:u w:val="single"/>
          <w:lang w:val="en-US"/>
        </w:rPr>
        <w:t>Global sensitivity index</w:t>
      </w:r>
    </w:p>
    <w:p w:rsidR="00850225" w:rsidRPr="00313E82" w:rsidRDefault="00850225">
      <w:pPr>
        <w:spacing w:before="120" w:line="360" w:lineRule="auto"/>
        <w:rPr>
          <w:rFonts w:eastAsia="Batang"/>
          <w:lang w:val="en-US"/>
        </w:rPr>
      </w:pPr>
      <w:r w:rsidRPr="00313E82">
        <w:rPr>
          <w:rFonts w:eastAsia="Batang"/>
          <w:lang w:val="en-US"/>
        </w:rPr>
        <w:t xml:space="preserve">With reference to the Variance decomposition, the Global Sensitivity Index for the input variable </w:t>
      </w:r>
      <m:oMath>
        <m:r>
          <w:rPr>
            <w:rFonts w:ascii="Cambria Math" w:eastAsia="Batang" w:hAnsi="Cambria Math"/>
            <w:lang w:val="en-US"/>
          </w:rPr>
          <m:t>i</m:t>
        </m:r>
      </m:oMath>
      <w:r w:rsidRPr="00313E82">
        <w:rPr>
          <w:rFonts w:eastAsia="Batang"/>
          <w:lang w:val="en-US"/>
        </w:rPr>
        <w:t xml:space="preserve"> represents the fraction of variance on the model output that is explained by the input variable</w:t>
      </w:r>
      <m:oMath>
        <m:r>
          <w:rPr>
            <w:rFonts w:ascii="Cambria Math" w:eastAsia="Batang" w:hAnsi="Cambria Math"/>
            <w:lang w:val="en-US"/>
          </w:rPr>
          <m:t xml:space="preserve"> i</m:t>
        </m:r>
      </m:oMath>
      <w:r w:rsidRPr="00313E82">
        <w:rPr>
          <w:rFonts w:eastAsia="Batang"/>
          <w:lang w:val="en-US"/>
        </w:rPr>
        <w:t>, alone and together with all the remaining variables, in any number and combination. It is defined as:</w:t>
      </w:r>
    </w:p>
    <w:p w:rsidR="00850225" w:rsidRPr="00313E82" w:rsidRDefault="0043746A">
      <w:pPr>
        <w:spacing w:before="120" w:line="360" w:lineRule="auto"/>
        <w:rPr>
          <w:rFonts w:eastAsia="Batang"/>
          <w:lang w:val="en-US"/>
        </w:rPr>
      </w:pPr>
      <m:oMathPara>
        <m:oMath>
          <m:sSubSup>
            <m:sSubSupPr>
              <m:ctrlPr>
                <w:rPr>
                  <w:rFonts w:ascii="Cambria Math" w:eastAsia="Batang" w:hAnsi="Cambria Math"/>
                  <w:i/>
                  <w:lang w:val="en-US"/>
                </w:rPr>
              </m:ctrlPr>
            </m:sSubSupPr>
            <m:e>
              <m:r>
                <w:rPr>
                  <w:rFonts w:ascii="Cambria Math" w:eastAsia="Batang" w:hAnsi="Cambria Math"/>
                  <w:lang w:val="en-US"/>
                </w:rPr>
                <m:t>S</m:t>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hint="eastAsia"/>
              <w:lang w:val="en-US"/>
            </w:rPr>
            <m:t>=</m:t>
          </m:r>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i</m:t>
              </m:r>
            </m:sub>
          </m:sSub>
          <m:r>
            <w:rPr>
              <w:rFonts w:ascii="Cambria Math" w:eastAsia="Batang" w:hAnsi="Cambria Math" w:hint="eastAsia"/>
              <w:lang w:val="en-US"/>
            </w:rPr>
            <m:t>+</m:t>
          </m:r>
          <m:nary>
            <m:naryPr>
              <m:chr m:val="∑"/>
              <m:limLoc m:val="undOvr"/>
              <m:supHide m:val="1"/>
              <m:ctrlPr>
                <w:rPr>
                  <w:rFonts w:ascii="Cambria Math" w:eastAsia="Batang" w:hAnsi="Cambria Math"/>
                  <w:i/>
                  <w:lang w:val="en-US"/>
                </w:rPr>
              </m:ctrlPr>
            </m:naryPr>
            <m:sub>
              <m:r>
                <w:rPr>
                  <w:rFonts w:ascii="Cambria Math" w:eastAsia="Batang" w:hAnsi="Cambria Math"/>
                  <w:lang w:val="en-US"/>
                </w:rPr>
                <m:t>i</m:t>
              </m:r>
            </m:sub>
            <m:sup/>
            <m:e>
              <m:d>
                <m:dPr>
                  <m:begChr m:val="["/>
                  <m:endChr m:val="]"/>
                  <m:ctrlPr>
                    <w:rPr>
                      <w:rFonts w:ascii="Cambria Math" w:eastAsia="Batang" w:hAnsi="Cambria Math"/>
                      <w:i/>
                      <w:lang w:val="en-US"/>
                    </w:rPr>
                  </m:ctrlPr>
                </m:dPr>
                <m:e>
                  <m:nary>
                    <m:naryPr>
                      <m:chr m:val="∑"/>
                      <m:limLoc m:val="undOvr"/>
                      <m:supHide m:val="1"/>
                      <m:ctrlPr>
                        <w:rPr>
                          <w:rFonts w:ascii="Cambria Math" w:eastAsia="Batang" w:hAnsi="Cambria Math"/>
                          <w:i/>
                          <w:lang w:val="en-US"/>
                        </w:rPr>
                      </m:ctrlPr>
                    </m:naryPr>
                    <m:sub>
                      <m:r>
                        <w:rPr>
                          <w:rFonts w:ascii="Cambria Math" w:eastAsia="Batang" w:hAnsi="Cambria Math"/>
                          <w:lang w:val="en-US"/>
                        </w:rPr>
                        <m:t>j</m:t>
                      </m:r>
                    </m:sub>
                    <m:sup/>
                    <m:e>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ij</m:t>
                          </m:r>
                        </m:sub>
                      </m:sSub>
                    </m:e>
                  </m:nary>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1</m:t>
                      </m:r>
                      <m:r>
                        <w:rPr>
                          <w:rFonts w:ascii="Cambria Math" w:eastAsia="Batang" w:hAnsi="Cambria Math" w:hint="eastAsia"/>
                          <w:lang w:val="en-US"/>
                        </w:rPr>
                        <m:t>…</m:t>
                      </m:r>
                      <m:r>
                        <w:rPr>
                          <w:rFonts w:ascii="Cambria Math" w:eastAsia="Batang" w:hAnsi="Cambria Math"/>
                          <w:lang w:val="en-US"/>
                        </w:rPr>
                        <m:t>n</m:t>
                      </m:r>
                    </m:sub>
                  </m:sSub>
                </m:e>
              </m:d>
            </m:e>
          </m:nary>
        </m:oMath>
      </m:oMathPara>
    </w:p>
    <w:p w:rsidR="00850225" w:rsidRPr="00313E82" w:rsidRDefault="00850225">
      <w:pPr>
        <w:rPr>
          <w:rFonts w:eastAsia="Batang"/>
          <w:lang w:val="en-US"/>
        </w:rPr>
      </w:pPr>
    </w:p>
    <w:p w:rsidR="00850225" w:rsidRPr="00313E82" w:rsidRDefault="00850225" w:rsidP="00C94556">
      <w:pPr>
        <w:pStyle w:val="Titre3"/>
        <w:rPr>
          <w:rFonts w:eastAsia="Batang"/>
          <w:lang w:val="en-US"/>
        </w:rPr>
      </w:pPr>
      <w:bookmarkStart w:id="142" w:name="_Toc474430159"/>
      <w:r w:rsidRPr="00313E82">
        <w:rPr>
          <w:rFonts w:eastAsia="Batang"/>
          <w:lang w:val="en-US"/>
        </w:rPr>
        <w:t>Areas of application</w:t>
      </w:r>
      <w:bookmarkEnd w:id="142"/>
    </w:p>
    <w:p w:rsidR="00850225" w:rsidRPr="00C94556" w:rsidRDefault="00850225">
      <w:pPr>
        <w:rPr>
          <w:lang w:val="en-US"/>
        </w:rPr>
      </w:pPr>
      <w:r w:rsidRPr="00C94556">
        <w:rPr>
          <w:lang w:val="en-US"/>
        </w:rPr>
        <w:t xml:space="preserve">Generally speaking, a sensitivity analysis could be performed for a number of reasons, including the needs to determine which input variables mainly contribute to the output variability and which ones have significant interactions to be accounted for. Other reasons – less relevant to PSA applications - could refer to the needs to determine which parameters can be eliminated from the final model because insignificant and if all observed effects can be physically explained. </w:t>
      </w:r>
    </w:p>
    <w:p w:rsidR="00850225" w:rsidRPr="00C94556" w:rsidRDefault="00850225">
      <w:pPr>
        <w:rPr>
          <w:lang w:val="en-US"/>
        </w:rPr>
      </w:pPr>
      <w:r w:rsidRPr="00C94556">
        <w:rPr>
          <w:lang w:val="en-US"/>
        </w:rPr>
        <w:t>The Variance-based sensitivity analysis has a very general scope and is versatile and effective to support the formulation of appropriate answers for all the above questions.</w:t>
      </w:r>
    </w:p>
    <w:p w:rsidR="00850225" w:rsidRPr="00C94556" w:rsidRDefault="00850225">
      <w:pPr>
        <w:rPr>
          <w:lang w:val="en-US"/>
        </w:rPr>
      </w:pPr>
      <w:r w:rsidRPr="00C94556">
        <w:rPr>
          <w:lang w:val="en-US"/>
        </w:rPr>
        <w:t>Its application is specifically suggested when non-linearity in the model is significant and shall be “captured” by the adopted secondary measures.</w:t>
      </w:r>
    </w:p>
    <w:p w:rsidR="00850225" w:rsidRPr="00C94556" w:rsidRDefault="00850225">
      <w:pPr>
        <w:rPr>
          <w:lang w:val="en-US"/>
        </w:rPr>
      </w:pPr>
      <w:r w:rsidRPr="00C94556">
        <w:rPr>
          <w:lang w:val="en-US"/>
        </w:rPr>
        <w:t>It could be not the case of PSA applications, specifically for Level 1 PSA and particularly when the analysis is referred to the basic events probability, being the System failure function a Boolean equation. Differently, if Level 2 PSA includes physical models for the phenomena into the containment, the study of the significant variables and the uncertainty analysis could be effectively supported by the Variance-based sensitivity indices.</w:t>
      </w:r>
    </w:p>
    <w:p w:rsidR="00850225" w:rsidRPr="00313E82" w:rsidRDefault="00850225" w:rsidP="00C94556">
      <w:pPr>
        <w:pStyle w:val="Titre3"/>
        <w:rPr>
          <w:rFonts w:eastAsia="Batang"/>
          <w:lang w:val="en-US"/>
        </w:rPr>
      </w:pPr>
      <w:bookmarkStart w:id="143" w:name="_Toc474430160"/>
      <w:r w:rsidRPr="00313E82">
        <w:rPr>
          <w:rFonts w:eastAsia="Batang"/>
          <w:lang w:val="en-US"/>
        </w:rPr>
        <w:t>Definition of Risk Measure</w:t>
      </w:r>
      <w:bookmarkEnd w:id="143"/>
    </w:p>
    <w:p w:rsidR="00850225" w:rsidRPr="00313E82" w:rsidRDefault="00850225">
      <w:pPr>
        <w:rPr>
          <w:rFonts w:eastAsia="Batang"/>
          <w:lang w:val="en-US"/>
        </w:rPr>
      </w:pPr>
      <w:r w:rsidRPr="00313E82">
        <w:rPr>
          <w:rFonts w:eastAsia="Batang"/>
          <w:u w:val="single"/>
          <w:lang w:val="en-US"/>
        </w:rPr>
        <w:t>Validity</w:t>
      </w:r>
      <w:r w:rsidRPr="00313E82">
        <w:rPr>
          <w:rFonts w:eastAsia="Batang"/>
          <w:lang w:val="en-US"/>
        </w:rPr>
        <w:t>:</w:t>
      </w:r>
    </w:p>
    <w:p w:rsidR="00850225" w:rsidRPr="00C94556" w:rsidRDefault="00850225" w:rsidP="00B76953">
      <w:pPr>
        <w:ind w:left="709"/>
        <w:rPr>
          <w:lang w:val="en-US"/>
        </w:rPr>
      </w:pPr>
      <w:r w:rsidRPr="00C94556">
        <w:rPr>
          <w:lang w:val="en-US"/>
        </w:rPr>
        <w:t xml:space="preserve">As previously </w:t>
      </w:r>
      <w:r w:rsidR="005F3E6E">
        <w:rPr>
          <w:lang w:val="en-US"/>
        </w:rPr>
        <w:t>explained</w:t>
      </w:r>
      <w:r w:rsidRPr="00C94556">
        <w:rPr>
          <w:lang w:val="en-US"/>
        </w:rPr>
        <w:t xml:space="preserve">, </w:t>
      </w:r>
      <w:r w:rsidR="005F3E6E">
        <w:rPr>
          <w:lang w:val="en-US"/>
        </w:rPr>
        <w:t>v</w:t>
      </w:r>
      <w:r w:rsidR="005F3E6E" w:rsidRPr="00C94556">
        <w:rPr>
          <w:lang w:val="en-US"/>
        </w:rPr>
        <w:t>ariance</w:t>
      </w:r>
      <w:r w:rsidRPr="00C94556">
        <w:rPr>
          <w:lang w:val="en-US"/>
        </w:rPr>
        <w:t>-based sensitivity analysis</w:t>
      </w:r>
      <w:r w:rsidR="005F3E6E">
        <w:rPr>
          <w:lang w:val="en-US"/>
        </w:rPr>
        <w:t xml:space="preserve"> </w:t>
      </w:r>
      <w:r w:rsidRPr="00C94556">
        <w:rPr>
          <w:lang w:val="en-US"/>
        </w:rPr>
        <w:t>is a form of global sensitivity analysis.</w:t>
      </w:r>
      <w:r w:rsidR="005F3E6E">
        <w:rPr>
          <w:lang w:val="en-US"/>
        </w:rPr>
        <w:t xml:space="preserve"> </w:t>
      </w:r>
      <w:r w:rsidRPr="00C94556">
        <w:rPr>
          <w:lang w:val="en-US"/>
        </w:rPr>
        <w:t>Within a probabilistic framework, the variance</w:t>
      </w:r>
      <w:r w:rsidR="005F3E6E">
        <w:rPr>
          <w:lang w:val="en-US"/>
        </w:rPr>
        <w:t xml:space="preserve"> </w:t>
      </w:r>
      <w:r w:rsidRPr="00C94556">
        <w:rPr>
          <w:lang w:val="en-US"/>
        </w:rPr>
        <w:t>of the output of the model is decomposed into fractions which can be attributed to input variables or to sets of input variables, accounting for the contributions of their single and concurrent variations.</w:t>
      </w:r>
    </w:p>
    <w:p w:rsidR="00850225" w:rsidRPr="00C94556" w:rsidRDefault="00850225" w:rsidP="00B76953">
      <w:pPr>
        <w:ind w:left="709"/>
        <w:rPr>
          <w:lang w:val="en-US"/>
        </w:rPr>
      </w:pPr>
      <w:r w:rsidRPr="00C94556">
        <w:rPr>
          <w:rFonts w:eastAsia="Batang"/>
          <w:lang w:val="en-US"/>
        </w:rPr>
        <w:lastRenderedPageBreak/>
        <w:t>A number of applications have been developed</w:t>
      </w:r>
      <w:r w:rsidRPr="00C94556">
        <w:rPr>
          <w:lang w:val="en-US"/>
        </w:rPr>
        <w:t>, in a number of application fields. The validity of the approach, despite its limitations mainly regarding the use of normal distributions to represent uncertainty and the effort required for the computation of all order terms, is unquestionable.</w:t>
      </w:r>
    </w:p>
    <w:p w:rsidR="00850225" w:rsidRPr="00313E82" w:rsidRDefault="00850225">
      <w:pPr>
        <w:rPr>
          <w:rFonts w:eastAsia="Batang"/>
          <w:u w:val="single"/>
          <w:lang w:val="en-US"/>
        </w:rPr>
      </w:pPr>
      <w:r w:rsidRPr="00313E82">
        <w:rPr>
          <w:rFonts w:eastAsia="Batang"/>
          <w:u w:val="single"/>
          <w:lang w:val="en-US"/>
        </w:rPr>
        <w:t>Reliability &amp; Consistency:</w:t>
      </w:r>
    </w:p>
    <w:p w:rsidR="00850225" w:rsidRPr="00313E82" w:rsidRDefault="00850225" w:rsidP="00B76953">
      <w:pPr>
        <w:spacing w:before="120" w:line="360" w:lineRule="auto"/>
        <w:ind w:left="709"/>
        <w:rPr>
          <w:rFonts w:eastAsia="Batang"/>
          <w:lang w:val="en-US"/>
        </w:rPr>
      </w:pPr>
      <w:r w:rsidRPr="00313E82">
        <w:rPr>
          <w:rFonts w:eastAsia="Batang"/>
          <w:lang w:val="en-US"/>
        </w:rPr>
        <w:t xml:space="preserve">The </w:t>
      </w:r>
      <w:r w:rsidR="005F3E6E">
        <w:rPr>
          <w:lang w:val="en-US"/>
        </w:rPr>
        <w:t>v</w:t>
      </w:r>
      <w:r w:rsidR="005F3E6E" w:rsidRPr="00C94556">
        <w:rPr>
          <w:lang w:val="en-US"/>
        </w:rPr>
        <w:t>ariance</w:t>
      </w:r>
      <w:r w:rsidRPr="00C94556">
        <w:rPr>
          <w:lang w:val="en-US"/>
        </w:rPr>
        <w:t xml:space="preserve">-based </w:t>
      </w:r>
      <w:r w:rsidRPr="00313E82">
        <w:rPr>
          <w:rFonts w:eastAsia="Batang"/>
          <w:lang w:val="en-US"/>
        </w:rPr>
        <w:t>sensitivity indices are introduced consistently with the HDMR representation of the model output (</w:t>
      </w:r>
      <w:r w:rsidR="005F3E6E">
        <w:rPr>
          <w:rFonts w:eastAsia="Batang"/>
          <w:lang w:val="en-US"/>
        </w:rPr>
        <w:t>direct</w:t>
      </w:r>
      <w:r w:rsidR="005F3E6E" w:rsidRPr="00313E82">
        <w:rPr>
          <w:rFonts w:eastAsia="Batang"/>
          <w:lang w:val="en-US"/>
        </w:rPr>
        <w:t xml:space="preserve"> </w:t>
      </w:r>
      <w:r w:rsidRPr="00313E82">
        <w:rPr>
          <w:rFonts w:eastAsia="Batang"/>
          <w:lang w:val="en-US"/>
        </w:rPr>
        <w:t>risk measure) and then intrinsically recognize the presence of terms depending on a number of variables and then of interactions among them.</w:t>
      </w:r>
    </w:p>
    <w:p w:rsidR="00850225" w:rsidRPr="00C94556" w:rsidRDefault="00850225" w:rsidP="00B76953">
      <w:pPr>
        <w:ind w:left="709"/>
        <w:rPr>
          <w:lang w:val="en-US"/>
        </w:rPr>
      </w:pPr>
      <w:r w:rsidRPr="00C94556">
        <w:rPr>
          <w:lang w:val="en-US"/>
        </w:rPr>
        <w:t xml:space="preserve">Different </w:t>
      </w:r>
      <w:r w:rsidRPr="00313E82">
        <w:rPr>
          <w:rFonts w:eastAsia="Batang"/>
          <w:lang w:val="en-US"/>
        </w:rPr>
        <w:t xml:space="preserve">numerical </w:t>
      </w:r>
      <w:r w:rsidRPr="00C94556">
        <w:rPr>
          <w:lang w:val="en-US"/>
        </w:rPr>
        <w:t xml:space="preserve">approaches have been proposed for the computation of the Variance-based </w:t>
      </w:r>
      <w:r w:rsidRPr="00313E82">
        <w:rPr>
          <w:rFonts w:eastAsia="Batang"/>
          <w:lang w:val="en-US"/>
        </w:rPr>
        <w:t>sensitivity indices</w:t>
      </w:r>
      <w:r w:rsidRPr="00C94556">
        <w:rPr>
          <w:lang w:val="en-US"/>
        </w:rPr>
        <w:t>. Some discrepancies could exist in their numerical results. A calculation method which is not computationally suitable, although correct, can give incorrect results.</w:t>
      </w:r>
    </w:p>
    <w:p w:rsidR="00850225" w:rsidRPr="00313E82" w:rsidRDefault="00850225" w:rsidP="00262C82">
      <w:pPr>
        <w:ind w:left="709"/>
        <w:rPr>
          <w:rFonts w:eastAsia="Batang"/>
          <w:szCs w:val="18"/>
          <w:lang w:val="en-US"/>
        </w:rPr>
      </w:pPr>
      <w:r w:rsidRPr="00C94556">
        <w:rPr>
          <w:rFonts w:eastAsia="PMingLiU" w:cs="Arial"/>
          <w:bCs/>
          <w:szCs w:val="18"/>
          <w:lang w:val="en-US" w:bidi="th-TH"/>
        </w:rPr>
        <w:t>Methods for the uncertainty propagation and for the computation of the sensitivity indices include the solution of multi-dimensional integrals by sampling-based methods (Monte</w:t>
      </w:r>
      <w:r w:rsidR="005F3E6E">
        <w:rPr>
          <w:rFonts w:eastAsia="PMingLiU" w:cs="Arial"/>
          <w:bCs/>
          <w:szCs w:val="18"/>
          <w:lang w:val="en-US" w:bidi="th-TH"/>
        </w:rPr>
        <w:t xml:space="preserve"> </w:t>
      </w:r>
      <w:r w:rsidRPr="00C94556">
        <w:rPr>
          <w:rFonts w:eastAsia="PMingLiU" w:cs="Arial"/>
          <w:bCs/>
          <w:szCs w:val="18"/>
          <w:lang w:val="en-US" w:bidi="th-TH"/>
        </w:rPr>
        <w:t>Carlo or quasi-Monte</w:t>
      </w:r>
      <w:r w:rsidR="005F3E6E">
        <w:rPr>
          <w:rFonts w:eastAsia="PMingLiU" w:cs="Arial"/>
          <w:bCs/>
          <w:szCs w:val="18"/>
          <w:lang w:val="en-US" w:bidi="th-TH"/>
        </w:rPr>
        <w:t xml:space="preserve"> </w:t>
      </w:r>
      <w:r w:rsidRPr="00C94556">
        <w:rPr>
          <w:rFonts w:eastAsia="PMingLiU" w:cs="Arial"/>
          <w:bCs/>
          <w:szCs w:val="18"/>
          <w:lang w:val="en-US" w:bidi="th-TH"/>
        </w:rPr>
        <w:t xml:space="preserve">Carlo, Latin </w:t>
      </w:r>
      <w:r w:rsidR="005F3E6E">
        <w:rPr>
          <w:rFonts w:eastAsia="PMingLiU" w:cs="Arial"/>
          <w:bCs/>
          <w:szCs w:val="18"/>
          <w:lang w:val="en-US" w:bidi="th-TH"/>
        </w:rPr>
        <w:t>h</w:t>
      </w:r>
      <w:r w:rsidR="005F3E6E" w:rsidRPr="00C94556">
        <w:rPr>
          <w:rFonts w:eastAsia="PMingLiU" w:cs="Arial"/>
          <w:bCs/>
          <w:szCs w:val="18"/>
          <w:lang w:val="en-US" w:bidi="th-TH"/>
        </w:rPr>
        <w:t xml:space="preserve">ypercube </w:t>
      </w:r>
      <w:r w:rsidR="005F3E6E">
        <w:rPr>
          <w:rFonts w:eastAsia="PMingLiU" w:cs="Arial"/>
          <w:bCs/>
          <w:szCs w:val="18"/>
          <w:lang w:val="en-US" w:bidi="th-TH"/>
        </w:rPr>
        <w:t>s</w:t>
      </w:r>
      <w:r w:rsidR="005F3E6E" w:rsidRPr="00C94556">
        <w:rPr>
          <w:rFonts w:eastAsia="PMingLiU" w:cs="Arial"/>
          <w:bCs/>
          <w:szCs w:val="18"/>
          <w:lang w:val="en-US" w:bidi="th-TH"/>
        </w:rPr>
        <w:t>ampling</w:t>
      </w:r>
      <w:r w:rsidRPr="00C94556">
        <w:rPr>
          <w:rFonts w:eastAsia="PMingLiU" w:cs="Arial"/>
          <w:bCs/>
          <w:szCs w:val="18"/>
          <w:lang w:val="en-US" w:bidi="th-TH"/>
        </w:rPr>
        <w:t xml:space="preserve">) and the application of the Fourier transform on a space filling curve in the input space </w:t>
      </w:r>
      <w:r w:rsidR="00CD0CBE">
        <w:fldChar w:fldCharType="begin"/>
      </w:r>
      <w:r w:rsidR="00CD0CBE">
        <w:instrText xml:space="preserve"> REF _Ref391280843 \r \h  \* MERGEFORMAT </w:instrText>
      </w:r>
      <w:r w:rsidR="00CD0CBE">
        <w:fldChar w:fldCharType="separate"/>
      </w:r>
      <w:r w:rsidR="00B772CA" w:rsidRPr="00B772CA">
        <w:rPr>
          <w:rFonts w:eastAsia="PMingLiU" w:cs="Arial"/>
          <w:szCs w:val="18"/>
          <w:lang w:val="en-US" w:bidi="th-TH"/>
        </w:rPr>
        <w:t>[100]</w:t>
      </w:r>
      <w:r w:rsidR="00CD0CBE">
        <w:fldChar w:fldCharType="end"/>
      </w:r>
      <w:r w:rsidRPr="00C94556">
        <w:rPr>
          <w:rFonts w:eastAsia="PMingLiU" w:cs="Arial"/>
          <w:bCs/>
          <w:szCs w:val="18"/>
          <w:lang w:val="en-US" w:bidi="th-TH"/>
        </w:rPr>
        <w:t xml:space="preserve">, </w:t>
      </w:r>
      <w:r w:rsidR="00CD0CBE">
        <w:fldChar w:fldCharType="begin"/>
      </w:r>
      <w:r w:rsidR="00CD0CBE">
        <w:instrText xml:space="preserve"> REF _Ref428968153 \r \h  \* MERGEFORMAT </w:instrText>
      </w:r>
      <w:r w:rsidR="00CD0CBE">
        <w:fldChar w:fldCharType="separate"/>
      </w:r>
      <w:r w:rsidR="00B772CA" w:rsidRPr="00B772CA">
        <w:rPr>
          <w:rFonts w:eastAsia="PMingLiU" w:cs="Arial"/>
          <w:bCs/>
          <w:szCs w:val="18"/>
          <w:lang w:val="en-US" w:bidi="th-TH"/>
        </w:rPr>
        <w:t>[101]</w:t>
      </w:r>
      <w:r w:rsidR="00CD0CBE">
        <w:fldChar w:fldCharType="end"/>
      </w:r>
      <w:r w:rsidRPr="00C94556">
        <w:rPr>
          <w:rFonts w:cs="Arial"/>
          <w:szCs w:val="18"/>
          <w:lang w:val="en-US"/>
        </w:rPr>
        <w:t xml:space="preserve">. </w:t>
      </w:r>
      <w:r w:rsidRPr="00C94556">
        <w:rPr>
          <w:rFonts w:eastAsia="PMingLiU" w:cs="Arial"/>
          <w:bCs/>
          <w:szCs w:val="18"/>
          <w:lang w:val="en-US" w:bidi="th-TH"/>
        </w:rPr>
        <w:t xml:space="preserve">Sampling-based methods require the computation of the model output for different sets of values of the input variables. </w:t>
      </w:r>
      <w:r w:rsidRPr="00C94556">
        <w:rPr>
          <w:rFonts w:cs="Arial"/>
          <w:szCs w:val="18"/>
          <w:lang w:val="en-US"/>
        </w:rPr>
        <w:t xml:space="preserve">An efficient and parsimonious procedure can be adopted for the computation of the </w:t>
      </w:r>
      <w:r w:rsidR="005F3E6E">
        <w:rPr>
          <w:rFonts w:cs="Arial"/>
          <w:szCs w:val="18"/>
          <w:lang w:val="en-US"/>
        </w:rPr>
        <w:t>m</w:t>
      </w:r>
      <w:r w:rsidR="005F3E6E" w:rsidRPr="00C94556">
        <w:rPr>
          <w:rFonts w:cs="Arial"/>
          <w:szCs w:val="18"/>
          <w:lang w:val="en-US"/>
        </w:rPr>
        <w:t xml:space="preserve">ain </w:t>
      </w:r>
      <w:r w:rsidRPr="00C94556">
        <w:rPr>
          <w:rFonts w:cs="Arial"/>
          <w:szCs w:val="18"/>
          <w:lang w:val="en-US"/>
        </w:rPr>
        <w:t xml:space="preserve">and </w:t>
      </w:r>
      <w:r w:rsidR="005F3E6E">
        <w:rPr>
          <w:rFonts w:cs="Arial"/>
          <w:szCs w:val="18"/>
          <w:lang w:val="en-US"/>
        </w:rPr>
        <w:t>g</w:t>
      </w:r>
      <w:r w:rsidR="005F3E6E" w:rsidRPr="00C94556">
        <w:rPr>
          <w:rFonts w:cs="Arial"/>
          <w:szCs w:val="18"/>
          <w:lang w:val="en-US"/>
        </w:rPr>
        <w:t xml:space="preserve">lobal </w:t>
      </w:r>
      <w:r w:rsidR="005F3E6E">
        <w:rPr>
          <w:rFonts w:cs="Arial"/>
          <w:szCs w:val="18"/>
          <w:lang w:val="en-US"/>
        </w:rPr>
        <w:t>s</w:t>
      </w:r>
      <w:r w:rsidR="005F3E6E" w:rsidRPr="00C94556">
        <w:rPr>
          <w:rFonts w:cs="Arial"/>
          <w:szCs w:val="18"/>
          <w:lang w:val="en-US"/>
        </w:rPr>
        <w:t xml:space="preserve">ensitivity </w:t>
      </w:r>
      <w:r w:rsidRPr="00C94556">
        <w:rPr>
          <w:rFonts w:cs="Arial"/>
          <w:szCs w:val="18"/>
          <w:lang w:val="en-US"/>
        </w:rPr>
        <w:t xml:space="preserve">indices </w:t>
      </w:r>
      <w:r w:rsidR="009E768B" w:rsidRPr="00C94556">
        <w:rPr>
          <w:rFonts w:cs="Arial"/>
          <w:szCs w:val="18"/>
          <w:lang w:val="en-US"/>
        </w:rPr>
        <w:fldChar w:fldCharType="begin"/>
      </w:r>
      <w:r w:rsidRPr="00C94556">
        <w:rPr>
          <w:rFonts w:cs="Arial"/>
          <w:szCs w:val="18"/>
          <w:lang w:val="en-US"/>
        </w:rPr>
        <w:instrText xml:space="preserve"> REF _Ref432093842 \r \h </w:instrText>
      </w:r>
      <w:r w:rsidR="009E768B" w:rsidRPr="00C94556">
        <w:rPr>
          <w:rFonts w:cs="Arial"/>
          <w:szCs w:val="18"/>
          <w:lang w:val="en-US"/>
        </w:rPr>
      </w:r>
      <w:r w:rsidR="009E768B" w:rsidRPr="00C94556">
        <w:rPr>
          <w:rFonts w:cs="Arial"/>
          <w:szCs w:val="18"/>
          <w:lang w:val="en-US"/>
        </w:rPr>
        <w:fldChar w:fldCharType="separate"/>
      </w:r>
      <w:r w:rsidR="00B772CA">
        <w:rPr>
          <w:rFonts w:cs="Arial"/>
          <w:szCs w:val="18"/>
          <w:lang w:val="en-US"/>
        </w:rPr>
        <w:t>[102]</w:t>
      </w:r>
      <w:r w:rsidR="009E768B" w:rsidRPr="00C94556">
        <w:rPr>
          <w:rFonts w:cs="Arial"/>
          <w:szCs w:val="18"/>
          <w:lang w:val="en-US"/>
        </w:rPr>
        <w:fldChar w:fldCharType="end"/>
      </w:r>
      <w:r w:rsidRPr="00C94556">
        <w:rPr>
          <w:rFonts w:cs="Arial"/>
          <w:szCs w:val="18"/>
          <w:lang w:val="en-US"/>
        </w:rPr>
        <w:t xml:space="preserve">. </w:t>
      </w:r>
      <w:r w:rsidRPr="00313E82">
        <w:rPr>
          <w:rFonts w:eastAsia="Batang"/>
          <w:szCs w:val="18"/>
          <w:lang w:val="en-US"/>
        </w:rPr>
        <w:t xml:space="preserve">The Fourier amplitude sensitivity test (FAST) is more efficient than methods based on sampling techniques, although it is usually limited to the computation of the </w:t>
      </w:r>
      <w:r w:rsidR="005F3E6E">
        <w:rPr>
          <w:rFonts w:eastAsia="Batang"/>
          <w:szCs w:val="18"/>
          <w:lang w:val="en-US"/>
        </w:rPr>
        <w:t>m</w:t>
      </w:r>
      <w:r w:rsidR="005F3E6E" w:rsidRPr="00313E82">
        <w:rPr>
          <w:rFonts w:eastAsia="Batang"/>
          <w:szCs w:val="18"/>
          <w:lang w:val="en-US"/>
        </w:rPr>
        <w:t xml:space="preserve">ain </w:t>
      </w:r>
      <w:r w:rsidRPr="00313E82">
        <w:rPr>
          <w:rFonts w:eastAsia="Batang"/>
          <w:szCs w:val="18"/>
          <w:lang w:val="en-US"/>
        </w:rPr>
        <w:t xml:space="preserve">and </w:t>
      </w:r>
      <w:r w:rsidR="005F3E6E">
        <w:rPr>
          <w:rFonts w:eastAsia="Batang"/>
          <w:szCs w:val="18"/>
          <w:lang w:val="en-US"/>
        </w:rPr>
        <w:t>t</w:t>
      </w:r>
      <w:r w:rsidR="005F3E6E" w:rsidRPr="00313E82">
        <w:rPr>
          <w:rFonts w:eastAsia="Batang"/>
          <w:szCs w:val="18"/>
          <w:lang w:val="en-US"/>
        </w:rPr>
        <w:t xml:space="preserve">otal </w:t>
      </w:r>
      <w:r w:rsidRPr="00313E82">
        <w:rPr>
          <w:rFonts w:eastAsia="Batang"/>
          <w:szCs w:val="18"/>
          <w:lang w:val="en-US"/>
        </w:rPr>
        <w:t>effects</w:t>
      </w:r>
      <w:r w:rsidRPr="00313E82">
        <w:rPr>
          <w:rFonts w:eastAsia="Batang"/>
          <w:szCs w:val="18"/>
          <w:vertAlign w:val="superscript"/>
          <w:lang w:val="en-US"/>
        </w:rPr>
        <w:footnoteReference w:id="10"/>
      </w:r>
      <w:r w:rsidRPr="00313E82">
        <w:rPr>
          <w:rFonts w:eastAsia="Batang"/>
          <w:szCs w:val="18"/>
          <w:lang w:val="en-US"/>
        </w:rPr>
        <w:t>.</w:t>
      </w:r>
    </w:p>
    <w:p w:rsidR="00850225" w:rsidRPr="00313E82" w:rsidRDefault="00850225">
      <w:pPr>
        <w:rPr>
          <w:rFonts w:eastAsia="Batang"/>
          <w:lang w:val="en-US"/>
        </w:rPr>
      </w:pPr>
      <w:r w:rsidRPr="00313E82">
        <w:rPr>
          <w:rFonts w:eastAsia="Batang"/>
          <w:u w:val="single"/>
          <w:lang w:val="en-US"/>
        </w:rPr>
        <w:t>Risk aggregation properties</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t xml:space="preserve">The </w:t>
      </w:r>
      <w:r w:rsidR="005F3E6E">
        <w:rPr>
          <w:rFonts w:eastAsia="Batang"/>
          <w:lang w:val="en-US"/>
        </w:rPr>
        <w:t>v</w:t>
      </w:r>
      <w:r w:rsidR="005F3E6E" w:rsidRPr="00313E82">
        <w:rPr>
          <w:rFonts w:eastAsia="Batang"/>
          <w:lang w:val="en-US"/>
        </w:rPr>
        <w:t>ariance</w:t>
      </w:r>
      <w:r w:rsidRPr="00313E82">
        <w:rPr>
          <w:rFonts w:eastAsia="Batang"/>
          <w:lang w:val="en-US"/>
        </w:rPr>
        <w:t>-base sensitivity indices, being based on a representation of the model output which is a sum of terms depending on an increasing number of variables, are intrinsically additive.</w:t>
      </w:r>
    </w:p>
    <w:p w:rsidR="00850225" w:rsidRPr="00313E82" w:rsidRDefault="00850225" w:rsidP="00B76953">
      <w:pPr>
        <w:ind w:left="709"/>
        <w:rPr>
          <w:rFonts w:eastAsia="Batang"/>
          <w:lang w:val="en-US"/>
        </w:rPr>
      </w:pPr>
      <w:r w:rsidRPr="00313E82">
        <w:rPr>
          <w:rFonts w:eastAsia="Batang"/>
          <w:lang w:val="en-US"/>
        </w:rPr>
        <w:t xml:space="preserve">Rigorously, however, only the </w:t>
      </w:r>
      <w:r w:rsidR="005F3E6E">
        <w:rPr>
          <w:rFonts w:eastAsia="Batang"/>
          <w:lang w:val="en-US"/>
        </w:rPr>
        <w:t>m</w:t>
      </w:r>
      <w:r w:rsidR="005F3E6E" w:rsidRPr="00313E82">
        <w:rPr>
          <w:rFonts w:eastAsia="Batang"/>
          <w:lang w:val="en-US"/>
        </w:rPr>
        <w:t xml:space="preserve">ain </w:t>
      </w:r>
      <w:r w:rsidRPr="00313E82">
        <w:rPr>
          <w:rFonts w:eastAsia="Batang"/>
          <w:lang w:val="en-US"/>
        </w:rPr>
        <w:t>sensitivity index is an additive measure: the index for a group of variables (basic events probability or relevant parameters) is equal to the sum of indices computed for each one of them and can be estimated without additional evaluations of the model.</w:t>
      </w:r>
    </w:p>
    <w:p w:rsidR="00850225" w:rsidRPr="00313E82" w:rsidRDefault="005F3E6E" w:rsidP="00B76953">
      <w:pPr>
        <w:ind w:left="709"/>
        <w:rPr>
          <w:rFonts w:eastAsia="Batang"/>
          <w:lang w:val="en-US"/>
        </w:rPr>
      </w:pPr>
      <w:r>
        <w:rPr>
          <w:rFonts w:eastAsia="Batang"/>
          <w:lang w:val="en-US"/>
        </w:rPr>
        <w:t>Conversely</w:t>
      </w:r>
      <w:r w:rsidR="00850225" w:rsidRPr="00313E82">
        <w:rPr>
          <w:rFonts w:eastAsia="Batang"/>
          <w:lang w:val="en-US"/>
        </w:rPr>
        <w:t>, all the higher order indices for a group of variables cannot be estimated as sum of the measures computed for single or subgroups of variables, and requires further computations because new interactions terms are introduced.</w:t>
      </w:r>
    </w:p>
    <w:p w:rsidR="00850225" w:rsidRPr="00313E82" w:rsidRDefault="00850225" w:rsidP="00F545A6">
      <w:pPr>
        <w:keepNext/>
        <w:ind w:left="284" w:hanging="284"/>
        <w:rPr>
          <w:rFonts w:eastAsia="Batang"/>
          <w:lang w:val="en-US"/>
        </w:rPr>
      </w:pPr>
      <w:r w:rsidRPr="00313E82">
        <w:rPr>
          <w:rFonts w:eastAsia="Batang"/>
          <w:u w:val="single"/>
          <w:lang w:val="en-US"/>
        </w:rPr>
        <w:t>Understandability to the PSA community</w:t>
      </w:r>
      <w:r w:rsidRPr="00313E82">
        <w:rPr>
          <w:rFonts w:eastAsia="Batang"/>
          <w:lang w:val="en-US"/>
        </w:rPr>
        <w:t xml:space="preserve">: </w:t>
      </w:r>
    </w:p>
    <w:p w:rsidR="00850225" w:rsidRPr="00313E82" w:rsidRDefault="00850225" w:rsidP="00B76953">
      <w:pPr>
        <w:ind w:left="709"/>
        <w:rPr>
          <w:rFonts w:eastAsia="Batang"/>
          <w:lang w:val="en-US"/>
        </w:rPr>
      </w:pPr>
      <w:r w:rsidRPr="00313E82">
        <w:rPr>
          <w:rFonts w:eastAsia="Batang"/>
          <w:lang w:val="en-US"/>
        </w:rPr>
        <w:t xml:space="preserve">The </w:t>
      </w:r>
      <w:r w:rsidR="005F3E6E">
        <w:rPr>
          <w:rFonts w:eastAsia="Batang"/>
          <w:lang w:val="en-US"/>
        </w:rPr>
        <w:t>m</w:t>
      </w:r>
      <w:r w:rsidR="005F3E6E" w:rsidRPr="00313E82">
        <w:rPr>
          <w:rFonts w:eastAsia="Batang"/>
          <w:lang w:val="en-US"/>
        </w:rPr>
        <w:t xml:space="preserve">ain </w:t>
      </w:r>
      <w:r w:rsidRPr="00313E82">
        <w:rPr>
          <w:rFonts w:eastAsia="Batang"/>
          <w:lang w:val="en-US"/>
        </w:rPr>
        <w:t xml:space="preserve">sensitivity index </w:t>
      </w:r>
      <m:oMath>
        <m:sSub>
          <m:sSubPr>
            <m:ctrlPr>
              <w:rPr>
                <w:rFonts w:ascii="Cambria Math" w:eastAsia="Batang" w:hAnsi="Cambria Math"/>
                <w:lang w:val="en-US"/>
              </w:rPr>
            </m:ctrlPr>
          </m:sSubPr>
          <m:e>
            <m:r>
              <m:rPr>
                <m:sty m:val="p"/>
              </m:rPr>
              <w:rPr>
                <w:rFonts w:ascii="Cambria Math" w:eastAsia="Batang" w:hAnsi="Cambria Math"/>
                <w:lang w:val="en-US"/>
              </w:rPr>
              <m:t>S</m:t>
            </m:r>
          </m:e>
          <m:sub>
            <m:r>
              <m:rPr>
                <m:sty m:val="p"/>
              </m:rPr>
              <w:rPr>
                <w:rFonts w:ascii="Cambria Math" w:eastAsia="Batang" w:hAnsi="Cambria Math"/>
                <w:lang w:val="en-US"/>
              </w:rPr>
              <m:t>i</m:t>
            </m:r>
          </m:sub>
        </m:sSub>
        <m:r>
          <w:rPr>
            <w:rFonts w:ascii="Cambria Math" w:eastAsia="Batang" w:hAnsi="Cambria Math" w:hint="eastAsia"/>
            <w:lang w:val="en-US"/>
          </w:rPr>
          <m:t xml:space="preserve"> </m:t>
        </m:r>
      </m:oMath>
      <w:r w:rsidRPr="00313E82">
        <w:rPr>
          <w:rFonts w:eastAsia="Batang"/>
          <w:lang w:val="en-US"/>
        </w:rPr>
        <w:t xml:space="preserve"> has a clear interpretation, being the fraction of the variance on the primary risk measure that is “explained” by the variance of each individual input variable (i.e. the reduction of the variance on the model output when the input variable </w:t>
      </w:r>
      <w:r w:rsidRPr="00313E82">
        <w:rPr>
          <w:rFonts w:eastAsia="Batang"/>
          <w:i/>
          <w:lang w:val="en-US"/>
        </w:rPr>
        <w:t>i</w:t>
      </w:r>
      <w:r w:rsidRPr="00313E82">
        <w:rPr>
          <w:rFonts w:eastAsia="Batang"/>
          <w:lang w:val="en-US"/>
        </w:rPr>
        <w:t xml:space="preserve"> is fixed to its nominal value).</w:t>
      </w:r>
    </w:p>
    <w:p w:rsidR="00850225" w:rsidRPr="00C94556" w:rsidRDefault="00850225" w:rsidP="00B76953">
      <w:pPr>
        <w:spacing w:before="120" w:line="360" w:lineRule="auto"/>
        <w:ind w:left="709"/>
        <w:rPr>
          <w:rFonts w:cs="Arial"/>
          <w:szCs w:val="18"/>
          <w:lang w:val="en-US" w:eastAsia="it-IT"/>
        </w:rPr>
      </w:pPr>
      <w:r w:rsidRPr="00C94556">
        <w:rPr>
          <w:rFonts w:cs="Arial"/>
          <w:szCs w:val="18"/>
          <w:lang w:val="en-US" w:eastAsia="it-IT"/>
        </w:rPr>
        <w:t>It is useful to remark that the product between the</w:t>
      </w:r>
      <w:r w:rsidRPr="00C94556">
        <w:rPr>
          <w:lang w:val="en-US"/>
        </w:rPr>
        <w:t xml:space="preserve"> </w:t>
      </w:r>
      <w:r w:rsidRPr="00C94556">
        <w:rPr>
          <w:rFonts w:cs="Arial"/>
          <w:szCs w:val="18"/>
          <w:lang w:val="en-US" w:eastAsia="it-IT"/>
        </w:rPr>
        <w:t xml:space="preserve">square root of the </w:t>
      </w:r>
      <w:r w:rsidR="005F3E6E">
        <w:rPr>
          <w:rFonts w:cs="Arial"/>
          <w:szCs w:val="18"/>
          <w:lang w:val="en-US" w:eastAsia="it-IT"/>
        </w:rPr>
        <w:t>m</w:t>
      </w:r>
      <w:r w:rsidR="005F3E6E" w:rsidRPr="00C94556">
        <w:rPr>
          <w:rFonts w:cs="Arial"/>
          <w:szCs w:val="18"/>
          <w:lang w:val="en-US" w:eastAsia="it-IT"/>
        </w:rPr>
        <w:t xml:space="preserve">ain </w:t>
      </w:r>
      <w:r w:rsidRPr="00C94556">
        <w:rPr>
          <w:rFonts w:eastAsia="PMingLiU" w:cs="Arial"/>
          <w:bCs/>
          <w:szCs w:val="18"/>
          <w:lang w:val="en-US" w:bidi="th-TH"/>
        </w:rPr>
        <w:t xml:space="preserve">sensitivity index and the Birnbaum measure provides the </w:t>
      </w:r>
      <w:r w:rsidR="005F3E6E">
        <w:rPr>
          <w:rFonts w:eastAsia="PMingLiU" w:cs="Arial"/>
          <w:bCs/>
          <w:szCs w:val="18"/>
          <w:lang w:val="en-US" w:bidi="th-TH"/>
        </w:rPr>
        <w:t>s</w:t>
      </w:r>
      <w:r w:rsidR="005F3E6E" w:rsidRPr="00C94556">
        <w:rPr>
          <w:rFonts w:eastAsia="PMingLiU" w:cs="Arial"/>
          <w:bCs/>
          <w:szCs w:val="18"/>
          <w:lang w:val="en-US" w:bidi="th-TH"/>
        </w:rPr>
        <w:t>tandardized</w:t>
      </w:r>
      <w:r w:rsidR="005F3E6E" w:rsidRPr="00313E82">
        <w:rPr>
          <w:rFonts w:eastAsia="Batang"/>
          <w:lang w:val="en-US"/>
        </w:rPr>
        <w:t xml:space="preserve"> </w:t>
      </w:r>
      <w:r w:rsidRPr="00313E82">
        <w:rPr>
          <w:rFonts w:eastAsia="Batang"/>
          <w:lang w:val="en-US"/>
        </w:rPr>
        <w:t xml:space="preserve">regression coefficients introduced with the </w:t>
      </w:r>
      <w:r w:rsidR="005F3E6E">
        <w:rPr>
          <w:rFonts w:eastAsia="Batang"/>
          <w:lang w:val="en-US"/>
        </w:rPr>
        <w:t>l</w:t>
      </w:r>
      <w:r w:rsidR="005F3E6E" w:rsidRPr="00313E82">
        <w:rPr>
          <w:rFonts w:eastAsia="Batang"/>
          <w:lang w:val="en-US"/>
        </w:rPr>
        <w:t xml:space="preserve">inear </w:t>
      </w:r>
      <w:r w:rsidRPr="00313E82">
        <w:rPr>
          <w:rFonts w:eastAsia="Batang"/>
          <w:lang w:val="en-US"/>
        </w:rPr>
        <w:t>regression method.</w:t>
      </w:r>
    </w:p>
    <w:p w:rsidR="00850225" w:rsidRPr="00313E82" w:rsidRDefault="00850225" w:rsidP="00B76953">
      <w:pPr>
        <w:spacing w:before="120" w:line="360" w:lineRule="auto"/>
        <w:ind w:left="709"/>
        <w:rPr>
          <w:rFonts w:eastAsia="Batang"/>
          <w:lang w:val="en-US"/>
        </w:rPr>
      </w:pPr>
      <w:r w:rsidRPr="00C94556">
        <w:rPr>
          <w:rFonts w:cs="Arial"/>
          <w:szCs w:val="18"/>
          <w:lang w:val="en-US" w:eastAsia="it-IT"/>
        </w:rPr>
        <w:lastRenderedPageBreak/>
        <w:t>T</w:t>
      </w:r>
      <w:r w:rsidRPr="00313E82">
        <w:rPr>
          <w:rFonts w:eastAsia="Batang"/>
          <w:lang w:val="en-US"/>
        </w:rPr>
        <w:t xml:space="preserve">he quantity </w:t>
      </w:r>
      <m:oMath>
        <m:r>
          <m:rPr>
            <m:sty m:val="p"/>
          </m:rPr>
          <w:rPr>
            <w:rFonts w:ascii="Cambria Math" w:eastAsia="Batang" w:hAnsi="Cambria Math"/>
            <w:lang w:val="en-US"/>
          </w:rPr>
          <m:t>1-</m:t>
        </m:r>
        <m:nary>
          <m:naryPr>
            <m:chr m:val="∑"/>
            <m:limLoc m:val="undOvr"/>
            <m:subHide m:val="1"/>
            <m:supHide m:val="1"/>
            <m:ctrlPr>
              <w:rPr>
                <w:rFonts w:ascii="Cambria Math" w:eastAsia="Batang" w:hAnsi="Cambria Math"/>
                <w:lang w:val="en-US"/>
              </w:rPr>
            </m:ctrlPr>
          </m:naryPr>
          <m:sub/>
          <m:sup/>
          <m:e>
            <m:sSub>
              <m:sSubPr>
                <m:ctrlPr>
                  <w:rPr>
                    <w:rFonts w:ascii="Cambria Math" w:eastAsia="Batang" w:hAnsi="Cambria Math"/>
                    <w:lang w:val="en-US"/>
                  </w:rPr>
                </m:ctrlPr>
              </m:sSubPr>
              <m:e>
                <m:r>
                  <m:rPr>
                    <m:sty m:val="p"/>
                  </m:rPr>
                  <w:rPr>
                    <w:rFonts w:ascii="Cambria Math" w:eastAsia="Batang" w:hAnsi="Cambria Math"/>
                    <w:lang w:val="en-US"/>
                  </w:rPr>
                  <m:t>S</m:t>
                </m:r>
              </m:e>
              <m:sub>
                <m:r>
                  <m:rPr>
                    <m:sty m:val="p"/>
                  </m:rPr>
                  <w:rPr>
                    <w:rFonts w:ascii="Cambria Math" w:eastAsia="Batang" w:hAnsi="Cambria Math"/>
                    <w:lang w:val="en-US"/>
                  </w:rPr>
                  <m:t>i</m:t>
                </m:r>
              </m:sub>
            </m:sSub>
            <m:r>
              <m:rPr>
                <m:sty m:val="p"/>
              </m:rPr>
              <w:rPr>
                <w:rFonts w:ascii="Cambria Math" w:eastAsia="Batang" w:hAnsi="Cambria Math"/>
                <w:lang w:val="en-US"/>
              </w:rPr>
              <m:t xml:space="preserve"> </m:t>
            </m:r>
          </m:e>
        </m:nary>
      </m:oMath>
      <w:r w:rsidRPr="00313E82">
        <w:rPr>
          <w:rFonts w:eastAsia="Batang"/>
          <w:lang w:val="en-US"/>
        </w:rPr>
        <w:t xml:space="preserve">is the fraction of </w:t>
      </w:r>
      <m:oMath>
        <m:r>
          <w:rPr>
            <w:rFonts w:ascii="Cambria Math" w:eastAsia="Batang" w:hAnsi="Cambria Math"/>
            <w:lang w:val="en-US"/>
          </w:rPr>
          <m:t>V</m:t>
        </m:r>
      </m:oMath>
      <w:r w:rsidRPr="00313E82">
        <w:rPr>
          <w:rFonts w:eastAsia="Batang"/>
          <w:lang w:val="en-US"/>
        </w:rPr>
        <w:t xml:space="preserve"> “explained” by the “interactions” among all the input variables, in any number and combination, whose effects are manifested for the simultaneous changes of input variables and are not taken into account by the super-imposition of the effect due to the OAT changes of variables.</w:t>
      </w:r>
    </w:p>
    <w:p w:rsidR="00850225" w:rsidRPr="00313E82" w:rsidRDefault="00850225" w:rsidP="00B76953">
      <w:pPr>
        <w:spacing w:before="120" w:line="360" w:lineRule="auto"/>
        <w:ind w:left="709"/>
        <w:rPr>
          <w:rFonts w:eastAsia="Batang"/>
          <w:lang w:val="en-US"/>
        </w:rPr>
      </w:pPr>
      <w:r w:rsidRPr="00313E82">
        <w:rPr>
          <w:rFonts w:eastAsia="Batang"/>
          <w:lang w:val="en-US"/>
        </w:rPr>
        <w:t xml:space="preserve">The quantity </w:t>
      </w:r>
      <m:oMath>
        <m:sSubSup>
          <m:sSubSupPr>
            <m:ctrlPr>
              <w:rPr>
                <w:rFonts w:ascii="Cambria Math" w:eastAsia="Batang" w:hAnsi="Cambria Math"/>
                <w:i/>
                <w:lang w:val="en-US"/>
              </w:rPr>
            </m:ctrlPr>
          </m:sSubSupPr>
          <m:e>
            <m:r>
              <w:rPr>
                <w:rFonts w:ascii="Cambria Math" w:eastAsia="Batang" w:hAnsi="Cambria Math"/>
                <w:lang w:val="en-US"/>
              </w:rPr>
              <m:t>S</m:t>
            </m:r>
          </m:e>
          <m:sub>
            <m:r>
              <w:rPr>
                <w:rFonts w:ascii="Cambria Math" w:eastAsia="Batang" w:hAnsi="Cambria Math"/>
                <w:lang w:val="en-US"/>
              </w:rPr>
              <m:t>i</m:t>
            </m:r>
          </m:sub>
          <m:sup>
            <m:r>
              <w:rPr>
                <w:rFonts w:ascii="Cambria Math" w:eastAsia="Batang" w:hAnsi="Cambria Math"/>
                <w:lang w:val="en-US"/>
              </w:rPr>
              <m:t>T</m:t>
            </m:r>
          </m:sup>
        </m:sSubSup>
        <m:r>
          <w:rPr>
            <w:rFonts w:ascii="Cambria Math" w:eastAsia="Batang" w:hAnsi="Cambria Math"/>
            <w:lang w:val="en-US"/>
          </w:rPr>
          <m:t>-</m:t>
        </m:r>
        <m:sSub>
          <m:sSubPr>
            <m:ctrlPr>
              <w:rPr>
                <w:rFonts w:ascii="Cambria Math" w:eastAsia="Batang" w:hAnsi="Cambria Math"/>
                <w:i/>
                <w:lang w:val="en-US"/>
              </w:rPr>
            </m:ctrlPr>
          </m:sSubPr>
          <m:e>
            <m:r>
              <w:rPr>
                <w:rFonts w:ascii="Cambria Math" w:eastAsia="Batang" w:hAnsi="Cambria Math"/>
                <w:lang w:val="en-US"/>
              </w:rPr>
              <m:t>S</m:t>
            </m:r>
          </m:e>
          <m:sub>
            <m:r>
              <w:rPr>
                <w:rFonts w:ascii="Cambria Math" w:eastAsia="Batang" w:hAnsi="Cambria Math"/>
                <w:lang w:val="en-US"/>
              </w:rPr>
              <m:t>i</m:t>
            </m:r>
          </m:sub>
        </m:sSub>
      </m:oMath>
      <w:r w:rsidRPr="00313E82">
        <w:rPr>
          <w:rFonts w:eastAsia="Batang"/>
          <w:lang w:val="en-US"/>
        </w:rPr>
        <w:t xml:space="preserve"> is the fraction of the variance on the model output that is “explained” by the interactions between the given variable </w:t>
      </w:r>
      <w:r w:rsidRPr="00313E82">
        <w:rPr>
          <w:rFonts w:eastAsia="Batang"/>
          <w:i/>
          <w:lang w:val="en-US"/>
        </w:rPr>
        <w:t>i and all</w:t>
      </w:r>
      <w:r w:rsidRPr="00313E82">
        <w:rPr>
          <w:rFonts w:eastAsia="Batang"/>
          <w:lang w:val="en-US"/>
        </w:rPr>
        <w:t xml:space="preserve"> the remaining variables, in any number and combination.</w:t>
      </w:r>
    </w:p>
    <w:p w:rsidR="00850225" w:rsidRPr="00313E82" w:rsidRDefault="00850225" w:rsidP="00B76953">
      <w:pPr>
        <w:tabs>
          <w:tab w:val="left" w:pos="3119"/>
        </w:tabs>
        <w:ind w:left="709"/>
        <w:rPr>
          <w:rFonts w:eastAsia="Batang"/>
          <w:lang w:val="en-US"/>
        </w:rPr>
      </w:pPr>
      <w:r w:rsidRPr="00313E82">
        <w:rPr>
          <w:rFonts w:eastAsia="Batang"/>
          <w:lang w:val="en-US"/>
        </w:rPr>
        <w:t xml:space="preserve">The estimation of all Sobol </w:t>
      </w:r>
      <w:r w:rsidR="005F3E6E">
        <w:rPr>
          <w:rFonts w:eastAsia="Batang"/>
          <w:lang w:val="en-US"/>
        </w:rPr>
        <w:t>s</w:t>
      </w:r>
      <w:r w:rsidR="005F3E6E" w:rsidRPr="00313E82">
        <w:rPr>
          <w:rFonts w:eastAsia="Batang"/>
          <w:lang w:val="en-US"/>
        </w:rPr>
        <w:t xml:space="preserve">ensitivity </w:t>
      </w:r>
      <w:r w:rsidRPr="00313E82">
        <w:rPr>
          <w:rFonts w:eastAsia="Batang"/>
          <w:lang w:val="en-US"/>
        </w:rPr>
        <w:t xml:space="preserve">indices – if possible in spite of the required effort - provide an abundance of information which may be difficult to interpret. </w:t>
      </w:r>
      <w:r w:rsidR="005F3E6E">
        <w:rPr>
          <w:rFonts w:eastAsia="Batang"/>
          <w:lang w:val="en-US"/>
        </w:rPr>
        <w:t>Conversely</w:t>
      </w:r>
      <w:r w:rsidRPr="00313E82">
        <w:rPr>
          <w:rFonts w:eastAsia="Batang"/>
          <w:lang w:val="en-US"/>
        </w:rPr>
        <w:t xml:space="preserve">, they could be computed for a reduced number of variables suspected to have significant interactions with the other ones (having a high difference between the </w:t>
      </w:r>
      <w:r w:rsidR="005F3E6E">
        <w:rPr>
          <w:rFonts w:eastAsia="Batang"/>
          <w:lang w:val="en-US"/>
        </w:rPr>
        <w:t>g</w:t>
      </w:r>
      <w:r w:rsidR="005F3E6E" w:rsidRPr="00313E82">
        <w:rPr>
          <w:rFonts w:eastAsia="Batang"/>
          <w:lang w:val="en-US"/>
        </w:rPr>
        <w:t xml:space="preserve">lobal </w:t>
      </w:r>
      <w:r w:rsidR="005F3E6E">
        <w:rPr>
          <w:rFonts w:eastAsia="Batang"/>
          <w:lang w:val="en-US"/>
        </w:rPr>
        <w:t>s</w:t>
      </w:r>
      <w:r w:rsidR="005F3E6E" w:rsidRPr="00313E82">
        <w:rPr>
          <w:rFonts w:eastAsia="Batang"/>
          <w:lang w:val="en-US"/>
        </w:rPr>
        <w:t xml:space="preserve">ensitivity </w:t>
      </w:r>
      <w:r w:rsidR="005F3E6E">
        <w:rPr>
          <w:rFonts w:eastAsia="Batang"/>
          <w:lang w:val="en-US"/>
        </w:rPr>
        <w:t>i</w:t>
      </w:r>
      <w:r w:rsidR="005F3E6E" w:rsidRPr="00313E82">
        <w:rPr>
          <w:rFonts w:eastAsia="Batang"/>
          <w:lang w:val="en-US"/>
        </w:rPr>
        <w:t xml:space="preserve">ndex </w:t>
      </w:r>
      <w:r w:rsidRPr="00313E82">
        <w:rPr>
          <w:rFonts w:eastAsia="Batang"/>
          <w:lang w:val="en-US"/>
        </w:rPr>
        <w:t xml:space="preserve">and the </w:t>
      </w:r>
      <w:r w:rsidR="005F3E6E">
        <w:rPr>
          <w:rFonts w:eastAsia="Batang"/>
          <w:lang w:val="en-US"/>
        </w:rPr>
        <w:t>m</w:t>
      </w:r>
      <w:r w:rsidR="005F3E6E" w:rsidRPr="00313E82">
        <w:rPr>
          <w:rFonts w:eastAsia="Batang"/>
          <w:lang w:val="en-US"/>
        </w:rPr>
        <w:t xml:space="preserve">ain </w:t>
      </w:r>
      <w:r w:rsidR="005F3E6E">
        <w:rPr>
          <w:rFonts w:eastAsia="Batang"/>
          <w:lang w:val="en-US"/>
        </w:rPr>
        <w:t>s</w:t>
      </w:r>
      <w:r w:rsidR="005F3E6E" w:rsidRPr="00313E82">
        <w:rPr>
          <w:rFonts w:eastAsia="Batang"/>
          <w:lang w:val="en-US"/>
        </w:rPr>
        <w:t xml:space="preserve">ensitivity </w:t>
      </w:r>
      <w:r w:rsidR="005F3E6E">
        <w:rPr>
          <w:rFonts w:eastAsia="Batang"/>
          <w:lang w:val="en-US"/>
        </w:rPr>
        <w:t>i</w:t>
      </w:r>
      <w:r w:rsidR="005F3E6E" w:rsidRPr="00313E82">
        <w:rPr>
          <w:rFonts w:eastAsia="Batang"/>
          <w:lang w:val="en-US"/>
        </w:rPr>
        <w:t>ndex</w:t>
      </w:r>
      <w:r w:rsidRPr="00313E82">
        <w:rPr>
          <w:rFonts w:eastAsia="Batang"/>
          <w:lang w:val="en-US"/>
        </w:rPr>
        <w:t xml:space="preserve">), as </w:t>
      </w:r>
      <w:r w:rsidR="005F3E6E">
        <w:rPr>
          <w:rFonts w:eastAsia="Batang"/>
          <w:lang w:val="en-US"/>
        </w:rPr>
        <w:t xml:space="preserve">a </w:t>
      </w:r>
      <w:r w:rsidRPr="00313E82">
        <w:rPr>
          <w:rFonts w:eastAsia="Batang"/>
          <w:lang w:val="en-US"/>
        </w:rPr>
        <w:t>second</w:t>
      </w:r>
      <w:r w:rsidR="005F3E6E">
        <w:rPr>
          <w:rFonts w:eastAsia="Batang"/>
          <w:lang w:val="en-US"/>
        </w:rPr>
        <w:t xml:space="preserve"> </w:t>
      </w:r>
      <w:r w:rsidRPr="00313E82">
        <w:rPr>
          <w:rFonts w:eastAsia="Batang"/>
          <w:lang w:val="en-US"/>
        </w:rPr>
        <w:t>level of investigation.</w:t>
      </w:r>
    </w:p>
    <w:p w:rsidR="00850225" w:rsidRPr="00313E82" w:rsidRDefault="00850225" w:rsidP="00C94556">
      <w:pPr>
        <w:pStyle w:val="Titre3"/>
        <w:rPr>
          <w:rFonts w:eastAsia="Batang"/>
          <w:lang w:val="en-US"/>
        </w:rPr>
      </w:pPr>
      <w:bookmarkStart w:id="144" w:name="_Toc474430161"/>
      <w:r w:rsidRPr="00313E82">
        <w:rPr>
          <w:rFonts w:eastAsia="Batang"/>
          <w:lang w:val="en-US"/>
        </w:rPr>
        <w:t>Limitation</w:t>
      </w:r>
      <w:bookmarkEnd w:id="144"/>
    </w:p>
    <w:p w:rsidR="00850225" w:rsidRPr="00C94556" w:rsidRDefault="00850225">
      <w:pPr>
        <w:tabs>
          <w:tab w:val="left" w:pos="3119"/>
        </w:tabs>
        <w:rPr>
          <w:lang w:val="en-US"/>
        </w:rPr>
      </w:pPr>
      <w:r w:rsidRPr="00313E82">
        <w:rPr>
          <w:rFonts w:eastAsia="Batang"/>
          <w:lang w:val="en-US"/>
        </w:rPr>
        <w:t xml:space="preserve">A general limitation of the </w:t>
      </w:r>
      <w:r w:rsidR="005F3E6E">
        <w:rPr>
          <w:rFonts w:eastAsia="Batang"/>
          <w:lang w:val="en-US"/>
        </w:rPr>
        <w:t>v</w:t>
      </w:r>
      <w:r w:rsidR="005F3E6E" w:rsidRPr="00313E82">
        <w:rPr>
          <w:rFonts w:eastAsia="Batang"/>
          <w:lang w:val="en-US"/>
        </w:rPr>
        <w:t>ariance</w:t>
      </w:r>
      <w:r w:rsidRPr="00313E82">
        <w:rPr>
          <w:rFonts w:eastAsia="Batang"/>
          <w:lang w:val="en-US"/>
        </w:rPr>
        <w:t xml:space="preserve">-based approach for </w:t>
      </w:r>
      <w:r w:rsidR="005F3E6E">
        <w:rPr>
          <w:rFonts w:eastAsia="Batang"/>
          <w:lang w:val="en-US"/>
        </w:rPr>
        <w:t>s</w:t>
      </w:r>
      <w:r w:rsidR="005F3E6E" w:rsidRPr="00313E82">
        <w:rPr>
          <w:rFonts w:eastAsia="Batang"/>
          <w:lang w:val="en-US"/>
        </w:rPr>
        <w:t xml:space="preserve">ensitivity </w:t>
      </w:r>
      <w:r w:rsidRPr="00313E82">
        <w:rPr>
          <w:rFonts w:eastAsia="Batang"/>
          <w:lang w:val="en-US"/>
        </w:rPr>
        <w:t>analysis concerns the use of normal distribution to represent the uncertainty on the input variables, which could be not the optimal one. Indeed, it is generally recognized that log-normal distribution better represents the (epistemic) uncertainty, which should be associated to the basic parameters of the model.</w:t>
      </w:r>
    </w:p>
    <w:p w:rsidR="00850225" w:rsidRPr="00C94556" w:rsidRDefault="00850225">
      <w:pPr>
        <w:tabs>
          <w:tab w:val="left" w:pos="3119"/>
        </w:tabs>
        <w:rPr>
          <w:rFonts w:cs="Arial"/>
          <w:szCs w:val="18"/>
          <w:lang w:val="en-US"/>
        </w:rPr>
      </w:pPr>
      <w:r w:rsidRPr="00313E82">
        <w:rPr>
          <w:rFonts w:eastAsia="Batang"/>
          <w:lang w:val="en-US"/>
        </w:rPr>
        <w:t>Without</w:t>
      </w:r>
      <w:r w:rsidRPr="00C94556">
        <w:rPr>
          <w:rFonts w:cs="Arial"/>
          <w:szCs w:val="18"/>
          <w:lang w:val="en-US"/>
        </w:rPr>
        <w:t xml:space="preserve"> looking at computational cost, a brute force approach could be applied in order to compute all indices specified in the variance decomposition. Frequently for PSA applications it is computationally t</w:t>
      </w:r>
      <w:r w:rsidRPr="00C94556">
        <w:rPr>
          <w:szCs w:val="18"/>
          <w:lang w:val="en-US"/>
        </w:rPr>
        <w:t>o</w:t>
      </w:r>
      <w:r w:rsidRPr="00C94556">
        <w:rPr>
          <w:rFonts w:cs="Arial"/>
          <w:szCs w:val="18"/>
          <w:lang w:val="en-US"/>
        </w:rPr>
        <w:t xml:space="preserve">o onerous. </w:t>
      </w:r>
    </w:p>
    <w:p w:rsidR="00850225" w:rsidRPr="00C94556" w:rsidRDefault="00850225">
      <w:pPr>
        <w:widowControl w:val="0"/>
        <w:autoSpaceDE w:val="0"/>
        <w:autoSpaceDN w:val="0"/>
        <w:adjustRightInd w:val="0"/>
        <w:spacing w:before="120" w:line="360" w:lineRule="auto"/>
        <w:rPr>
          <w:rFonts w:cs="Arial"/>
          <w:szCs w:val="18"/>
          <w:lang w:val="en-US"/>
        </w:rPr>
      </w:pPr>
      <w:r w:rsidRPr="00313E82">
        <w:rPr>
          <w:rFonts w:eastAsia="Batang"/>
          <w:szCs w:val="18"/>
          <w:lang w:val="en-US"/>
        </w:rPr>
        <w:t>As already remarked, t</w:t>
      </w:r>
      <w:r w:rsidRPr="00C94556">
        <w:rPr>
          <w:rFonts w:cs="Arial"/>
          <w:szCs w:val="18"/>
          <w:lang w:val="en-US" w:eastAsia="it-IT"/>
        </w:rPr>
        <w:t xml:space="preserve">he knowledge of the </w:t>
      </w:r>
      <w:r w:rsidR="005F3E6E">
        <w:rPr>
          <w:rFonts w:cs="Arial"/>
          <w:szCs w:val="18"/>
          <w:lang w:val="en-US" w:eastAsia="it-IT"/>
        </w:rPr>
        <w:t>m</w:t>
      </w:r>
      <w:r w:rsidR="005F3E6E" w:rsidRPr="00C94556">
        <w:rPr>
          <w:rFonts w:cs="Arial"/>
          <w:szCs w:val="18"/>
          <w:lang w:val="en-US" w:eastAsia="it-IT"/>
        </w:rPr>
        <w:t xml:space="preserve">ain </w:t>
      </w:r>
      <w:r w:rsidRPr="00C94556">
        <w:rPr>
          <w:rFonts w:cs="Arial"/>
          <w:szCs w:val="18"/>
          <w:lang w:val="en-US" w:eastAsia="it-IT"/>
        </w:rPr>
        <w:t xml:space="preserve">and </w:t>
      </w:r>
      <w:r w:rsidR="005F3E6E">
        <w:rPr>
          <w:rFonts w:cs="Arial"/>
          <w:szCs w:val="18"/>
          <w:lang w:val="en-US" w:eastAsia="it-IT"/>
        </w:rPr>
        <w:t>g</w:t>
      </w:r>
      <w:r w:rsidR="005F3E6E" w:rsidRPr="00C94556">
        <w:rPr>
          <w:rFonts w:cs="Arial"/>
          <w:szCs w:val="18"/>
          <w:lang w:val="en-US" w:eastAsia="it-IT"/>
        </w:rPr>
        <w:t xml:space="preserve">lobal </w:t>
      </w:r>
      <w:r w:rsidRPr="00C94556">
        <w:rPr>
          <w:rFonts w:cs="Arial"/>
          <w:szCs w:val="18"/>
          <w:lang w:val="en-US" w:eastAsia="it-IT"/>
        </w:rPr>
        <w:t xml:space="preserve">sensitivity indices provides information on the local and global significance of single input variables and on the whole effects of its interactions with the remaining ones. As previously briefly introduced, different numerical methods have been proposed in order to improve the </w:t>
      </w:r>
      <w:r w:rsidRPr="00C94556">
        <w:rPr>
          <w:rFonts w:cs="Arial"/>
          <w:szCs w:val="18"/>
          <w:lang w:val="en-US"/>
        </w:rPr>
        <w:t>efficiency in the estimation of the sensitivity indices. Anyway, the computational effort required for the application of this approach to large models remains a main concern, suggesting its use when the non-linearity in the model are significant/dominant and secondary measures able to account for them are required.</w:t>
      </w:r>
    </w:p>
    <w:p w:rsidR="00850225" w:rsidRPr="00313E82" w:rsidRDefault="00850225" w:rsidP="00C94556">
      <w:pPr>
        <w:pStyle w:val="Titre3"/>
        <w:rPr>
          <w:rFonts w:eastAsia="Batang"/>
          <w:lang w:val="en-US"/>
        </w:rPr>
      </w:pPr>
      <w:bookmarkStart w:id="145" w:name="_Toc474430162"/>
      <w:r w:rsidRPr="00313E82">
        <w:rPr>
          <w:rFonts w:eastAsia="Batang"/>
          <w:lang w:val="en-US"/>
        </w:rPr>
        <w:t xml:space="preserve">ASAMPSA_E recommendation on </w:t>
      </w:r>
      <w:r w:rsidR="00AF3134" w:rsidRPr="00AF3134">
        <w:rPr>
          <w:rFonts w:eastAsia="Batang"/>
          <w:lang w:val="en-US"/>
        </w:rPr>
        <w:t>Variance Based approach for Sensitivity Measures</w:t>
      </w:r>
      <w:bookmarkEnd w:id="145"/>
    </w:p>
    <w:p w:rsidR="00850225" w:rsidRDefault="00A46C00">
      <w:pPr>
        <w:rPr>
          <w:rFonts w:eastAsia="Batang"/>
          <w:lang w:val="en-US"/>
        </w:rPr>
      </w:pPr>
      <w:r>
        <w:rPr>
          <w:rFonts w:eastAsia="Batang"/>
          <w:lang w:val="en-US"/>
        </w:rPr>
        <w:t>There are no specific recommendations on a harmonized definition.</w:t>
      </w:r>
    </w:p>
    <w:p w:rsidR="00EE400B" w:rsidRPr="00313E82" w:rsidRDefault="00EE400B" w:rsidP="00EE400B">
      <w:pPr>
        <w:pStyle w:val="Titre2"/>
        <w:rPr>
          <w:rFonts w:eastAsia="Batang"/>
          <w:lang w:val="en-US"/>
        </w:rPr>
      </w:pPr>
      <w:bookmarkStart w:id="146" w:name="_Toc474430163"/>
      <w:r w:rsidRPr="00313E82">
        <w:rPr>
          <w:rFonts w:eastAsia="Batang"/>
          <w:lang w:val="en-US"/>
        </w:rPr>
        <w:t>Qualitative Risk Measures</w:t>
      </w:r>
      <w:bookmarkEnd w:id="146"/>
    </w:p>
    <w:p w:rsidR="00EE400B" w:rsidRPr="00313E82" w:rsidRDefault="00EE400B" w:rsidP="00EE400B">
      <w:pPr>
        <w:rPr>
          <w:rFonts w:eastAsia="Batang"/>
          <w:lang w:val="en-US"/>
        </w:rPr>
      </w:pPr>
      <w:r w:rsidRPr="00313E82">
        <w:rPr>
          <w:rFonts w:eastAsia="Batang"/>
          <w:lang w:val="en-US"/>
        </w:rPr>
        <w:t>Two types of results are obtained in the PSA evaluation: qualitative and quantitative results. Qualitative results include:</w:t>
      </w:r>
    </w:p>
    <w:p w:rsidR="00EE400B" w:rsidRPr="00313E82" w:rsidRDefault="00EE400B" w:rsidP="00EE400B">
      <w:pPr>
        <w:rPr>
          <w:rFonts w:eastAsia="Batang"/>
          <w:lang w:val="en-US"/>
        </w:rPr>
      </w:pPr>
      <w:r w:rsidRPr="00313E82">
        <w:rPr>
          <w:rFonts w:eastAsia="Batang"/>
          <w:lang w:val="en-US"/>
        </w:rPr>
        <w:t>- Minimal cut sets (combinations of components failures causing system failure).</w:t>
      </w:r>
    </w:p>
    <w:p w:rsidR="00EE400B" w:rsidRPr="00313E82" w:rsidRDefault="00EE400B" w:rsidP="00EE400B">
      <w:pPr>
        <w:rPr>
          <w:rFonts w:eastAsia="Batang"/>
          <w:lang w:val="en-US"/>
        </w:rPr>
      </w:pPr>
      <w:r w:rsidRPr="00313E82">
        <w:rPr>
          <w:rFonts w:eastAsia="Batang"/>
          <w:lang w:val="en-US"/>
        </w:rPr>
        <w:t>- Qualitative importance (qualitative rankings of contributions to system failure).</w:t>
      </w:r>
    </w:p>
    <w:p w:rsidR="00EE400B" w:rsidRPr="00313E82" w:rsidRDefault="00EE400B" w:rsidP="00EE400B">
      <w:pPr>
        <w:rPr>
          <w:rFonts w:eastAsia="Batang"/>
          <w:lang w:val="en-US"/>
        </w:rPr>
      </w:pPr>
      <w:r w:rsidRPr="00313E82">
        <w:rPr>
          <w:rFonts w:eastAsia="Batang"/>
          <w:lang w:val="en-US"/>
        </w:rPr>
        <w:t>- Common cause potentials (Minimal cut sets potentially susceptible to a single failure cause).</w:t>
      </w:r>
    </w:p>
    <w:p w:rsidR="00EE400B" w:rsidRDefault="00EE400B" w:rsidP="00EE400B">
      <w:pPr>
        <w:rPr>
          <w:rFonts w:eastAsia="Batang"/>
          <w:lang w:val="en-US"/>
        </w:rPr>
      </w:pPr>
      <w:r w:rsidRPr="00313E82">
        <w:rPr>
          <w:rFonts w:eastAsia="Batang"/>
          <w:lang w:val="en-US"/>
        </w:rPr>
        <w:lastRenderedPageBreak/>
        <w:t>The minimal cut sets identify possible combinations of initiators and components or system failures that can result into an undesired state that can be core damage, release of radioactivity or some other predefined consequence analysed in the PSA.</w:t>
      </w:r>
    </w:p>
    <w:p w:rsidR="00EE400B" w:rsidRPr="00313E82" w:rsidRDefault="00EE400B" w:rsidP="00EE400B">
      <w:pPr>
        <w:rPr>
          <w:rFonts w:eastAsia="Batang"/>
          <w:lang w:val="en-US"/>
        </w:rPr>
      </w:pPr>
    </w:p>
    <w:p w:rsidR="00EE400B" w:rsidRDefault="00EE400B" w:rsidP="00EE400B">
      <w:pPr>
        <w:rPr>
          <w:rFonts w:eastAsia="Batang"/>
          <w:lang w:val="en-US"/>
        </w:rPr>
      </w:pPr>
      <w:r w:rsidRPr="00313E82">
        <w:rPr>
          <w:rFonts w:eastAsia="Batang"/>
          <w:lang w:val="en-US"/>
        </w:rPr>
        <w:t>The qualitative importance of the cut sets is identified by ordering the minimal cut sets according to their size (number of basic events in the set). Because the failure probabilities associated with the minimal cut sets often decrease by orders of the magnitude as the size of the cut set increases, the ranking according to size gives a gross indication of the importance of the minimal cut set. The identified minimal cut sets are screened in order to identify the minimal cut sets that are potentially susceptible to common cause failures resulting to larger risk of the analysed plant.</w:t>
      </w:r>
    </w:p>
    <w:p w:rsidR="00EE400B" w:rsidRPr="00313E82" w:rsidRDefault="00EE400B" w:rsidP="00EE400B">
      <w:pPr>
        <w:rPr>
          <w:rFonts w:eastAsia="Batang"/>
          <w:lang w:val="en-US"/>
        </w:rPr>
      </w:pPr>
    </w:p>
    <w:p w:rsidR="00EE400B" w:rsidRDefault="00EE400B" w:rsidP="00EE400B">
      <w:pPr>
        <w:rPr>
          <w:rFonts w:eastAsia="Batang"/>
          <w:lang w:val="en-US"/>
        </w:rPr>
      </w:pPr>
      <w:r w:rsidRPr="00313E82">
        <w:rPr>
          <w:rFonts w:eastAsia="Batang"/>
          <w:lang w:val="en-US"/>
        </w:rPr>
        <w:t xml:space="preserve">The qualitative importance measures are derived from the qualitative, logic structure of the PSA that includes the fault tree and event tree models </w:t>
      </w:r>
      <w:r w:rsidR="009E768B" w:rsidRPr="004D7C87">
        <w:rPr>
          <w:rFonts w:eastAsia="Batang"/>
          <w:lang w:val="en-US"/>
        </w:rPr>
        <w:fldChar w:fldCharType="begin"/>
      </w:r>
      <w:r w:rsidRPr="00313E82">
        <w:rPr>
          <w:rFonts w:eastAsia="Batang"/>
          <w:lang w:val="en-US"/>
        </w:rPr>
        <w:instrText xml:space="preserve"> REF _Ref300912550 \n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[80]</w:t>
      </w:r>
      <w:r w:rsidR="009E768B" w:rsidRPr="004D7C87">
        <w:rPr>
          <w:rFonts w:eastAsia="Batang"/>
          <w:lang w:val="en-US"/>
        </w:rPr>
        <w:fldChar w:fldCharType="end"/>
      </w:r>
      <w:r w:rsidRPr="00313E82">
        <w:rPr>
          <w:rFonts w:eastAsia="Batang"/>
          <w:lang w:val="en-US"/>
        </w:rPr>
        <w:t xml:space="preserve">. The qualitative importance measures include Barlow–Proschan importance </w:t>
      </w:r>
      <w:r w:rsidR="009E768B" w:rsidRPr="004D7C87">
        <w:rPr>
          <w:rFonts w:eastAsia="Batang"/>
          <w:lang w:val="en-US"/>
        </w:rPr>
        <w:fldChar w:fldCharType="begin"/>
      </w:r>
      <w:r w:rsidRPr="00313E82">
        <w:rPr>
          <w:rFonts w:eastAsia="Batang"/>
          <w:lang w:val="en-US"/>
        </w:rPr>
        <w:instrText xml:space="preserve"> REF _Ref300912604 \n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[81]</w:t>
      </w:r>
      <w:r w:rsidR="009E768B" w:rsidRPr="004D7C87">
        <w:rPr>
          <w:rFonts w:eastAsia="Batang"/>
          <w:lang w:val="en-US"/>
        </w:rPr>
        <w:fldChar w:fldCharType="end"/>
      </w:r>
      <w:r w:rsidRPr="00313E82">
        <w:rPr>
          <w:rFonts w:eastAsia="Batang"/>
          <w:lang w:val="en-US"/>
        </w:rPr>
        <w:t>, structure importance measures (</w:t>
      </w:r>
      <w:r w:rsidR="009E768B" w:rsidRPr="004D7C87">
        <w:rPr>
          <w:rFonts w:eastAsia="Batang"/>
          <w:lang w:val="en-US"/>
        </w:rPr>
        <w:fldChar w:fldCharType="begin"/>
      </w:r>
      <w:r w:rsidRPr="00313E82">
        <w:rPr>
          <w:rFonts w:eastAsia="Batang"/>
          <w:lang w:val="en-US"/>
        </w:rPr>
        <w:instrText xml:space="preserve"> REF _Ref300912607 \n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[82]</w:t>
      </w:r>
      <w:r w:rsidR="009E768B" w:rsidRPr="004D7C87">
        <w:rPr>
          <w:rFonts w:eastAsia="Batang"/>
          <w:lang w:val="en-US"/>
        </w:rPr>
        <w:fldChar w:fldCharType="end"/>
      </w:r>
      <w:r w:rsidRPr="00313E82">
        <w:rPr>
          <w:rFonts w:eastAsia="Batang"/>
          <w:lang w:val="en-US"/>
        </w:rPr>
        <w:t xml:space="preserve">, </w:t>
      </w:r>
      <w:r w:rsidR="009E768B" w:rsidRPr="004D7C87">
        <w:rPr>
          <w:rFonts w:eastAsia="Batang"/>
          <w:lang w:val="en-US"/>
        </w:rPr>
        <w:fldChar w:fldCharType="begin"/>
      </w:r>
      <w:r w:rsidRPr="00313E82">
        <w:rPr>
          <w:rFonts w:eastAsia="Batang"/>
          <w:lang w:val="en-US"/>
        </w:rPr>
        <w:instrText xml:space="preserve"> REF _Ref300912611 \n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[83]</w:t>
      </w:r>
      <w:r w:rsidR="009E768B" w:rsidRPr="004D7C87">
        <w:rPr>
          <w:rFonts w:eastAsia="Batang"/>
          <w:lang w:val="en-US"/>
        </w:rPr>
        <w:fldChar w:fldCharType="end"/>
      </w:r>
      <w:r w:rsidRPr="00313E82">
        <w:rPr>
          <w:rFonts w:eastAsia="Batang"/>
          <w:lang w:val="en-US"/>
        </w:rPr>
        <w:t>) and minimal cut set importance (</w:t>
      </w:r>
      <w:r w:rsidR="009E768B" w:rsidRPr="004D7C87">
        <w:rPr>
          <w:rFonts w:eastAsia="Batang"/>
          <w:lang w:val="en-US"/>
        </w:rPr>
        <w:fldChar w:fldCharType="begin"/>
      </w:r>
      <w:r w:rsidRPr="00313E82">
        <w:rPr>
          <w:rFonts w:eastAsia="Batang"/>
          <w:lang w:val="en-US"/>
        </w:rPr>
        <w:instrText xml:space="preserve"> REF _Ref300912614 \n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[84]</w:t>
      </w:r>
      <w:r w:rsidR="009E768B" w:rsidRPr="004D7C87">
        <w:rPr>
          <w:rFonts w:eastAsia="Batang"/>
          <w:lang w:val="en-US"/>
        </w:rPr>
        <w:fldChar w:fldCharType="end"/>
      </w:r>
      <w:r w:rsidRPr="00313E82">
        <w:rPr>
          <w:rFonts w:eastAsia="Batang"/>
          <w:lang w:val="en-US"/>
        </w:rPr>
        <w:t xml:space="preserve">, </w:t>
      </w:r>
      <w:r w:rsidR="009E768B" w:rsidRPr="004D7C87">
        <w:rPr>
          <w:rFonts w:eastAsia="Batang"/>
          <w:lang w:val="en-US"/>
        </w:rPr>
        <w:fldChar w:fldCharType="begin"/>
      </w:r>
      <w:r w:rsidRPr="00313E82">
        <w:rPr>
          <w:rFonts w:eastAsia="Batang"/>
          <w:lang w:val="en-US"/>
        </w:rPr>
        <w:instrText xml:space="preserve"> REF _Ref300912616 \n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[85]</w:t>
      </w:r>
      <w:r w:rsidR="009E768B" w:rsidRPr="004D7C87">
        <w:rPr>
          <w:rFonts w:eastAsia="Batang"/>
          <w:lang w:val="en-US"/>
        </w:rPr>
        <w:fldChar w:fldCharType="end"/>
      </w:r>
      <w:r w:rsidRPr="00313E82">
        <w:rPr>
          <w:rFonts w:eastAsia="Batang"/>
          <w:lang w:val="en-US"/>
        </w:rPr>
        <w:t>). Logic expression of the top event is required for assessment of these importance measures (</w:t>
      </w:r>
      <w:r w:rsidR="009E768B" w:rsidRPr="004D7C87">
        <w:rPr>
          <w:rFonts w:eastAsia="Batang"/>
          <w:lang w:val="en-US"/>
        </w:rPr>
        <w:fldChar w:fldCharType="begin"/>
      </w:r>
      <w:r w:rsidRPr="00313E82">
        <w:rPr>
          <w:rFonts w:eastAsia="Batang"/>
          <w:lang w:val="en-US"/>
        </w:rPr>
        <w:instrText xml:space="preserve"> REF _Ref300912619 \n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[86]</w:t>
      </w:r>
      <w:r w:rsidR="009E768B" w:rsidRPr="004D7C87">
        <w:rPr>
          <w:rFonts w:eastAsia="Batang"/>
          <w:lang w:val="en-US"/>
        </w:rPr>
        <w:fldChar w:fldCharType="end"/>
      </w:r>
      <w:r w:rsidRPr="00313E82">
        <w:rPr>
          <w:rFonts w:eastAsia="Batang"/>
          <w:lang w:val="en-US"/>
        </w:rPr>
        <w:t xml:space="preserve">, </w:t>
      </w:r>
      <w:r w:rsidR="009E768B" w:rsidRPr="004D7C87">
        <w:rPr>
          <w:rFonts w:eastAsia="Batang"/>
          <w:lang w:val="en-US"/>
        </w:rPr>
        <w:fldChar w:fldCharType="begin"/>
      </w:r>
      <w:r w:rsidRPr="00313E82">
        <w:rPr>
          <w:rFonts w:eastAsia="Batang"/>
          <w:lang w:val="en-US"/>
        </w:rPr>
        <w:instrText xml:space="preserve"> REF _Ref300912622 \n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[87]</w:t>
      </w:r>
      <w:r w:rsidR="009E768B" w:rsidRPr="004D7C87">
        <w:rPr>
          <w:rFonts w:eastAsia="Batang"/>
          <w:lang w:val="en-US"/>
        </w:rPr>
        <w:fldChar w:fldCharType="end"/>
      </w:r>
      <w:r w:rsidRPr="00313E82">
        <w:rPr>
          <w:rFonts w:eastAsia="Batang"/>
          <w:lang w:val="en-US"/>
        </w:rPr>
        <w:t>), limiting the applicability of these measures on real PSA models.</w:t>
      </w:r>
    </w:p>
    <w:p w:rsidR="00EE400B" w:rsidRPr="00313E82" w:rsidRDefault="00EE400B" w:rsidP="00EE400B">
      <w:pPr>
        <w:rPr>
          <w:rFonts w:eastAsia="Batang"/>
          <w:lang w:val="en-US"/>
        </w:rPr>
      </w:pPr>
    </w:p>
    <w:p w:rsidR="00EE400B" w:rsidRPr="00313E82" w:rsidRDefault="00EE400B" w:rsidP="00EE400B">
      <w:pPr>
        <w:rPr>
          <w:rFonts w:eastAsia="Batang"/>
          <w:lang w:val="en-US"/>
        </w:rPr>
      </w:pPr>
      <w:r w:rsidRPr="00313E82">
        <w:rPr>
          <w:rFonts w:eastAsia="Batang"/>
          <w:lang w:val="en-US"/>
        </w:rPr>
        <w:t xml:space="preserve">For the qualitative evaluations, the minimal cut sets are obtained by Boolean reduction of the analysed fault and event trees and application of the predefined truncation limits. Application of adequate truncation limits are necessary in order to obtain representative minimal cut sets considering the foreseen small probabilities of the initiating events in the extended PSA. </w:t>
      </w:r>
    </w:p>
    <w:p w:rsidR="00EE400B" w:rsidRPr="00313E82" w:rsidRDefault="00EE400B" w:rsidP="00EE400B">
      <w:pPr>
        <w:rPr>
          <w:rFonts w:eastAsia="Batang"/>
          <w:lang w:val="en-US"/>
        </w:rPr>
      </w:pPr>
    </w:p>
    <w:p w:rsidR="00EE400B" w:rsidRPr="00313E82" w:rsidRDefault="00EE400B" w:rsidP="00EE400B">
      <w:pPr>
        <w:jc w:val="left"/>
        <w:rPr>
          <w:lang w:val="en-US"/>
        </w:rPr>
      </w:pPr>
    </w:p>
    <w:p w:rsidR="00EE400B" w:rsidRDefault="00EE400B" w:rsidP="00EE400B">
      <w:pPr>
        <w:rPr>
          <w:lang w:val="en-US"/>
        </w:rPr>
      </w:pPr>
      <w:r>
        <w:rPr>
          <w:lang w:val="en-US"/>
        </w:rPr>
        <w:br w:type="page"/>
      </w:r>
    </w:p>
    <w:p w:rsidR="004C3F4E" w:rsidRDefault="004C3F4E" w:rsidP="00C94556">
      <w:pPr>
        <w:pStyle w:val="Titre2"/>
        <w:rPr>
          <w:rFonts w:eastAsia="Batang"/>
          <w:lang w:val="en-US"/>
        </w:rPr>
      </w:pPr>
      <w:bookmarkStart w:id="147" w:name="_Ref316897804"/>
      <w:bookmarkStart w:id="148" w:name="_Ref316897854"/>
      <w:bookmarkStart w:id="149" w:name="_Ref444002748"/>
      <w:bookmarkStart w:id="150" w:name="_Ref444026863"/>
      <w:bookmarkStart w:id="151" w:name="_Ref444072621"/>
      <w:bookmarkStart w:id="152" w:name="_Ref444075825"/>
      <w:bookmarkStart w:id="153" w:name="_Toc474430164"/>
      <w:r w:rsidRPr="00313E82">
        <w:rPr>
          <w:rFonts w:eastAsia="Batang"/>
          <w:lang w:val="en-US"/>
        </w:rPr>
        <w:lastRenderedPageBreak/>
        <w:t>Fuel Damage Frequency</w:t>
      </w:r>
      <w:bookmarkEnd w:id="85"/>
      <w:bookmarkEnd w:id="86"/>
      <w:r w:rsidR="00565CA2" w:rsidRPr="00313E82">
        <w:rPr>
          <w:rFonts w:eastAsia="Batang"/>
          <w:lang w:val="en-US"/>
        </w:rPr>
        <w:t xml:space="preserve"> (FDF)</w:t>
      </w:r>
      <w:bookmarkEnd w:id="87"/>
      <w:bookmarkEnd w:id="147"/>
      <w:bookmarkEnd w:id="148"/>
      <w:bookmarkEnd w:id="149"/>
      <w:bookmarkEnd w:id="150"/>
      <w:bookmarkEnd w:id="151"/>
      <w:bookmarkEnd w:id="152"/>
      <w:bookmarkEnd w:id="153"/>
    </w:p>
    <w:p w:rsidR="00C15FF8" w:rsidRPr="00C15FF8" w:rsidRDefault="00C15FF8" w:rsidP="00C94556">
      <w:pPr>
        <w:rPr>
          <w:rFonts w:eastAsia="Batang"/>
          <w:lang w:val="en-US"/>
        </w:rPr>
      </w:pPr>
      <w:r w:rsidRPr="00EE400B">
        <w:rPr>
          <w:rFonts w:eastAsia="Batang"/>
          <w:u w:val="single"/>
          <w:lang w:val="en-US"/>
        </w:rPr>
        <w:t>With the FDF risk measure, we return to the discussion of direct risk measures.</w:t>
      </w:r>
      <w:r>
        <w:rPr>
          <w:rFonts w:eastAsia="Batang"/>
          <w:lang w:val="en-US"/>
        </w:rPr>
        <w:t xml:space="preserve"> It should be noted that the secondary risk measures as presented in sections </w:t>
      </w:r>
      <w:r w:rsidR="009E768B">
        <w:rPr>
          <w:rFonts w:eastAsia="Batang"/>
          <w:lang w:val="en-US"/>
        </w:rPr>
        <w:fldChar w:fldCharType="begin"/>
      </w:r>
      <w:r>
        <w:rPr>
          <w:rFonts w:eastAsia="Batang"/>
          <w:lang w:val="en-US"/>
        </w:rPr>
        <w:instrText xml:space="preserve"> REF _Ref444000959 \r \h </w:instrText>
      </w:r>
      <w:r w:rsidR="009E768B">
        <w:rPr>
          <w:rFonts w:eastAsia="Batang"/>
          <w:lang w:val="en-US"/>
        </w:rPr>
      </w:r>
      <w:r w:rsidR="009E768B">
        <w:rPr>
          <w:rFonts w:eastAsia="Batang"/>
          <w:lang w:val="en-US"/>
        </w:rPr>
        <w:fldChar w:fldCharType="separate"/>
      </w:r>
      <w:r w:rsidR="00B772CA">
        <w:rPr>
          <w:rFonts w:eastAsia="Batang"/>
          <w:lang w:val="en-US"/>
        </w:rPr>
        <w:t>2.3</w:t>
      </w:r>
      <w:r w:rsidR="009E768B">
        <w:rPr>
          <w:rFonts w:eastAsia="Batang"/>
          <w:lang w:val="en-US"/>
        </w:rPr>
        <w:fldChar w:fldCharType="end"/>
      </w:r>
      <w:r>
        <w:rPr>
          <w:rFonts w:eastAsia="Batang"/>
          <w:lang w:val="en-US"/>
        </w:rPr>
        <w:t xml:space="preserve"> to </w:t>
      </w:r>
      <w:r w:rsidR="009E768B">
        <w:rPr>
          <w:rFonts w:eastAsia="Batang"/>
          <w:lang w:val="en-US"/>
        </w:rPr>
        <w:fldChar w:fldCharType="begin"/>
      </w:r>
      <w:r>
        <w:rPr>
          <w:rFonts w:eastAsia="Batang"/>
          <w:lang w:val="en-US"/>
        </w:rPr>
        <w:instrText xml:space="preserve"> REF _Ref306634958 \r \h </w:instrText>
      </w:r>
      <w:r w:rsidR="009E768B">
        <w:rPr>
          <w:rFonts w:eastAsia="Batang"/>
          <w:lang w:val="en-US"/>
        </w:rPr>
      </w:r>
      <w:r w:rsidR="009E768B">
        <w:rPr>
          <w:rFonts w:eastAsia="Batang"/>
          <w:lang w:val="en-US"/>
        </w:rPr>
        <w:fldChar w:fldCharType="separate"/>
      </w:r>
      <w:r w:rsidR="00B772CA">
        <w:rPr>
          <w:rFonts w:eastAsia="Batang"/>
          <w:lang w:val="en-US"/>
        </w:rPr>
        <w:t>2.10</w:t>
      </w:r>
      <w:r w:rsidR="009E768B">
        <w:rPr>
          <w:rFonts w:eastAsia="Batang"/>
          <w:lang w:val="en-US"/>
        </w:rPr>
        <w:fldChar w:fldCharType="end"/>
      </w:r>
      <w:r>
        <w:rPr>
          <w:rFonts w:eastAsia="Batang"/>
          <w:lang w:val="en-US"/>
        </w:rPr>
        <w:t xml:space="preserve"> can be defined in relation to any direct risk measure in principle. We therefore do not discuss their definition specific to the following direct risk measures. Moreover, each direct risk measure presented below can be sensibly defined both time dependent and as an average over time. For the respective discussion, </w:t>
      </w:r>
      <w:r w:rsidR="00F545A6">
        <w:rPr>
          <w:rFonts w:eastAsia="Batang"/>
          <w:lang w:val="en-US"/>
        </w:rPr>
        <w:t>see</w:t>
      </w:r>
      <w:r>
        <w:rPr>
          <w:rFonts w:eastAsia="Batang"/>
          <w:lang w:val="en-US"/>
        </w:rPr>
        <w:t xml:space="preserve"> sections </w:t>
      </w:r>
      <w:r w:rsidR="009E768B">
        <w:rPr>
          <w:rFonts w:eastAsia="Batang"/>
          <w:lang w:val="en-US"/>
        </w:rPr>
        <w:fldChar w:fldCharType="begin"/>
      </w:r>
      <w:r>
        <w:rPr>
          <w:rFonts w:eastAsia="Batang"/>
          <w:lang w:val="en-US"/>
        </w:rPr>
        <w:instrText xml:space="preserve"> REF _Ref418066270 \r \h </w:instrText>
      </w:r>
      <w:r w:rsidR="009E768B">
        <w:rPr>
          <w:rFonts w:eastAsia="Batang"/>
          <w:lang w:val="en-US"/>
        </w:rPr>
      </w:r>
      <w:r w:rsidR="009E768B">
        <w:rPr>
          <w:rFonts w:eastAsia="Batang"/>
          <w:lang w:val="en-US"/>
        </w:rPr>
        <w:fldChar w:fldCharType="separate"/>
      </w:r>
      <w:r w:rsidR="00B772CA">
        <w:rPr>
          <w:rFonts w:eastAsia="Batang"/>
          <w:lang w:val="en-US"/>
        </w:rPr>
        <w:t>2.1</w:t>
      </w:r>
      <w:r w:rsidR="009E768B">
        <w:rPr>
          <w:rFonts w:eastAsia="Batang"/>
          <w:lang w:val="en-US"/>
        </w:rPr>
        <w:fldChar w:fldCharType="end"/>
      </w:r>
      <w:r>
        <w:rPr>
          <w:rFonts w:eastAsia="Batang"/>
          <w:lang w:val="en-US"/>
        </w:rPr>
        <w:t xml:space="preserve"> and </w:t>
      </w:r>
      <w:r w:rsidR="009E768B">
        <w:rPr>
          <w:rFonts w:eastAsia="Batang"/>
          <w:lang w:val="en-US"/>
        </w:rPr>
        <w:fldChar w:fldCharType="begin"/>
      </w:r>
      <w:r>
        <w:rPr>
          <w:rFonts w:eastAsia="Batang"/>
          <w:lang w:val="en-US"/>
        </w:rPr>
        <w:instrText xml:space="preserve"> REF _Ref414021020 \r \h </w:instrText>
      </w:r>
      <w:r w:rsidR="009E768B">
        <w:rPr>
          <w:rFonts w:eastAsia="Batang"/>
          <w:lang w:val="en-US"/>
        </w:rPr>
      </w:r>
      <w:r w:rsidR="009E768B">
        <w:rPr>
          <w:rFonts w:eastAsia="Batang"/>
          <w:lang w:val="en-US"/>
        </w:rPr>
        <w:fldChar w:fldCharType="separate"/>
      </w:r>
      <w:r w:rsidR="00B772CA">
        <w:rPr>
          <w:rFonts w:eastAsia="Batang"/>
          <w:lang w:val="en-US"/>
        </w:rPr>
        <w:t>2.2</w:t>
      </w:r>
      <w:r w:rsidR="009E768B">
        <w:rPr>
          <w:rFonts w:eastAsia="Batang"/>
          <w:lang w:val="en-US"/>
        </w:rPr>
        <w:fldChar w:fldCharType="end"/>
      </w:r>
      <w:r>
        <w:rPr>
          <w:rFonts w:eastAsia="Batang"/>
          <w:lang w:val="en-US"/>
        </w:rPr>
        <w:t xml:space="preserve">. </w:t>
      </w:r>
    </w:p>
    <w:p w:rsidR="001B697D" w:rsidRPr="00313E82" w:rsidRDefault="001B697D" w:rsidP="00C94556">
      <w:pPr>
        <w:pStyle w:val="Titre3"/>
        <w:rPr>
          <w:rFonts w:eastAsia="Batang"/>
          <w:lang w:val="en-US"/>
        </w:rPr>
      </w:pPr>
      <w:bookmarkStart w:id="154" w:name="_Ref444076030"/>
      <w:bookmarkStart w:id="155" w:name="_Ref444076054"/>
      <w:bookmarkStart w:id="156" w:name="_Toc474430165"/>
      <w:r w:rsidRPr="00313E82">
        <w:rPr>
          <w:rFonts w:eastAsia="Batang"/>
          <w:lang w:val="en-US"/>
        </w:rPr>
        <w:t>Definition of Risk Measure</w:t>
      </w:r>
      <w:bookmarkEnd w:id="154"/>
      <w:bookmarkEnd w:id="155"/>
      <w:bookmarkEnd w:id="156"/>
    </w:p>
    <w:p w:rsidR="00391C54" w:rsidRPr="00313E82" w:rsidRDefault="00391C54">
      <w:pPr>
        <w:rPr>
          <w:rFonts w:eastAsia="Batang"/>
          <w:lang w:val="en-US"/>
        </w:rPr>
      </w:pPr>
      <w:r w:rsidRPr="00313E82">
        <w:rPr>
          <w:rFonts w:eastAsia="Batang"/>
          <w:u w:val="single"/>
          <w:lang w:val="en-US"/>
        </w:rPr>
        <w:t>Risk metric</w:t>
      </w:r>
      <w:r w:rsidRPr="00313E82">
        <w:rPr>
          <w:rFonts w:eastAsia="Batang"/>
          <w:lang w:val="en-US"/>
        </w:rPr>
        <w:t xml:space="preserve">: </w:t>
      </w:r>
    </w:p>
    <w:p w:rsidR="00CF076C" w:rsidRDefault="00391C54">
      <w:pPr>
        <w:rPr>
          <w:rFonts w:eastAsia="Batang"/>
          <w:lang w:val="en-US"/>
        </w:rPr>
      </w:pPr>
      <w:r w:rsidRPr="00313E82">
        <w:rPr>
          <w:rFonts w:eastAsia="Batang"/>
          <w:lang w:val="en-US"/>
        </w:rPr>
        <w:t>There are several definitions of the fuel damage state measure. Conceptually, the fuel damage state metric is either an extension of the core damage state metric or denotes a subset of core damage states at specific locations or operating conditions. According to the most comprehensive definition of a fuel damage state, this is understood as a loss of integrity of fuel elements on the site, which has the potential for a severe accident, i.e. a</w:t>
      </w:r>
      <w:r w:rsidR="00CF076C">
        <w:rPr>
          <w:rFonts w:eastAsia="Batang"/>
          <w:lang w:val="en-US"/>
        </w:rPr>
        <w:t>n accident-level</w:t>
      </w:r>
      <w:r w:rsidRPr="00313E82">
        <w:rPr>
          <w:rFonts w:eastAsia="Batang"/>
          <w:lang w:val="en-US"/>
        </w:rPr>
        <w:t xml:space="preserve"> release (cf. </w:t>
      </w:r>
      <w:r w:rsidR="00CF076C">
        <w:rPr>
          <w:rFonts w:eastAsia="Batang"/>
          <w:lang w:val="en-US"/>
        </w:rPr>
        <w:t xml:space="preserve">e.g. </w:t>
      </w:r>
      <w:r w:rsidRPr="00313E82">
        <w:rPr>
          <w:rFonts w:eastAsia="Batang"/>
          <w:lang w:val="en-US"/>
        </w:rPr>
        <w:t xml:space="preserve">section </w:t>
      </w:r>
      <w:r w:rsidR="009E768B" w:rsidRPr="007E0C24">
        <w:rPr>
          <w:rFonts w:eastAsia="Batang"/>
          <w:lang w:val="en-US"/>
        </w:rPr>
        <w:fldChar w:fldCharType="begin"/>
      </w:r>
      <w:r w:rsidRPr="00313E82">
        <w:rPr>
          <w:rFonts w:eastAsia="Batang"/>
          <w:lang w:val="en-US"/>
        </w:rPr>
        <w:instrText xml:space="preserve"> REF _Ref418001167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3.1</w:t>
      </w:r>
      <w:r w:rsidR="009E768B" w:rsidRPr="007E0C24">
        <w:rPr>
          <w:rFonts w:eastAsia="Batang"/>
          <w:lang w:val="en-US"/>
        </w:rPr>
        <w:fldChar w:fldCharType="end"/>
      </w:r>
      <w:r w:rsidRPr="00313E82">
        <w:rPr>
          <w:rFonts w:eastAsia="Batang"/>
          <w:lang w:val="en-US"/>
        </w:rPr>
        <w:t xml:space="preserve">). </w:t>
      </w:r>
    </w:p>
    <w:p w:rsidR="00391C54" w:rsidRPr="00313E82" w:rsidRDefault="00391C54">
      <w:pPr>
        <w:rPr>
          <w:rFonts w:eastAsia="Batang"/>
          <w:lang w:val="en-US"/>
        </w:rPr>
      </w:pPr>
      <w:r w:rsidRPr="00313E82">
        <w:rPr>
          <w:rFonts w:eastAsia="Batang"/>
          <w:lang w:val="en-US"/>
        </w:rPr>
        <w:t>Other definitions include</w:t>
      </w:r>
      <w:r w:rsidR="000F2505" w:rsidRPr="00313E82">
        <w:rPr>
          <w:rFonts w:eastAsia="Batang"/>
          <w:lang w:val="en-US"/>
        </w:rPr>
        <w:t>:</w:t>
      </w:r>
    </w:p>
    <w:p w:rsidR="00391C54" w:rsidRPr="00313E82" w:rsidRDefault="00F51878" w:rsidP="00741D3C">
      <w:pPr>
        <w:pStyle w:val="Paragraphedeliste"/>
        <w:numPr>
          <w:ilvl w:val="0"/>
          <w:numId w:val="25"/>
        </w:numPr>
        <w:rPr>
          <w:rFonts w:eastAsia="Batang"/>
          <w:lang w:val="en-US"/>
        </w:rPr>
      </w:pPr>
      <w:r w:rsidRPr="00313E82">
        <w:rPr>
          <w:rFonts w:eastAsia="Batang"/>
          <w:lang w:val="en-US"/>
        </w:rPr>
        <w:t xml:space="preserve">Heatup of the fuel or severe physical impact on the fuel, which lead to anticipated significant releases from the fuel located in the reactor vessel or in the spent fuel pool, if the initiating event happens during non-full-power-operation </w:t>
      </w:r>
      <w:r w:rsidR="009E768B" w:rsidRPr="007E0C24">
        <w:rPr>
          <w:rFonts w:eastAsia="Batang"/>
          <w:lang w:val="en-US"/>
        </w:rPr>
        <w:fldChar w:fldCharType="begin"/>
      </w:r>
      <w:r w:rsidRPr="00313E82">
        <w:rPr>
          <w:rFonts w:eastAsia="Batang"/>
          <w:lang w:val="en-US"/>
        </w:rPr>
        <w:instrText xml:space="preserve"> REF _Ref418516140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[74]</w:t>
      </w:r>
      <w:r w:rsidR="009E768B" w:rsidRPr="007E0C24">
        <w:rPr>
          <w:rFonts w:eastAsia="Batang"/>
          <w:lang w:val="en-US"/>
        </w:rPr>
        <w:fldChar w:fldCharType="end"/>
      </w:r>
      <w:r w:rsidRPr="00313E82">
        <w:rPr>
          <w:rFonts w:eastAsia="Batang"/>
          <w:lang w:val="en-US"/>
        </w:rPr>
        <w:t>,</w:t>
      </w:r>
    </w:p>
    <w:p w:rsidR="00F51878" w:rsidRPr="00313E82" w:rsidRDefault="00A4604E" w:rsidP="00741D3C">
      <w:pPr>
        <w:pStyle w:val="Paragraphedeliste"/>
        <w:numPr>
          <w:ilvl w:val="0"/>
          <w:numId w:val="25"/>
        </w:numPr>
        <w:rPr>
          <w:rFonts w:eastAsia="Batang"/>
          <w:lang w:val="en-US"/>
        </w:rPr>
      </w:pPr>
      <w:r w:rsidRPr="00313E82">
        <w:rPr>
          <w:rFonts w:eastAsia="Batang"/>
          <w:lang w:val="en-US"/>
        </w:rPr>
        <w:t xml:space="preserve">Loss of structural integrity of fuel elements in the spent fuel pool, understood as a subset of the core damage state. </w:t>
      </w:r>
      <w:r w:rsidR="009E768B" w:rsidRPr="007E0C24">
        <w:rPr>
          <w:rFonts w:eastAsia="Batang"/>
          <w:lang w:val="en-US"/>
        </w:rPr>
        <w:fldChar w:fldCharType="begin"/>
      </w:r>
      <w:r w:rsidR="00B40B0F" w:rsidRPr="00313E82">
        <w:rPr>
          <w:rFonts w:eastAsia="Batang"/>
          <w:lang w:val="en-US"/>
        </w:rPr>
        <w:instrText xml:space="preserve"> REF _Ref418516981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[75]</w:t>
      </w:r>
      <w:r w:rsidR="009E768B" w:rsidRPr="007E0C24">
        <w:rPr>
          <w:rFonts w:eastAsia="Batang"/>
          <w:lang w:val="en-US"/>
        </w:rPr>
        <w:fldChar w:fldCharType="end"/>
      </w:r>
      <w:r w:rsidR="006159C7" w:rsidRPr="00313E82">
        <w:rPr>
          <w:rFonts w:eastAsia="Batang"/>
          <w:lang w:val="en-US"/>
        </w:rPr>
        <w:t>.</w:t>
      </w:r>
    </w:p>
    <w:p w:rsidR="00391C54" w:rsidRDefault="00B40B0F" w:rsidP="00741D3C">
      <w:pPr>
        <w:rPr>
          <w:rFonts w:eastAsia="Batang"/>
          <w:lang w:val="en-US"/>
        </w:rPr>
      </w:pPr>
      <w:r w:rsidRPr="00313E82">
        <w:rPr>
          <w:rFonts w:eastAsia="Batang"/>
          <w:lang w:val="en-US"/>
        </w:rPr>
        <w:t xml:space="preserve">Apart from the Swiss regulator ENSI </w:t>
      </w:r>
      <w:r w:rsidR="009E768B" w:rsidRPr="007E0C24">
        <w:rPr>
          <w:rFonts w:eastAsia="Batang"/>
          <w:lang w:val="en-US"/>
        </w:rPr>
        <w:fldChar w:fldCharType="begin"/>
      </w:r>
      <w:r w:rsidRPr="00313E82">
        <w:rPr>
          <w:rFonts w:eastAsia="Batang"/>
          <w:lang w:val="en-US"/>
        </w:rPr>
        <w:instrText xml:space="preserve"> REF _Ref418516140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[74]</w:t>
      </w:r>
      <w:r w:rsidR="009E768B" w:rsidRPr="007E0C24">
        <w:rPr>
          <w:rFonts w:eastAsia="Batang"/>
          <w:lang w:val="en-US"/>
        </w:rPr>
        <w:fldChar w:fldCharType="end"/>
      </w:r>
      <w:r w:rsidRPr="00313E82">
        <w:rPr>
          <w:rFonts w:eastAsia="Batang"/>
          <w:lang w:val="en-US"/>
        </w:rPr>
        <w:t>, no other regulators have specifically defined a fuel damage state. Usually</w:t>
      </w:r>
      <w:r w:rsidR="00484CC8" w:rsidRPr="00313E82">
        <w:rPr>
          <w:rFonts w:eastAsia="Batang"/>
          <w:lang w:val="en-US"/>
        </w:rPr>
        <w:t>, end states designated as fuel damage states are included as “core damage” state into the CDF for a (low-power and shutdown</w:t>
      </w:r>
      <w:r w:rsidR="00F56882">
        <w:rPr>
          <w:rFonts w:eastAsia="Batang"/>
          <w:lang w:val="en-US"/>
        </w:rPr>
        <w:t xml:space="preserve">, </w:t>
      </w:r>
      <w:r w:rsidR="00484CC8" w:rsidRPr="00313E82">
        <w:rPr>
          <w:rFonts w:eastAsia="Batang"/>
          <w:lang w:val="en-US"/>
        </w:rPr>
        <w:t>LPSD) PSA</w:t>
      </w:r>
      <w:r w:rsidRPr="00313E82">
        <w:rPr>
          <w:rFonts w:eastAsia="Batang"/>
          <w:lang w:val="en-US"/>
        </w:rPr>
        <w:t xml:space="preserve"> </w:t>
      </w:r>
      <w:r w:rsidR="00484CC8" w:rsidRPr="00313E82">
        <w:rPr>
          <w:rFonts w:eastAsia="Batang"/>
          <w:lang w:val="en-US"/>
        </w:rPr>
        <w:t>or a PSA for the spent-fuel pool (SFP</w:t>
      </w:r>
      <w:r w:rsidR="0062499A">
        <w:rPr>
          <w:rFonts w:eastAsia="Batang"/>
          <w:lang w:val="en-US"/>
        </w:rPr>
        <w:t xml:space="preserve">, see section </w:t>
      </w:r>
      <w:r w:rsidR="009E768B">
        <w:rPr>
          <w:rFonts w:eastAsia="Batang"/>
          <w:lang w:val="en-US"/>
        </w:rPr>
        <w:fldChar w:fldCharType="begin"/>
      </w:r>
      <w:r w:rsidR="0062499A">
        <w:rPr>
          <w:rFonts w:eastAsia="Batang"/>
          <w:lang w:val="en-US"/>
        </w:rPr>
        <w:instrText xml:space="preserve"> REF _Ref444077558 \r \h </w:instrText>
      </w:r>
      <w:r w:rsidR="009E768B">
        <w:rPr>
          <w:rFonts w:eastAsia="Batang"/>
          <w:lang w:val="en-US"/>
        </w:rPr>
      </w:r>
      <w:r w:rsidR="009E768B">
        <w:rPr>
          <w:rFonts w:eastAsia="Batang"/>
          <w:lang w:val="en-US"/>
        </w:rPr>
        <w:fldChar w:fldCharType="separate"/>
      </w:r>
      <w:r w:rsidR="00B772CA">
        <w:rPr>
          <w:rFonts w:eastAsia="Batang"/>
          <w:lang w:val="en-US"/>
        </w:rPr>
        <w:t>2.16</w:t>
      </w:r>
      <w:r w:rsidR="009E768B">
        <w:rPr>
          <w:rFonts w:eastAsia="Batang"/>
          <w:lang w:val="en-US"/>
        </w:rPr>
        <w:fldChar w:fldCharType="end"/>
      </w:r>
      <w:r w:rsidR="00484CC8" w:rsidRPr="00313E82">
        <w:rPr>
          <w:rFonts w:eastAsia="Batang"/>
          <w:lang w:val="en-US"/>
        </w:rPr>
        <w:t xml:space="preserve">). </w:t>
      </w:r>
    </w:p>
    <w:p w:rsidR="00360961" w:rsidRPr="00313E82" w:rsidRDefault="00360961">
      <w:pPr>
        <w:rPr>
          <w:rFonts w:eastAsia="Batang"/>
          <w:lang w:val="en-US"/>
        </w:rPr>
      </w:pPr>
    </w:p>
    <w:p w:rsidR="00391C54" w:rsidRPr="00313E82" w:rsidRDefault="00391C54">
      <w:pPr>
        <w:rPr>
          <w:rFonts w:eastAsia="Batang"/>
          <w:lang w:val="en-US"/>
        </w:rPr>
      </w:pPr>
      <w:r w:rsidRPr="00313E82">
        <w:rPr>
          <w:rFonts w:eastAsia="Batang"/>
          <w:u w:val="single"/>
          <w:lang w:val="en-US"/>
        </w:rPr>
        <w:t>Risk measure</w:t>
      </w:r>
      <w:r w:rsidRPr="00313E82">
        <w:rPr>
          <w:rFonts w:eastAsia="Batang"/>
          <w:lang w:val="en-US"/>
        </w:rPr>
        <w:t xml:space="preserve">: </w:t>
      </w:r>
    </w:p>
    <w:p w:rsidR="00391C54" w:rsidRPr="00313E82" w:rsidRDefault="00391C54">
      <w:pPr>
        <w:rPr>
          <w:rFonts w:eastAsia="Batang"/>
          <w:lang w:val="en-US"/>
        </w:rPr>
      </w:pPr>
      <w:r w:rsidRPr="00313E82">
        <w:rPr>
          <w:rFonts w:eastAsia="Batang"/>
          <w:lang w:val="en-US"/>
        </w:rPr>
        <w:t>Irrespective of the specific definition of the fuel damage metric, the quantification of the FDF is always done with the direct frequency (or probability) of the sequence in the risk model</w:t>
      </w:r>
      <w:r w:rsidR="00684C77" w:rsidRPr="00313E82">
        <w:rPr>
          <w:rFonts w:eastAsia="Batang"/>
          <w:lang w:val="en-US"/>
        </w:rPr>
        <w:t>, i.e. it assigns</w:t>
      </w:r>
      <w:r w:rsidRPr="00313E82">
        <w:rPr>
          <w:rFonts w:eastAsia="Batang"/>
          <w:lang w:val="en-US"/>
        </w:rPr>
        <w:t xml:space="preserve"> </w:t>
      </w:r>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rFonts w:eastAsia="Batang"/>
          <w:lang w:val="en-US"/>
        </w:rPr>
        <w:t xml:space="preserve"> to the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rFonts w:eastAsia="Batang"/>
          <w:lang w:val="en-US"/>
        </w:rPr>
        <w:t xml:space="preserve">. For more discussion, see section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w:t>
      </w:r>
    </w:p>
    <w:p w:rsidR="00565CA2" w:rsidRPr="00313E82" w:rsidRDefault="00565CA2">
      <w:pPr>
        <w:rPr>
          <w:rFonts w:eastAsia="Batang"/>
          <w:lang w:val="en-US"/>
        </w:rPr>
      </w:pPr>
      <w:r w:rsidRPr="00313E82">
        <w:rPr>
          <w:rFonts w:eastAsia="Batang"/>
          <w:lang w:val="en-US"/>
        </w:rPr>
        <w:t xml:space="preserve">It should be noted that there are two versions of Fuel Damage Frequency, i.e. FDF, time average, and FDF, time dependent. The relationship between these two versions is the same as for CDF, time average, and CDF, time dependent. The respective discussion in sections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xml:space="preserve"> and </w:t>
      </w:r>
      <w:r w:rsidR="009E768B">
        <w:rPr>
          <w:rFonts w:eastAsia="Batang"/>
          <w:lang w:val="en-US"/>
        </w:rPr>
        <w:fldChar w:fldCharType="begin"/>
      </w:r>
      <w:r w:rsidR="00CF076C">
        <w:rPr>
          <w:rFonts w:eastAsia="Batang"/>
          <w:lang w:val="en-US"/>
        </w:rPr>
        <w:instrText xml:space="preserve"> REF _Ref414021020 \r \h </w:instrText>
      </w:r>
      <w:r w:rsidR="009E768B">
        <w:rPr>
          <w:rFonts w:eastAsia="Batang"/>
          <w:lang w:val="en-US"/>
        </w:rPr>
      </w:r>
      <w:r w:rsidR="009E768B">
        <w:rPr>
          <w:rFonts w:eastAsia="Batang"/>
          <w:lang w:val="en-US"/>
        </w:rPr>
        <w:fldChar w:fldCharType="separate"/>
      </w:r>
      <w:r w:rsidR="00B772CA">
        <w:rPr>
          <w:rFonts w:eastAsia="Batang"/>
          <w:lang w:val="en-US"/>
        </w:rPr>
        <w:t>2.2</w:t>
      </w:r>
      <w:r w:rsidR="009E768B">
        <w:rPr>
          <w:rFonts w:eastAsia="Batang"/>
          <w:lang w:val="en-US"/>
        </w:rPr>
        <w:fldChar w:fldCharType="end"/>
      </w:r>
      <w:r w:rsidRPr="00313E82">
        <w:rPr>
          <w:rFonts w:eastAsia="Batang"/>
          <w:lang w:val="en-US"/>
        </w:rPr>
        <w:t xml:space="preserve"> apply. For simplicity, both versions will be treated in this section. </w:t>
      </w:r>
    </w:p>
    <w:p w:rsidR="00391C54" w:rsidRPr="00313E82" w:rsidRDefault="00391C54">
      <w:pPr>
        <w:rPr>
          <w:rFonts w:eastAsia="Batang"/>
          <w:lang w:val="en-US"/>
        </w:rPr>
      </w:pPr>
    </w:p>
    <w:p w:rsidR="00391C54" w:rsidRPr="00313E82" w:rsidRDefault="00391C54">
      <w:pPr>
        <w:rPr>
          <w:rFonts w:eastAsia="Batang"/>
          <w:u w:val="single"/>
          <w:lang w:val="en-US"/>
        </w:rPr>
      </w:pPr>
      <w:r w:rsidRPr="00313E82">
        <w:rPr>
          <w:rFonts w:eastAsia="Batang"/>
          <w:u w:val="single"/>
          <w:lang w:val="en-US"/>
        </w:rPr>
        <w:t xml:space="preserve">Use of uncertainty distributions: </w:t>
      </w:r>
    </w:p>
    <w:p w:rsidR="00391C54" w:rsidRPr="00313E82" w:rsidRDefault="00391C54">
      <w:pPr>
        <w:rPr>
          <w:rFonts w:eastAsia="Batang"/>
          <w:lang w:val="en-US"/>
        </w:rPr>
      </w:pPr>
      <w:r w:rsidRPr="00313E82">
        <w:rPr>
          <w:rFonts w:eastAsia="Batang"/>
          <w:lang w:val="en-US"/>
        </w:rPr>
        <w:t xml:space="preserve">The FDF measure </w:t>
      </w:r>
      <m:oMath>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FDF</m:t>
            </m:r>
          </m:sub>
        </m:sSub>
        <m:r>
          <w:rPr>
            <w:rFonts w:ascii="Cambria Math" w:eastAsia="Batang" w:hAnsi="Cambria Math" w:hint="eastAsia"/>
            <w:lang w:val="en-US"/>
          </w:rPr>
          <m:t xml:space="preserve"> </m:t>
        </m:r>
      </m:oMath>
      <w:r w:rsidRPr="00313E82">
        <w:rPr>
          <w:rFonts w:eastAsia="Batang"/>
          <w:lang w:val="en-US"/>
        </w:rPr>
        <w:t>is initially computed with point values for likelihoods</w:t>
      </w:r>
      <w:r w:rsidR="00565CA2" w:rsidRPr="00313E82">
        <w:rPr>
          <w:rFonts w:eastAsia="Batang"/>
          <w:lang w:val="en-US"/>
        </w:rPr>
        <w:t xml:space="preserve">. Uncertainty analysis as for CDF then produces the respective distribution </w:t>
      </w:r>
      <m:oMath>
        <m:r>
          <w:rPr>
            <w:rFonts w:ascii="Cambria Math" w:eastAsia="Batang" w:hAnsi="Cambria Math"/>
            <w:lang w:val="en-US"/>
          </w:rPr>
          <m:t>φ(</m:t>
        </m:r>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FDF</m:t>
            </m:r>
          </m:sub>
        </m:sSub>
        <m:r>
          <w:rPr>
            <w:rFonts w:ascii="Cambria Math" w:eastAsia="Batang" w:hAnsi="Cambria Math" w:hint="eastAsia"/>
            <w:lang w:val="en-US"/>
          </w:rPr>
          <m:t>)</m:t>
        </m:r>
      </m:oMath>
      <w:r w:rsidR="00565CA2" w:rsidRPr="00313E82">
        <w:rPr>
          <w:rFonts w:eastAsia="Batang"/>
          <w:lang w:val="en-US"/>
        </w:rPr>
        <w:t xml:space="preserve">. The discussion in section </w:t>
      </w:r>
      <w:r w:rsidR="009E768B" w:rsidRPr="007E0C24">
        <w:rPr>
          <w:rFonts w:eastAsia="Batang"/>
          <w:lang w:val="en-US"/>
        </w:rPr>
        <w:fldChar w:fldCharType="begin"/>
      </w:r>
      <w:r w:rsidR="00565CA2"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00565CA2" w:rsidRPr="00313E82">
        <w:rPr>
          <w:rFonts w:eastAsia="Batang"/>
          <w:lang w:val="en-US"/>
        </w:rPr>
        <w:t xml:space="preserve"> appl</w:t>
      </w:r>
      <w:r w:rsidR="009013D1" w:rsidRPr="00313E82">
        <w:rPr>
          <w:rFonts w:eastAsia="Batang"/>
          <w:lang w:val="en-US"/>
        </w:rPr>
        <w:t>ie</w:t>
      </w:r>
      <w:r w:rsidR="00062730" w:rsidRPr="00313E82">
        <w:rPr>
          <w:rFonts w:eastAsia="Batang"/>
          <w:lang w:val="en-US"/>
        </w:rPr>
        <w:t>s</w:t>
      </w:r>
      <w:r w:rsidR="00565CA2" w:rsidRPr="00313E82">
        <w:rPr>
          <w:rFonts w:eastAsia="Batang"/>
          <w:lang w:val="en-US"/>
        </w:rPr>
        <w:t xml:space="preserve">. </w:t>
      </w:r>
    </w:p>
    <w:p w:rsidR="00391C54" w:rsidRPr="00313E82" w:rsidRDefault="00391C54">
      <w:pPr>
        <w:rPr>
          <w:rFonts w:eastAsia="Batang"/>
          <w:lang w:val="en-US"/>
        </w:rPr>
      </w:pPr>
    </w:p>
    <w:p w:rsidR="001B697D" w:rsidRPr="00313E82" w:rsidRDefault="001B697D" w:rsidP="00C94556">
      <w:pPr>
        <w:pStyle w:val="Titre3"/>
        <w:rPr>
          <w:rFonts w:eastAsia="Batang"/>
          <w:lang w:val="en-US"/>
        </w:rPr>
      </w:pPr>
      <w:bookmarkStart w:id="157" w:name="_Ref444076075"/>
      <w:bookmarkStart w:id="158" w:name="_Toc474430166"/>
      <w:r w:rsidRPr="00313E82">
        <w:rPr>
          <w:rFonts w:eastAsia="Batang"/>
          <w:lang w:val="en-US"/>
        </w:rPr>
        <w:lastRenderedPageBreak/>
        <w:t>Areas of application:</w:t>
      </w:r>
      <w:bookmarkEnd w:id="157"/>
      <w:bookmarkEnd w:id="158"/>
    </w:p>
    <w:p w:rsidR="00565CA2" w:rsidRPr="00C94556" w:rsidRDefault="00337F94">
      <w:pPr>
        <w:rPr>
          <w:rFonts w:eastAsia="Batang"/>
          <w:lang w:val="en-US"/>
        </w:rPr>
      </w:pPr>
      <w:r>
        <w:rPr>
          <w:rFonts w:eastAsia="Batang"/>
          <w:lang w:val="en-US"/>
        </w:rPr>
        <w:t xml:space="preserve">The FDF risk measure as a generalization of the CDF risk measure can (and should) be applied in the same areas </w:t>
      </w:r>
      <w:r w:rsidR="00F545A6">
        <w:rPr>
          <w:rFonts w:eastAsia="Batang"/>
          <w:lang w:val="en-US"/>
        </w:rPr>
        <w:t xml:space="preserve">as </w:t>
      </w:r>
      <w:r>
        <w:rPr>
          <w:rFonts w:eastAsia="Batang"/>
          <w:lang w:val="en-US"/>
        </w:rPr>
        <w:t xml:space="preserve">CDF, i.e. </w:t>
      </w:r>
      <w:r w:rsidR="00565CA2" w:rsidRPr="00C94556">
        <w:rPr>
          <w:rFonts w:eastAsia="Batang"/>
          <w:lang w:val="en-US"/>
        </w:rPr>
        <w:t>PSA for licensing, submissions to the regulator, oversight, design alternatives, risk gap analysis, etc.</w:t>
      </w:r>
      <w:r>
        <w:rPr>
          <w:rFonts w:eastAsia="Batang"/>
          <w:lang w:val="en-US"/>
        </w:rPr>
        <w:t xml:space="preserve"> (see sections </w:t>
      </w:r>
      <w:r w:rsidR="009E768B">
        <w:rPr>
          <w:rFonts w:eastAsia="Batang"/>
          <w:lang w:val="en-US"/>
        </w:rPr>
        <w:fldChar w:fldCharType="begin"/>
      </w:r>
      <w:r>
        <w:rPr>
          <w:rFonts w:eastAsia="Batang"/>
          <w:lang w:val="en-US"/>
        </w:rPr>
        <w:instrText xml:space="preserve"> REF _Ref418066270 \r \h </w:instrText>
      </w:r>
      <w:r w:rsidR="009E768B">
        <w:rPr>
          <w:rFonts w:eastAsia="Batang"/>
          <w:lang w:val="en-US"/>
        </w:rPr>
      </w:r>
      <w:r w:rsidR="009E768B">
        <w:rPr>
          <w:rFonts w:eastAsia="Batang"/>
          <w:lang w:val="en-US"/>
        </w:rPr>
        <w:fldChar w:fldCharType="separate"/>
      </w:r>
      <w:r w:rsidR="00B772CA">
        <w:rPr>
          <w:rFonts w:eastAsia="Batang"/>
          <w:lang w:val="en-US"/>
        </w:rPr>
        <w:t>2.1</w:t>
      </w:r>
      <w:r w:rsidR="009E768B">
        <w:rPr>
          <w:rFonts w:eastAsia="Batang"/>
          <w:lang w:val="en-US"/>
        </w:rPr>
        <w:fldChar w:fldCharType="end"/>
      </w:r>
      <w:r>
        <w:rPr>
          <w:rFonts w:eastAsia="Batang"/>
          <w:lang w:val="en-US"/>
        </w:rPr>
        <w:t xml:space="preserve"> and </w:t>
      </w:r>
      <w:r w:rsidR="009E768B">
        <w:rPr>
          <w:rFonts w:eastAsia="Batang"/>
          <w:lang w:val="en-US"/>
        </w:rPr>
        <w:fldChar w:fldCharType="begin"/>
      </w:r>
      <w:r>
        <w:rPr>
          <w:rFonts w:eastAsia="Batang"/>
          <w:lang w:val="en-US"/>
        </w:rPr>
        <w:instrText xml:space="preserve"> REF _Ref414021020 \r \h </w:instrText>
      </w:r>
      <w:r w:rsidR="009E768B">
        <w:rPr>
          <w:rFonts w:eastAsia="Batang"/>
          <w:lang w:val="en-US"/>
        </w:rPr>
      </w:r>
      <w:r w:rsidR="009E768B">
        <w:rPr>
          <w:rFonts w:eastAsia="Batang"/>
          <w:lang w:val="en-US"/>
        </w:rPr>
        <w:fldChar w:fldCharType="separate"/>
      </w:r>
      <w:r w:rsidR="00B772CA">
        <w:rPr>
          <w:rFonts w:eastAsia="Batang"/>
          <w:lang w:val="en-US"/>
        </w:rPr>
        <w:t>2.2</w:t>
      </w:r>
      <w:r w:rsidR="009E768B">
        <w:rPr>
          <w:rFonts w:eastAsia="Batang"/>
          <w:lang w:val="en-US"/>
        </w:rPr>
        <w:fldChar w:fldCharType="end"/>
      </w:r>
      <w:r>
        <w:rPr>
          <w:rFonts w:eastAsia="Batang"/>
          <w:lang w:val="en-US"/>
        </w:rPr>
        <w:t>). This will include:</w:t>
      </w:r>
    </w:p>
    <w:p w:rsidR="00565CA2" w:rsidRPr="00C94556" w:rsidRDefault="00565CA2" w:rsidP="00C94556">
      <w:pPr>
        <w:pStyle w:val="Paragraphedeliste"/>
        <w:numPr>
          <w:ilvl w:val="0"/>
          <w:numId w:val="82"/>
        </w:numPr>
        <w:rPr>
          <w:rFonts w:eastAsia="Batang"/>
          <w:lang w:val="en-US"/>
        </w:rPr>
      </w:pPr>
      <w:r w:rsidRPr="00C94556">
        <w:rPr>
          <w:rFonts w:eastAsia="Batang"/>
          <w:lang w:val="en-US"/>
        </w:rPr>
        <w:t>Risk management</w:t>
      </w:r>
    </w:p>
    <w:p w:rsidR="00565CA2" w:rsidRPr="00C94556" w:rsidRDefault="00565CA2" w:rsidP="00C94556">
      <w:pPr>
        <w:pStyle w:val="Paragraphedeliste"/>
        <w:numPr>
          <w:ilvl w:val="0"/>
          <w:numId w:val="82"/>
        </w:numPr>
        <w:rPr>
          <w:rFonts w:eastAsia="Batang"/>
          <w:lang w:val="en-US"/>
        </w:rPr>
      </w:pPr>
      <w:r w:rsidRPr="00C94556">
        <w:rPr>
          <w:rFonts w:eastAsia="Batang"/>
          <w:lang w:val="en-US"/>
        </w:rPr>
        <w:t>Risk-informed decision making</w:t>
      </w:r>
    </w:p>
    <w:p w:rsidR="001B697D" w:rsidRPr="00C94556" w:rsidRDefault="001B697D" w:rsidP="00C94556">
      <w:pPr>
        <w:pStyle w:val="Paragraphedeliste"/>
        <w:numPr>
          <w:ilvl w:val="0"/>
          <w:numId w:val="82"/>
        </w:numPr>
        <w:rPr>
          <w:rFonts w:eastAsia="Batang"/>
          <w:lang w:val="en-US"/>
        </w:rPr>
      </w:pPr>
      <w:r w:rsidRPr="00C94556">
        <w:rPr>
          <w:rFonts w:eastAsia="Batang"/>
          <w:lang w:val="en-US"/>
        </w:rPr>
        <w:t>Risk monitors</w:t>
      </w:r>
      <w:r w:rsidR="00565CA2" w:rsidRPr="00C94556">
        <w:rPr>
          <w:rFonts w:eastAsia="Batang"/>
          <w:lang w:val="en-US"/>
        </w:rPr>
        <w:t xml:space="preserve"> (FDF, time dependent)</w:t>
      </w:r>
    </w:p>
    <w:p w:rsidR="001B697D" w:rsidRPr="00F56882" w:rsidRDefault="001B697D" w:rsidP="00C94556">
      <w:pPr>
        <w:pStyle w:val="Paragraphedeliste"/>
        <w:numPr>
          <w:ilvl w:val="0"/>
          <w:numId w:val="82"/>
        </w:numPr>
        <w:rPr>
          <w:rFonts w:eastAsia="Batang"/>
          <w:lang w:val="en-US"/>
        </w:rPr>
      </w:pPr>
      <w:r w:rsidRPr="00C94556">
        <w:rPr>
          <w:rFonts w:eastAsia="Batang"/>
          <w:lang w:val="en-US"/>
        </w:rPr>
        <w:t>Risk budgeting</w:t>
      </w:r>
      <w:r w:rsidR="00565CA2" w:rsidRPr="00C94556">
        <w:rPr>
          <w:rFonts w:eastAsia="Batang"/>
          <w:lang w:val="en-US"/>
        </w:rPr>
        <w:t xml:space="preserve"> (FDF, time dependent)</w:t>
      </w:r>
    </w:p>
    <w:p w:rsidR="001B697D" w:rsidRPr="00313E82" w:rsidRDefault="001B697D" w:rsidP="00C94556">
      <w:pPr>
        <w:pStyle w:val="Titre3"/>
        <w:rPr>
          <w:rFonts w:eastAsia="Batang"/>
          <w:lang w:val="en-US"/>
        </w:rPr>
      </w:pPr>
      <w:bookmarkStart w:id="159" w:name="_Toc474430167"/>
      <w:r w:rsidRPr="00313E82">
        <w:rPr>
          <w:rFonts w:eastAsia="Batang"/>
          <w:lang w:val="en-US"/>
        </w:rPr>
        <w:t>Discussion</w:t>
      </w:r>
      <w:bookmarkEnd w:id="159"/>
    </w:p>
    <w:p w:rsidR="00A47F09" w:rsidRDefault="001B697D">
      <w:pPr>
        <w:ind w:left="284" w:hanging="284"/>
        <w:rPr>
          <w:rFonts w:eastAsia="Batang"/>
          <w:lang w:val="en-US"/>
        </w:rPr>
      </w:pPr>
      <w:r w:rsidRPr="00552F4E">
        <w:rPr>
          <w:rFonts w:eastAsia="Batang"/>
          <w:u w:val="single"/>
          <w:lang w:val="en-US"/>
        </w:rPr>
        <w:t>Validity</w:t>
      </w:r>
      <w:r w:rsidRPr="00313E82">
        <w:rPr>
          <w:rFonts w:eastAsia="Batang"/>
          <w:lang w:val="en-US"/>
        </w:rPr>
        <w:t xml:space="preserve">: </w:t>
      </w:r>
    </w:p>
    <w:p w:rsidR="001B697D" w:rsidRPr="00313E82" w:rsidRDefault="005F4AD7" w:rsidP="00B76953">
      <w:pPr>
        <w:ind w:left="568" w:hanging="284"/>
        <w:rPr>
          <w:rFonts w:eastAsia="Batang"/>
          <w:lang w:val="en-US"/>
        </w:rPr>
      </w:pPr>
      <w:r w:rsidRPr="00313E82">
        <w:rPr>
          <w:rFonts w:eastAsia="Batang"/>
          <w:lang w:val="en-US"/>
        </w:rPr>
        <w:t xml:space="preserve">Fuel damage </w:t>
      </w:r>
      <w:r w:rsidR="00DD7E8A">
        <w:rPr>
          <w:rFonts w:eastAsia="Batang"/>
          <w:lang w:val="en-US"/>
        </w:rPr>
        <w:t xml:space="preserve">frequency </w:t>
      </w:r>
      <w:r w:rsidRPr="00313E82">
        <w:rPr>
          <w:rFonts w:eastAsia="Batang"/>
          <w:lang w:val="en-US"/>
        </w:rPr>
        <w:t xml:space="preserve">corresponds - similar to CDF – to a well-defined state of the risk model, which can be assigned to adequately developed states of accident sequences. </w:t>
      </w:r>
      <w:r w:rsidR="0034010C" w:rsidRPr="00313E82">
        <w:rPr>
          <w:rFonts w:eastAsia="Batang"/>
          <w:lang w:val="en-US"/>
        </w:rPr>
        <w:t xml:space="preserve">Like CDF, it is a leading indicator for challenges to the fundamental safety objective and aggregates of states at the interface between PSA Level 1 and Level 2. FDF is a valid risk measure for most purposes, depending on which a time-average or a time-dependent version should be applied. </w:t>
      </w:r>
      <w:r w:rsidRPr="00313E82">
        <w:rPr>
          <w:rFonts w:eastAsia="Batang"/>
          <w:lang w:val="en-US"/>
        </w:rPr>
        <w:t xml:space="preserve">The validity of the FDF measure can be improved by a </w:t>
      </w:r>
      <w:r w:rsidR="0034010C" w:rsidRPr="00313E82">
        <w:rPr>
          <w:rFonts w:eastAsia="Batang"/>
          <w:lang w:val="en-US"/>
        </w:rPr>
        <w:t>clear</w:t>
      </w:r>
      <w:r w:rsidRPr="00313E82">
        <w:rPr>
          <w:rFonts w:eastAsia="Batang"/>
          <w:lang w:val="en-US"/>
        </w:rPr>
        <w:t xml:space="preserve"> definition of the fuel damage state and by a consistent </w:t>
      </w:r>
      <w:r w:rsidR="0034010C" w:rsidRPr="00313E82">
        <w:rPr>
          <w:rFonts w:eastAsia="Batang"/>
          <w:lang w:val="en-US"/>
        </w:rPr>
        <w:t>definition of the relationship between FDF and CDF.</w:t>
      </w:r>
      <w:r w:rsidRPr="00313E82">
        <w:rPr>
          <w:rFonts w:eastAsia="Batang"/>
          <w:lang w:val="en-US"/>
        </w:rPr>
        <w:t xml:space="preserve">  </w:t>
      </w:r>
      <w:r w:rsidR="001B697D" w:rsidRPr="00313E82">
        <w:rPr>
          <w:rFonts w:eastAsia="Batang"/>
          <w:lang w:val="en-US"/>
        </w:rPr>
        <w:t xml:space="preserve"> </w:t>
      </w:r>
    </w:p>
    <w:p w:rsidR="00A47F09" w:rsidRDefault="001B697D">
      <w:pPr>
        <w:ind w:left="284" w:hanging="284"/>
        <w:rPr>
          <w:rFonts w:eastAsia="Batang"/>
          <w:lang w:val="en-US"/>
        </w:rPr>
      </w:pPr>
      <w:r w:rsidRPr="00552F4E">
        <w:rPr>
          <w:rFonts w:eastAsia="Batang"/>
          <w:u w:val="single"/>
          <w:lang w:val="en-US"/>
        </w:rPr>
        <w:t>Reliability</w:t>
      </w:r>
      <w:r w:rsidRPr="00313E82">
        <w:rPr>
          <w:rFonts w:eastAsia="Batang"/>
          <w:lang w:val="en-US"/>
        </w:rPr>
        <w:t xml:space="preserve">: </w:t>
      </w:r>
    </w:p>
    <w:p w:rsidR="001B697D" w:rsidRPr="00313E82" w:rsidRDefault="0034010C" w:rsidP="00B76953">
      <w:pPr>
        <w:ind w:left="568" w:hanging="284"/>
        <w:rPr>
          <w:rFonts w:eastAsia="Batang"/>
          <w:lang w:val="en-US"/>
        </w:rPr>
      </w:pPr>
      <w:r w:rsidRPr="00313E82">
        <w:rPr>
          <w:rFonts w:eastAsia="Batang"/>
          <w:lang w:val="en-US"/>
        </w:rPr>
        <w:t>Similar to CDF, there can be no unique definition of fuel damage for all kinds of reactor designs. Fuel damage states for a conventional LWR reactor design, a high temperature pebble bed reactor, and a lead-cooled GEN IV reactor will differ significantly. Conceptually, the definition of FDF needs to be consistent with the CDF definition, because both risk metrics are closely related. But once FDF (and CDF) have been clearly established, they allow for – in principle – reproducible PSA modelling.</w:t>
      </w:r>
      <w:r w:rsidR="001B697D" w:rsidRPr="00313E82">
        <w:rPr>
          <w:rFonts w:eastAsia="Batang"/>
          <w:lang w:val="en-US"/>
        </w:rPr>
        <w:t xml:space="preserve"> </w:t>
      </w:r>
    </w:p>
    <w:p w:rsidR="00A47F09" w:rsidRDefault="001B697D">
      <w:pPr>
        <w:ind w:left="284" w:hanging="284"/>
        <w:rPr>
          <w:rFonts w:eastAsia="Batang"/>
          <w:lang w:val="en-US"/>
        </w:rPr>
      </w:pPr>
      <w:r w:rsidRPr="00552F4E">
        <w:rPr>
          <w:rFonts w:eastAsia="Batang"/>
          <w:u w:val="single"/>
          <w:lang w:val="en-US"/>
        </w:rPr>
        <w:t>Consistency</w:t>
      </w:r>
      <w:r w:rsidRPr="00313E82">
        <w:rPr>
          <w:rFonts w:eastAsia="Batang"/>
          <w:lang w:val="en-US"/>
        </w:rPr>
        <w:t>:</w:t>
      </w:r>
      <w:r w:rsidR="0034010C" w:rsidRPr="00313E82">
        <w:rPr>
          <w:rFonts w:eastAsia="Batang"/>
          <w:lang w:val="en-US"/>
        </w:rPr>
        <w:t xml:space="preserve"> </w:t>
      </w:r>
    </w:p>
    <w:p w:rsidR="001B697D" w:rsidRPr="00313E82" w:rsidRDefault="0034010C" w:rsidP="00B76953">
      <w:pPr>
        <w:ind w:left="568" w:hanging="284"/>
        <w:rPr>
          <w:rFonts w:eastAsia="Batang"/>
          <w:lang w:val="en-US"/>
        </w:rPr>
      </w:pPr>
      <w:r w:rsidRPr="00313E82">
        <w:rPr>
          <w:rFonts w:eastAsia="Batang"/>
          <w:lang w:val="en-US"/>
        </w:rPr>
        <w:t>FDF like CDF induces an order relation satisfying rationality criteria, if risk aggregation properties are properly considered. Basically, the measure is consistent. Furthermore, the consistency between FDF and CDF should be ensured</w:t>
      </w:r>
      <w:r w:rsidR="004212BD" w:rsidRPr="00313E82">
        <w:rPr>
          <w:rFonts w:eastAsia="Batang"/>
          <w:lang w:val="en-US"/>
        </w:rPr>
        <w:t>, especially for risk aggregation</w:t>
      </w:r>
      <w:r w:rsidRPr="00313E82">
        <w:rPr>
          <w:rFonts w:eastAsia="Batang"/>
          <w:lang w:val="en-US"/>
        </w:rPr>
        <w:t xml:space="preserve">. </w:t>
      </w:r>
    </w:p>
    <w:p w:rsidR="00A47F09" w:rsidRDefault="001B697D">
      <w:pPr>
        <w:ind w:left="284" w:hanging="284"/>
        <w:rPr>
          <w:rFonts w:eastAsia="Batang"/>
          <w:lang w:val="en-US"/>
        </w:rPr>
      </w:pPr>
      <w:r w:rsidRPr="00552F4E">
        <w:rPr>
          <w:rFonts w:eastAsia="Batang"/>
          <w:u w:val="single"/>
          <w:lang w:val="en-US"/>
        </w:rPr>
        <w:t>Risk aggregation properties</w:t>
      </w:r>
      <w:r w:rsidRPr="00313E82">
        <w:rPr>
          <w:rFonts w:eastAsia="Batang"/>
          <w:lang w:val="en-US"/>
        </w:rPr>
        <w:t xml:space="preserve">: </w:t>
      </w:r>
    </w:p>
    <w:p w:rsidR="001B697D" w:rsidRPr="00313E82" w:rsidRDefault="004212BD" w:rsidP="00B76953">
      <w:pPr>
        <w:ind w:left="568" w:hanging="284"/>
        <w:rPr>
          <w:rFonts w:eastAsia="Batang"/>
          <w:lang w:val="en-US"/>
        </w:rPr>
      </w:pPr>
      <w:r w:rsidRPr="00313E82">
        <w:rPr>
          <w:rFonts w:eastAsia="Batang"/>
          <w:lang w:val="en-US"/>
        </w:rPr>
        <w:t>Aggregating FDF values over multiple scenarios (i.e. frequency values) is a well-defined operation, if performed on</w:t>
      </w:r>
      <w:r w:rsidR="006519DD" w:rsidRPr="00313E82">
        <w:rPr>
          <w:rFonts w:eastAsia="Batang"/>
          <w:lang w:val="en-US"/>
        </w:rPr>
        <w:t xml:space="preserve"> a</w:t>
      </w:r>
      <w:r w:rsidRPr="00313E82">
        <w:rPr>
          <w:rFonts w:eastAsia="Batang"/>
          <w:lang w:val="en-US"/>
        </w:rPr>
        <w:t xml:space="preserve"> minimal cut set basis as described above, resulting in a consistent risk measure. For a proper risk aggregation, there needs to be a clear definition of the relationship between CDF and FDF. And as with CDF, PSA specialists and decision makers have to acknowledge the limitations of the FDF measure. As there is no distinction between fuel damage states that likely lead to large releases and those that likely lead only to limited releases, simply aggregating the risk from this scenarios can (and often will) obfuscate the risk profile of the plant with regard to the fundamental safety objective</w:t>
      </w:r>
      <w:r w:rsidR="00DD7E8A">
        <w:rPr>
          <w:rFonts w:eastAsia="Batang"/>
          <w:lang w:val="en-US"/>
        </w:rPr>
        <w:t>.</w:t>
      </w:r>
    </w:p>
    <w:p w:rsidR="00A47F09" w:rsidRDefault="001B697D">
      <w:pPr>
        <w:ind w:left="284" w:hanging="284"/>
        <w:rPr>
          <w:rFonts w:eastAsia="Batang"/>
          <w:lang w:val="en-US"/>
        </w:rPr>
      </w:pPr>
      <w:r w:rsidRPr="00552F4E">
        <w:rPr>
          <w:rFonts w:eastAsia="Batang"/>
          <w:u w:val="single"/>
          <w:lang w:val="en-US"/>
        </w:rPr>
        <w:t>Understandability to the PSA community</w:t>
      </w:r>
      <w:r w:rsidRPr="00313E82">
        <w:rPr>
          <w:rFonts w:eastAsia="Batang"/>
          <w:lang w:val="en-US"/>
        </w:rPr>
        <w:t xml:space="preserve">: </w:t>
      </w:r>
    </w:p>
    <w:p w:rsidR="001B697D" w:rsidRPr="00313E82" w:rsidRDefault="00484CC8" w:rsidP="00B76953">
      <w:pPr>
        <w:ind w:left="568" w:hanging="284"/>
        <w:rPr>
          <w:rFonts w:eastAsia="Batang"/>
          <w:lang w:val="en-US"/>
        </w:rPr>
      </w:pPr>
      <w:r w:rsidRPr="00313E82">
        <w:rPr>
          <w:rFonts w:eastAsia="Batang"/>
          <w:lang w:val="en-US"/>
        </w:rPr>
        <w:t>FDF is not widely used in the PSA community. However, due to its direct link to CDF, it is well understandable to PSA practitioners</w:t>
      </w:r>
      <w:r w:rsidR="00743FA4" w:rsidRPr="00313E82">
        <w:rPr>
          <w:rFonts w:eastAsia="Batang"/>
          <w:lang w:val="en-US"/>
        </w:rPr>
        <w:t xml:space="preserve"> and regulato</w:t>
      </w:r>
      <w:r w:rsidRPr="00313E82">
        <w:rPr>
          <w:rFonts w:eastAsia="Batang"/>
          <w:lang w:val="en-US"/>
        </w:rPr>
        <w:t>rs</w:t>
      </w:r>
      <w:r w:rsidR="001B697D" w:rsidRPr="00313E82">
        <w:rPr>
          <w:rFonts w:eastAsia="Batang"/>
          <w:lang w:val="en-US"/>
        </w:rPr>
        <w:t xml:space="preserve">. </w:t>
      </w:r>
    </w:p>
    <w:p w:rsidR="001B697D" w:rsidRPr="00313E82" w:rsidRDefault="001B697D">
      <w:pPr>
        <w:rPr>
          <w:rFonts w:eastAsia="Batang"/>
          <w:lang w:val="en-US"/>
        </w:rPr>
      </w:pPr>
    </w:p>
    <w:p w:rsidR="005F4AD7" w:rsidRPr="00313E82" w:rsidRDefault="005F4AD7" w:rsidP="00C94556">
      <w:pPr>
        <w:pStyle w:val="Titre3"/>
        <w:rPr>
          <w:rFonts w:eastAsia="Batang"/>
          <w:lang w:val="en-US"/>
        </w:rPr>
      </w:pPr>
      <w:bookmarkStart w:id="160" w:name="_Ref444076095"/>
      <w:bookmarkStart w:id="161" w:name="_Toc474430168"/>
      <w:r w:rsidRPr="00313E82">
        <w:rPr>
          <w:rFonts w:eastAsia="Batang"/>
          <w:lang w:val="en-US"/>
        </w:rPr>
        <w:t>Limitation</w:t>
      </w:r>
      <w:bookmarkEnd w:id="160"/>
      <w:bookmarkEnd w:id="161"/>
    </w:p>
    <w:p w:rsidR="004A7541" w:rsidRPr="00313E82" w:rsidRDefault="004A7541">
      <w:pPr>
        <w:rPr>
          <w:rFonts w:eastAsia="Batang"/>
          <w:lang w:val="en-US"/>
        </w:rPr>
      </w:pPr>
      <w:r w:rsidRPr="00313E82">
        <w:rPr>
          <w:rFonts w:eastAsia="Batang"/>
          <w:lang w:val="en-US"/>
        </w:rPr>
        <w:t xml:space="preserve">There are several limitations to the FDF (time average) risk measure. </w:t>
      </w:r>
      <w:r w:rsidR="00FC4DFC" w:rsidRPr="00313E82">
        <w:rPr>
          <w:rFonts w:eastAsia="Batang"/>
          <w:lang w:val="en-US"/>
        </w:rPr>
        <w:t>Generally</w:t>
      </w:r>
      <w:r w:rsidRPr="00313E82">
        <w:rPr>
          <w:rFonts w:eastAsia="Batang"/>
          <w:lang w:val="en-US"/>
        </w:rPr>
        <w:t xml:space="preserve">, the </w:t>
      </w:r>
      <w:r w:rsidR="00ED7ECB">
        <w:rPr>
          <w:rFonts w:eastAsia="Batang"/>
          <w:lang w:val="en-US"/>
        </w:rPr>
        <w:t>F</w:t>
      </w:r>
      <w:r w:rsidRPr="00313E82">
        <w:rPr>
          <w:rFonts w:eastAsia="Batang"/>
          <w:lang w:val="en-US"/>
        </w:rPr>
        <w:t xml:space="preserve">DF metric does not distinguish between severity of core damage (extent of damage to fuel rods) beyond the defining threshold for fuel damage. The respective discussion in section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xml:space="preserve"> applies. </w:t>
      </w:r>
    </w:p>
    <w:p w:rsidR="004A7541" w:rsidRPr="00313E82" w:rsidRDefault="004A7541">
      <w:pPr>
        <w:rPr>
          <w:rFonts w:eastAsia="Batang"/>
          <w:lang w:val="en-US"/>
        </w:rPr>
      </w:pPr>
      <w:r w:rsidRPr="00313E82">
        <w:rPr>
          <w:rFonts w:eastAsia="Batang"/>
          <w:lang w:val="en-US"/>
        </w:rPr>
        <w:t xml:space="preserve">Another limitation, which has already been mentioned above, is that the </w:t>
      </w:r>
      <w:r w:rsidR="00ED7ECB">
        <w:rPr>
          <w:rFonts w:eastAsia="Batang"/>
          <w:lang w:val="en-US"/>
        </w:rPr>
        <w:t>F</w:t>
      </w:r>
      <w:r w:rsidRPr="00313E82">
        <w:rPr>
          <w:rFonts w:eastAsia="Batang"/>
          <w:lang w:val="en-US"/>
        </w:rPr>
        <w:t xml:space="preserve">DF metric does not preserve (or provide) information on fuel damage characteristics in light of expected releases (e.g. time of fuel damage onset, extent of fuel damage, status of barriers and safety systems, etc.). </w:t>
      </w:r>
    </w:p>
    <w:p w:rsidR="005F4AD7" w:rsidRPr="00313E82" w:rsidRDefault="004A7541">
      <w:pPr>
        <w:rPr>
          <w:rFonts w:eastAsia="Batang"/>
          <w:lang w:val="en-US"/>
        </w:rPr>
      </w:pPr>
      <w:r w:rsidRPr="00313E82">
        <w:rPr>
          <w:rFonts w:eastAsia="Batang"/>
          <w:lang w:val="en-US"/>
        </w:rPr>
        <w:t xml:space="preserve">Conceptually, the fuel damage metric stands at the transition from PSA Level 1 to PSA Level 2. Because of the limitations of the FDF measure, the interface between Level 1 and Level 2 is usually based on more detailed characterizations of the plant damage state reached. For more detail, see section </w:t>
      </w:r>
      <w:r w:rsidR="009E768B" w:rsidRPr="007E0C24">
        <w:rPr>
          <w:rFonts w:eastAsia="Batang"/>
          <w:lang w:val="en-US"/>
        </w:rPr>
        <w:fldChar w:fldCharType="begin"/>
      </w:r>
      <w:r w:rsidRPr="00313E82">
        <w:rPr>
          <w:rFonts w:eastAsia="Batang"/>
          <w:lang w:val="en-US"/>
        </w:rPr>
        <w:instrText xml:space="preserve"> REF _Ref418066012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2.13</w:t>
      </w:r>
      <w:r w:rsidR="009E768B" w:rsidRPr="007E0C24">
        <w:rPr>
          <w:rFonts w:eastAsia="Batang"/>
          <w:lang w:val="en-US"/>
        </w:rPr>
        <w:fldChar w:fldCharType="end"/>
      </w:r>
      <w:r w:rsidRPr="00313E82">
        <w:rPr>
          <w:rFonts w:eastAsia="Batang"/>
          <w:lang w:val="en-US"/>
        </w:rPr>
        <w:t>. Thus, the FDF measures aggregates risk over the distinct plant damage states.</w:t>
      </w:r>
    </w:p>
    <w:p w:rsidR="001B697D" w:rsidRPr="00313E82" w:rsidRDefault="001B697D" w:rsidP="00C94556">
      <w:pPr>
        <w:pStyle w:val="Titre3"/>
        <w:rPr>
          <w:rFonts w:eastAsia="Batang"/>
          <w:lang w:val="en-US"/>
        </w:rPr>
      </w:pPr>
      <w:bookmarkStart w:id="162" w:name="_Toc474430169"/>
      <w:r w:rsidRPr="00313E82">
        <w:rPr>
          <w:rFonts w:eastAsia="Batang"/>
          <w:lang w:val="en-US"/>
        </w:rPr>
        <w:t>ASAMPSA_E recommendation on</w:t>
      </w:r>
      <w:r w:rsidR="00AF3134">
        <w:rPr>
          <w:rFonts w:eastAsia="Batang"/>
          <w:lang w:val="en-US"/>
        </w:rPr>
        <w:t xml:space="preserve"> FDF</w:t>
      </w:r>
      <w:bookmarkEnd w:id="162"/>
    </w:p>
    <w:p w:rsidR="001B697D" w:rsidRDefault="001B697D">
      <w:pPr>
        <w:rPr>
          <w:rFonts w:eastAsia="Batang"/>
          <w:lang w:val="en-US"/>
        </w:rPr>
      </w:pPr>
      <w:r w:rsidRPr="00313E82">
        <w:rPr>
          <w:rFonts w:eastAsia="Batang"/>
          <w:lang w:val="en-US"/>
        </w:rPr>
        <w:t xml:space="preserve">For the underlying issues on core damage frequency, see section </w:t>
      </w:r>
      <w:r w:rsidR="009E768B" w:rsidRPr="007E0C24">
        <w:rPr>
          <w:rFonts w:eastAsia="Batang"/>
          <w:lang w:val="en-US"/>
        </w:rPr>
        <w:fldChar w:fldCharType="begin"/>
      </w:r>
      <w:r w:rsidRPr="00313E82">
        <w:rPr>
          <w:rFonts w:eastAsia="Batang"/>
          <w:lang w:val="en-US"/>
        </w:rPr>
        <w:instrText xml:space="preserve"> REF _Ref413949061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00AB7CA4" w:rsidRPr="00313E82">
        <w:rPr>
          <w:rFonts w:eastAsia="Batang"/>
          <w:lang w:val="en-US"/>
        </w:rPr>
        <w:t xml:space="preserve">. In addition, there is a need for a consistent definition of the FDF measure and its relation to the CDF measure. </w:t>
      </w:r>
    </w:p>
    <w:p w:rsidR="002B1E99" w:rsidRDefault="002B1E99">
      <w:pPr>
        <w:rPr>
          <w:rFonts w:eastAsia="Batang"/>
          <w:lang w:val="en-US"/>
        </w:rPr>
      </w:pPr>
    </w:p>
    <w:p w:rsidR="002B1E99" w:rsidRPr="00313E82" w:rsidRDefault="002B1E99">
      <w:pPr>
        <w:rPr>
          <w:rFonts w:eastAsia="Batang"/>
          <w:lang w:val="en-US"/>
        </w:rPr>
      </w:pPr>
      <w:r>
        <w:rPr>
          <w:rFonts w:eastAsia="Batang"/>
          <w:lang w:val="en-US"/>
        </w:rPr>
        <w:t xml:space="preserve">FDF is defined as a </w:t>
      </w:r>
      <w:r w:rsidRPr="00313E82">
        <w:rPr>
          <w:rFonts w:eastAsia="Batang"/>
          <w:lang w:val="en-US"/>
        </w:rPr>
        <w:t>loss of integrity of fuel elements on the site, which has the potential for a severe accident, i.e. a</w:t>
      </w:r>
      <w:r>
        <w:rPr>
          <w:rFonts w:eastAsia="Batang"/>
          <w:lang w:val="en-US"/>
        </w:rPr>
        <w:t>n accident-level</w:t>
      </w:r>
      <w:r w:rsidRPr="00313E82">
        <w:rPr>
          <w:rFonts w:eastAsia="Batang"/>
          <w:lang w:val="en-US"/>
        </w:rPr>
        <w:t xml:space="preserve"> release</w:t>
      </w:r>
      <w:r>
        <w:rPr>
          <w:rFonts w:eastAsia="Batang"/>
          <w:lang w:val="en-US"/>
        </w:rPr>
        <w:t>.</w:t>
      </w:r>
    </w:p>
    <w:p w:rsidR="002B1E99" w:rsidRDefault="002B1E99">
      <w:pPr>
        <w:rPr>
          <w:rFonts w:eastAsia="Batang"/>
          <w:lang w:val="en-US"/>
        </w:rPr>
      </w:pPr>
    </w:p>
    <w:p w:rsidR="00C46A8B" w:rsidRPr="00313E82" w:rsidRDefault="002B1E99">
      <w:pPr>
        <w:rPr>
          <w:rFonts w:eastAsia="Batang"/>
          <w:lang w:val="en-US"/>
        </w:rPr>
      </w:pPr>
      <w:r w:rsidRPr="00A47F09">
        <w:rPr>
          <w:rFonts w:eastAsia="Batang"/>
          <w:lang w:val="en-US"/>
        </w:rPr>
        <w:t>S</w:t>
      </w:r>
      <w:r w:rsidR="00AB7CA4" w:rsidRPr="00A47F09">
        <w:rPr>
          <w:rFonts w:eastAsia="Batang"/>
          <w:lang w:val="en-US"/>
        </w:rPr>
        <w:t xml:space="preserve">emantically the FDF measure provides a more general notion of a PSA Level 1 end state than CDF. </w:t>
      </w:r>
      <w:r w:rsidR="00AB7CA4" w:rsidRPr="00B76953">
        <w:rPr>
          <w:rFonts w:eastAsia="Batang"/>
          <w:lang w:val="en-US"/>
        </w:rPr>
        <w:t xml:space="preserve">Therefore, the ASAMPSA_E project recommends </w:t>
      </w:r>
      <w:r w:rsidR="00C46A8B" w:rsidRPr="00B76953">
        <w:rPr>
          <w:rFonts w:eastAsia="Batang"/>
          <w:lang w:val="en-US"/>
        </w:rPr>
        <w:t>treating</w:t>
      </w:r>
      <w:r w:rsidR="00AB7CA4" w:rsidRPr="00B76953">
        <w:rPr>
          <w:rFonts w:eastAsia="Batang"/>
          <w:lang w:val="en-US"/>
        </w:rPr>
        <w:t xml:space="preserve"> core damage states as subsets of fuel damage states</w:t>
      </w:r>
      <w:r w:rsidR="00F545A6">
        <w:rPr>
          <w:rFonts w:eastAsia="Batang"/>
          <w:lang w:val="en-US"/>
        </w:rPr>
        <w:t>:</w:t>
      </w:r>
      <w:r w:rsidR="00C46A8B" w:rsidRPr="00B76953">
        <w:rPr>
          <w:rFonts w:eastAsia="Batang"/>
          <w:lang w:val="en-US"/>
        </w:rPr>
        <w:t xml:space="preserve"> </w:t>
      </w:r>
      <m:oMath>
        <m:d>
          <m:dPr>
            <m:begChr m:val="{"/>
            <m:endChr m:val="}"/>
            <m:ctrlPr>
              <w:rPr>
                <w:rFonts w:ascii="Cambria Math" w:eastAsia="Batang" w:hAnsi="Cambria Math"/>
                <w:i/>
                <w:lang w:val="en-US"/>
              </w:rPr>
            </m:ctrlPr>
          </m:dPr>
          <m:e>
            <m:r>
              <w:rPr>
                <w:rFonts w:ascii="Cambria Math" w:eastAsia="Batang" w:hAnsi="Cambria Math"/>
                <w:lang w:val="en-US"/>
              </w:rPr>
              <m:t>CDF</m:t>
            </m:r>
          </m:e>
        </m:d>
        <m:r>
          <w:rPr>
            <w:rFonts w:ascii="Cambria Math" w:eastAsia="Batang" w:hAnsi="Cambria Math" w:hint="eastAsia"/>
            <w:lang w:val="en-US"/>
          </w:rPr>
          <m:t>⊂</m:t>
        </m:r>
        <m:r>
          <w:rPr>
            <w:rFonts w:ascii="Cambria Math" w:eastAsia="Batang" w:hAnsi="Cambria Math"/>
            <w:lang w:val="en-US"/>
          </w:rPr>
          <m:t>{FDF}</m:t>
        </m:r>
      </m:oMath>
      <w:r w:rsidR="00AB7CA4" w:rsidRPr="00B76953">
        <w:rPr>
          <w:rFonts w:eastAsia="Batang"/>
          <w:lang w:val="en-US"/>
        </w:rPr>
        <w:t>.</w:t>
      </w:r>
      <w:r w:rsidR="00C46A8B" w:rsidRPr="00A47F09">
        <w:rPr>
          <w:rFonts w:eastAsia="Batang"/>
          <w:lang w:val="en-US"/>
        </w:rPr>
        <w:t xml:space="preserve"> As explained in section </w:t>
      </w:r>
      <w:r w:rsidR="009E768B" w:rsidRPr="00A47F09">
        <w:rPr>
          <w:rFonts w:eastAsia="Batang"/>
          <w:lang w:val="en-US"/>
        </w:rPr>
        <w:fldChar w:fldCharType="begin"/>
      </w:r>
      <w:r w:rsidR="00C46A8B" w:rsidRPr="00A47F09">
        <w:rPr>
          <w:rFonts w:eastAsia="Batang"/>
          <w:lang w:val="en-US"/>
        </w:rPr>
        <w:instrText xml:space="preserve"> REF _Ref413949061 \r \h </w:instrText>
      </w:r>
      <w:r w:rsidR="009E768B" w:rsidRPr="00A47F09">
        <w:rPr>
          <w:rFonts w:eastAsia="Batang"/>
          <w:lang w:val="en-US"/>
        </w:rPr>
      </w:r>
      <w:r w:rsidR="009E768B" w:rsidRPr="00A47F09">
        <w:rPr>
          <w:rFonts w:eastAsia="Batang"/>
          <w:lang w:val="en-US"/>
        </w:rPr>
        <w:fldChar w:fldCharType="separate"/>
      </w:r>
      <w:r w:rsidR="00B772CA">
        <w:rPr>
          <w:rFonts w:eastAsia="Batang"/>
          <w:lang w:val="en-US"/>
        </w:rPr>
        <w:t>2.1</w:t>
      </w:r>
      <w:r w:rsidR="009E768B" w:rsidRPr="00A47F09">
        <w:rPr>
          <w:rFonts w:eastAsia="Batang"/>
          <w:lang w:val="en-US"/>
        </w:rPr>
        <w:fldChar w:fldCharType="end"/>
      </w:r>
      <w:r w:rsidR="00C46A8B" w:rsidRPr="00A47F09">
        <w:rPr>
          <w:rFonts w:eastAsia="Batang"/>
          <w:lang w:val="en-US"/>
        </w:rPr>
        <w:t>, CDF should be</w:t>
      </w:r>
      <w:r w:rsidR="00C46A8B" w:rsidRPr="00313E82">
        <w:rPr>
          <w:rFonts w:eastAsia="Batang"/>
          <w:lang w:val="en-US"/>
        </w:rPr>
        <w:t xml:space="preserve"> understood as a fuel damage state affecting fuel elements located in the reactor core (e.g. the RPV). Consequently, the fuel damage state should be understood as a loss of integrity of fuel elements on the site, which has the potential for a severe accident, irrespective of operating state of the reactor or location of the fuel.</w:t>
      </w:r>
    </w:p>
    <w:p w:rsidR="00AB7CA4" w:rsidRPr="00313E82" w:rsidRDefault="00C46A8B">
      <w:pPr>
        <w:rPr>
          <w:rFonts w:eastAsia="Batang"/>
          <w:lang w:val="en-US"/>
        </w:rPr>
      </w:pPr>
      <w:r w:rsidRPr="00B76953">
        <w:rPr>
          <w:rFonts w:eastAsia="Batang"/>
          <w:lang w:val="en-US"/>
        </w:rPr>
        <w:t xml:space="preserve">Moreover, the FDF measure needs to be consistent with the plant damage state measure(s) (PDSF) it shall aggregate. With the definition of FDF, all plant damage states should also qualify as fuel damage states (see section </w:t>
      </w:r>
      <w:r w:rsidR="009E768B" w:rsidRPr="00B76953">
        <w:rPr>
          <w:rFonts w:eastAsia="Batang"/>
          <w:lang w:val="en-US"/>
        </w:rPr>
        <w:fldChar w:fldCharType="begin"/>
      </w:r>
      <w:r w:rsidRPr="00B76953">
        <w:rPr>
          <w:rFonts w:eastAsia="Batang"/>
          <w:lang w:val="en-US"/>
        </w:rPr>
        <w:instrText xml:space="preserve"> REF _Ref418066012 \r \h </w:instrText>
      </w:r>
      <w:r w:rsidR="009E768B" w:rsidRPr="00B76953">
        <w:rPr>
          <w:rFonts w:eastAsia="Batang"/>
          <w:lang w:val="en-US"/>
        </w:rPr>
      </w:r>
      <w:r w:rsidR="009E768B" w:rsidRPr="00B76953">
        <w:rPr>
          <w:rFonts w:eastAsia="Batang"/>
          <w:lang w:val="en-US"/>
        </w:rPr>
        <w:fldChar w:fldCharType="separate"/>
      </w:r>
      <w:r w:rsidR="00B772CA">
        <w:rPr>
          <w:rFonts w:eastAsia="Batang"/>
          <w:lang w:val="en-US"/>
        </w:rPr>
        <w:t>2.13</w:t>
      </w:r>
      <w:r w:rsidR="009E768B" w:rsidRPr="00B76953">
        <w:rPr>
          <w:rFonts w:eastAsia="Batang"/>
          <w:lang w:val="en-US"/>
        </w:rPr>
        <w:fldChar w:fldCharType="end"/>
      </w:r>
      <w:r w:rsidRPr="00B76953">
        <w:rPr>
          <w:rFonts w:eastAsia="Batang"/>
          <w:lang w:val="en-US"/>
        </w:rPr>
        <w:t>).</w:t>
      </w:r>
      <w:r w:rsidRPr="00313E82">
        <w:rPr>
          <w:rFonts w:eastAsia="Batang"/>
          <w:lang w:val="en-US"/>
        </w:rPr>
        <w:t xml:space="preserve"> </w:t>
      </w:r>
    </w:p>
    <w:p w:rsidR="00BB6606" w:rsidRPr="00313E82" w:rsidRDefault="00BB6606">
      <w:pPr>
        <w:rPr>
          <w:rFonts w:eastAsia="Batang"/>
          <w:lang w:val="en-US"/>
        </w:rPr>
      </w:pPr>
      <w:r w:rsidRPr="00313E82">
        <w:rPr>
          <w:rFonts w:eastAsia="Batang"/>
          <w:lang w:val="en-US"/>
        </w:rPr>
        <w:t xml:space="preserve">For Gen II and Gen III PWR and BWR reactor types, </w:t>
      </w:r>
      <w:r w:rsidR="00E503AF">
        <w:rPr>
          <w:rFonts w:eastAsia="Batang"/>
          <w:lang w:val="en-US"/>
        </w:rPr>
        <w:t>a</w:t>
      </w:r>
      <w:r w:rsidRPr="00313E82">
        <w:rPr>
          <w:rFonts w:eastAsia="Batang"/>
          <w:lang w:val="en-US"/>
        </w:rPr>
        <w:t>t least one of the following criteria applies to fuel located on the site:</w:t>
      </w:r>
      <w:r w:rsidRPr="00313E82">
        <w:rPr>
          <w:rFonts w:eastAsia="Batang"/>
          <w:lang w:val="en-US"/>
        </w:rPr>
        <w:tab/>
      </w:r>
    </w:p>
    <w:p w:rsidR="00BB6606" w:rsidRPr="00313E82" w:rsidRDefault="00BE6ACE" w:rsidP="00D873A7">
      <w:pPr>
        <w:pStyle w:val="Paragraphedeliste"/>
        <w:numPr>
          <w:ilvl w:val="0"/>
          <w:numId w:val="24"/>
        </w:numPr>
        <w:rPr>
          <w:rFonts w:eastAsia="Batang"/>
          <w:lang w:val="en-US"/>
        </w:rPr>
      </w:pPr>
      <w:r>
        <w:rPr>
          <w:rFonts w:eastAsia="Batang"/>
          <w:lang w:val="en-US"/>
        </w:rPr>
        <w:t>c</w:t>
      </w:r>
      <w:r w:rsidR="00BB6606" w:rsidRPr="00313E82">
        <w:rPr>
          <w:rFonts w:eastAsia="Batang"/>
          <w:lang w:val="en-US"/>
        </w:rPr>
        <w:t>ladding temperature exceeds the threshold for onset of exothermic Zr-H</w:t>
      </w:r>
      <w:r w:rsidR="00BB6606" w:rsidRPr="00313E82">
        <w:rPr>
          <w:rFonts w:eastAsia="Batang"/>
          <w:vertAlign w:val="subscript"/>
          <w:lang w:val="en-US"/>
        </w:rPr>
        <w:t>2</w:t>
      </w:r>
      <w:r w:rsidR="00BB6606" w:rsidRPr="00313E82">
        <w:rPr>
          <w:rFonts w:eastAsia="Batang"/>
          <w:lang w:val="en-US"/>
        </w:rPr>
        <w:t xml:space="preserve">O reaction in a subsection of the core with the potential for a large release (cf. section </w:t>
      </w:r>
      <w:r w:rsidR="009E768B" w:rsidRPr="004D7C87">
        <w:rPr>
          <w:rFonts w:eastAsia="Batang"/>
          <w:lang w:val="en-US"/>
        </w:rPr>
        <w:fldChar w:fldCharType="begin"/>
      </w:r>
      <w:r w:rsidR="00BB6606" w:rsidRPr="00313E82">
        <w:rPr>
          <w:rFonts w:eastAsia="Batang"/>
          <w:lang w:val="en-US"/>
        </w:rPr>
        <w:instrText xml:space="preserve"> REF _Ref418001167 \r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3.1</w:t>
      </w:r>
      <w:r w:rsidR="009E768B" w:rsidRPr="004D7C87">
        <w:rPr>
          <w:rFonts w:eastAsia="Batang"/>
          <w:lang w:val="en-US"/>
        </w:rPr>
        <w:fldChar w:fldCharType="end"/>
      </w:r>
      <w:r w:rsidR="00BB6606" w:rsidRPr="00313E82">
        <w:rPr>
          <w:rFonts w:eastAsia="Batang"/>
          <w:lang w:val="en-US"/>
        </w:rPr>
        <w:t>).</w:t>
      </w:r>
    </w:p>
    <w:p w:rsidR="00BB6606" w:rsidRPr="00313E82" w:rsidRDefault="00BE6ACE" w:rsidP="003651CB">
      <w:pPr>
        <w:pStyle w:val="Paragraphedeliste"/>
        <w:numPr>
          <w:ilvl w:val="0"/>
          <w:numId w:val="24"/>
        </w:numPr>
        <w:rPr>
          <w:rFonts w:eastAsia="Batang"/>
          <w:lang w:val="en-US"/>
        </w:rPr>
      </w:pPr>
      <w:r>
        <w:rPr>
          <w:rFonts w:eastAsia="Batang"/>
          <w:lang w:val="en-US"/>
        </w:rPr>
        <w:t>r</w:t>
      </w:r>
      <w:r w:rsidR="00BB6606" w:rsidRPr="00313E82">
        <w:rPr>
          <w:rFonts w:eastAsia="Batang"/>
          <w:lang w:val="en-US"/>
        </w:rPr>
        <w:t xml:space="preserve">upture of fuel rod claddings releasing fission gases from the rods which, upon, release would amount to a large release (cf. section </w:t>
      </w:r>
      <w:r w:rsidR="009E768B" w:rsidRPr="004D7C87">
        <w:rPr>
          <w:rFonts w:eastAsia="Batang"/>
          <w:lang w:val="en-US"/>
        </w:rPr>
        <w:fldChar w:fldCharType="begin"/>
      </w:r>
      <w:r w:rsidR="00BB6606" w:rsidRPr="00313E82">
        <w:rPr>
          <w:rFonts w:eastAsia="Batang"/>
          <w:lang w:val="en-US"/>
        </w:rPr>
        <w:instrText xml:space="preserve"> REF _Ref418001167 \r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3.1</w:t>
      </w:r>
      <w:r w:rsidR="009E768B" w:rsidRPr="004D7C87">
        <w:rPr>
          <w:rFonts w:eastAsia="Batang"/>
          <w:lang w:val="en-US"/>
        </w:rPr>
        <w:fldChar w:fldCharType="end"/>
      </w:r>
      <w:r w:rsidR="00BB6606" w:rsidRPr="00313E82">
        <w:rPr>
          <w:rFonts w:eastAsia="Batang"/>
          <w:lang w:val="en-US"/>
        </w:rPr>
        <w:t>).</w:t>
      </w:r>
    </w:p>
    <w:p w:rsidR="00BB6606" w:rsidRPr="00313E82" w:rsidRDefault="00BB6606">
      <w:pPr>
        <w:rPr>
          <w:rFonts w:eastAsia="Batang"/>
          <w:lang w:val="en-US"/>
        </w:rPr>
      </w:pPr>
    </w:p>
    <w:p w:rsidR="00BB6606" w:rsidRPr="00313E82" w:rsidRDefault="00BB6606">
      <w:pPr>
        <w:rPr>
          <w:rFonts w:eastAsia="Batang"/>
          <w:lang w:val="en-US"/>
        </w:rPr>
      </w:pPr>
      <w:r w:rsidRPr="00313E82">
        <w:rPr>
          <w:rFonts w:eastAsia="Batang"/>
          <w:lang w:val="en-US"/>
        </w:rPr>
        <w:lastRenderedPageBreak/>
        <w:t xml:space="preserve">For CANDU-type reactors, </w:t>
      </w:r>
      <w:r w:rsidR="00D01303" w:rsidRPr="00313E82">
        <w:rPr>
          <w:rFonts w:eastAsia="Batang"/>
          <w:lang w:val="en-US"/>
        </w:rPr>
        <w:t>a s</w:t>
      </w:r>
      <w:r w:rsidR="00F545A6">
        <w:rPr>
          <w:rFonts w:eastAsia="Batang"/>
          <w:lang w:val="en-US"/>
        </w:rPr>
        <w:t>imilar</w:t>
      </w:r>
      <w:r w:rsidR="00D01303" w:rsidRPr="00313E82">
        <w:rPr>
          <w:rFonts w:eastAsia="Batang"/>
          <w:lang w:val="en-US"/>
        </w:rPr>
        <w:t xml:space="preserve"> approach should be used that specifically links the fuel integrity to the FDF metric</w:t>
      </w:r>
      <w:r w:rsidR="00086E34" w:rsidRPr="00313E82">
        <w:rPr>
          <w:rFonts w:eastAsia="Batang"/>
          <w:lang w:val="en-US"/>
        </w:rPr>
        <w:t xml:space="preserve">. The </w:t>
      </w:r>
      <w:r w:rsidR="000F5FE3" w:rsidRPr="00313E82">
        <w:rPr>
          <w:rFonts w:eastAsia="Batang"/>
          <w:lang w:val="en-US"/>
        </w:rPr>
        <w:t xml:space="preserve">fuel </w:t>
      </w:r>
      <w:r w:rsidRPr="00313E82">
        <w:rPr>
          <w:rFonts w:eastAsia="Batang"/>
          <w:lang w:val="en-US"/>
        </w:rPr>
        <w:t>damage metric should be defined as follows:</w:t>
      </w:r>
    </w:p>
    <w:p w:rsidR="000268EF" w:rsidRPr="00313E82" w:rsidRDefault="008F7015" w:rsidP="00D873A7">
      <w:pPr>
        <w:pStyle w:val="Paragraphedeliste"/>
        <w:numPr>
          <w:ilvl w:val="0"/>
          <w:numId w:val="24"/>
        </w:numPr>
        <w:rPr>
          <w:rFonts w:eastAsia="Batang"/>
          <w:lang w:val="en-US"/>
        </w:rPr>
      </w:pPr>
      <w:r w:rsidRPr="00313E82">
        <w:rPr>
          <w:rFonts w:eastAsia="Batang"/>
          <w:lang w:val="en-US"/>
        </w:rPr>
        <w:t xml:space="preserve">Maximum fuel sheath temperature exceeds 600 °C, and the duration of post-dryout operation is more than 60 seconds (Potential fuel deformation and fuel element contact with the pressure tube </w:t>
      </w:r>
      <w:r w:rsidR="00062730" w:rsidRPr="00313E82">
        <w:rPr>
          <w:rFonts w:eastAsia="Batang"/>
          <w:lang w:val="en-US"/>
        </w:rPr>
        <w:t>causing its</w:t>
      </w:r>
      <w:r w:rsidRPr="00313E82">
        <w:rPr>
          <w:rFonts w:eastAsia="Batang"/>
          <w:lang w:val="en-US"/>
        </w:rPr>
        <w:t xml:space="preserve"> failure)</w:t>
      </w:r>
      <w:r w:rsidR="002001A3" w:rsidRPr="00C94556">
        <w:rPr>
          <w:rFonts w:eastAsia="Batang"/>
          <w:vertAlign w:val="superscript"/>
          <w:lang w:val="en-US"/>
        </w:rPr>
        <w:footnoteReference w:id="11"/>
      </w:r>
      <w:r w:rsidR="000268EF" w:rsidRPr="00313E82">
        <w:rPr>
          <w:rFonts w:eastAsia="Batang"/>
          <w:lang w:val="en-US"/>
        </w:rPr>
        <w:t xml:space="preserve"> </w:t>
      </w:r>
    </w:p>
    <w:p w:rsidR="00C46A8B" w:rsidRPr="00313E82" w:rsidRDefault="00C46A8B">
      <w:pPr>
        <w:rPr>
          <w:rFonts w:eastAsia="Batang"/>
          <w:lang w:val="en-US"/>
        </w:rPr>
      </w:pPr>
    </w:p>
    <w:p w:rsidR="00905350" w:rsidRPr="00313E82" w:rsidRDefault="00905350">
      <w:pPr>
        <w:rPr>
          <w:rFonts w:eastAsia="Batang"/>
          <w:lang w:val="en-US"/>
        </w:rPr>
      </w:pPr>
      <w:r w:rsidRPr="00313E82">
        <w:rPr>
          <w:rFonts w:eastAsia="Batang"/>
          <w:lang w:val="en-US"/>
        </w:rPr>
        <w:t>With regard to FDF, time averaged, the ASAMPSA_E project recommends raising awareness about the limitations of the respective calculation methods. To the extent practicable, the time-averaged value should be computed based on the time-dependent version.</w:t>
      </w:r>
    </w:p>
    <w:p w:rsidR="00905350" w:rsidRPr="00313E82" w:rsidRDefault="0043746A">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φ(l</m:t>
              </m:r>
            </m:e>
            <m:sub>
              <m:r>
                <w:rPr>
                  <w:rFonts w:ascii="Cambria Math" w:eastAsia="Batang" w:hAnsi="Cambria Math"/>
                  <w:lang w:val="en-US"/>
                </w:rPr>
                <m:t>FDF,</m:t>
              </m:r>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b>
          </m:sSub>
          <m:r>
            <w:rPr>
              <w:rFonts w:ascii="Cambria Math" w:eastAsia="Batang" w:hAnsi="Cambria Math" w:hint="eastAsia"/>
              <w:lang w:val="en-US"/>
            </w:rPr>
            <m:t>)=</m:t>
          </m:r>
          <m:r>
            <w:rPr>
              <w:rFonts w:ascii="Cambria Math" w:eastAsia="Batang" w:hAnsi="Cambria Math"/>
              <w:lang w:val="en-US"/>
            </w:rPr>
            <m:t>φ</m:t>
          </m:r>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FDF</m:t>
                      </m:r>
                    </m:sub>
                  </m:sSub>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e>
          </m:d>
        </m:oMath>
      </m:oMathPara>
    </w:p>
    <w:p w:rsidR="001B697D" w:rsidRPr="00313E82" w:rsidRDefault="001B697D" w:rsidP="00C94556">
      <w:pPr>
        <w:pStyle w:val="Titre2"/>
        <w:rPr>
          <w:rFonts w:eastAsia="Batang"/>
          <w:lang w:val="en-US"/>
        </w:rPr>
      </w:pPr>
      <w:bookmarkStart w:id="163" w:name="_Toc452560405"/>
      <w:bookmarkStart w:id="164" w:name="_Toc452561338"/>
      <w:bookmarkStart w:id="165" w:name="_Toc452561554"/>
      <w:bookmarkStart w:id="166" w:name="_Ref418066012"/>
      <w:bookmarkStart w:id="167" w:name="_Ref444074469"/>
      <w:bookmarkStart w:id="168" w:name="_Ref444075257"/>
      <w:bookmarkStart w:id="169" w:name="_Toc474430170"/>
      <w:bookmarkEnd w:id="163"/>
      <w:bookmarkEnd w:id="164"/>
      <w:bookmarkEnd w:id="165"/>
      <w:r w:rsidRPr="00313E82">
        <w:rPr>
          <w:rFonts w:eastAsia="Batang"/>
          <w:lang w:val="en-US"/>
        </w:rPr>
        <w:t>Plant Damage State Frequency</w:t>
      </w:r>
      <w:bookmarkEnd w:id="166"/>
      <w:r w:rsidR="008B5B5D" w:rsidRPr="00313E82">
        <w:rPr>
          <w:rFonts w:eastAsia="Batang"/>
          <w:lang w:val="en-US"/>
        </w:rPr>
        <w:t xml:space="preserve"> (PDSF)</w:t>
      </w:r>
      <w:bookmarkEnd w:id="167"/>
      <w:bookmarkEnd w:id="168"/>
      <w:bookmarkEnd w:id="169"/>
    </w:p>
    <w:p w:rsidR="001B697D" w:rsidRPr="00313E82" w:rsidRDefault="001B697D" w:rsidP="00C94556">
      <w:pPr>
        <w:pStyle w:val="Titre3"/>
        <w:rPr>
          <w:rFonts w:eastAsia="Batang"/>
          <w:lang w:val="en-US"/>
        </w:rPr>
      </w:pPr>
      <w:bookmarkStart w:id="170" w:name="_Ref293324620"/>
      <w:bookmarkStart w:id="171" w:name="_Toc474430171"/>
      <w:r w:rsidRPr="00313E82">
        <w:rPr>
          <w:rFonts w:eastAsia="Batang"/>
          <w:lang w:val="en-US"/>
        </w:rPr>
        <w:t>Definition of Risk Measure</w:t>
      </w:r>
      <w:bookmarkEnd w:id="170"/>
      <w:bookmarkEnd w:id="171"/>
    </w:p>
    <w:p w:rsidR="00BF473E" w:rsidRPr="00313E82" w:rsidRDefault="008B5B5D">
      <w:pPr>
        <w:rPr>
          <w:rFonts w:eastAsia="Batang"/>
          <w:lang w:val="en-US"/>
        </w:rPr>
      </w:pPr>
      <w:r w:rsidRPr="00313E82">
        <w:rPr>
          <w:rFonts w:eastAsia="Batang"/>
          <w:u w:val="single"/>
          <w:lang w:val="en-US"/>
        </w:rPr>
        <w:t>Risk metric</w:t>
      </w:r>
      <w:r w:rsidRPr="00313E82">
        <w:rPr>
          <w:rFonts w:eastAsia="Batang"/>
          <w:lang w:val="en-US"/>
        </w:rPr>
        <w:tab/>
      </w:r>
      <w:r w:rsidRPr="00313E82">
        <w:rPr>
          <w:rFonts w:eastAsia="Batang"/>
          <w:lang w:val="en-US"/>
        </w:rPr>
        <w:br/>
      </w:r>
      <w:r w:rsidR="00BF473E" w:rsidRPr="00313E82">
        <w:rPr>
          <w:rFonts w:eastAsia="Batang"/>
          <w:lang w:val="en-US"/>
        </w:rPr>
        <w:t xml:space="preserve">A PDS is a group of accident sequences that have similar characteristics with respect to the accident progression and containment performance. Accident sequences allocated to a PDS must have similar characteristics not only in the degree of fuel damage, but also in other characteristics, which influence the release of fission products to the environment. </w:t>
      </w:r>
    </w:p>
    <w:p w:rsidR="00191381" w:rsidRDefault="00191381">
      <w:pPr>
        <w:rPr>
          <w:rFonts w:eastAsia="Batang"/>
          <w:lang w:val="en-US"/>
        </w:rPr>
      </w:pPr>
      <w:r>
        <w:rPr>
          <w:rFonts w:eastAsia="Batang"/>
          <w:lang w:val="en-US"/>
        </w:rPr>
        <w:t xml:space="preserve">According to SSG-3 </w:t>
      </w:r>
      <w:r w:rsidR="009E768B">
        <w:rPr>
          <w:rFonts w:eastAsia="Batang"/>
          <w:lang w:val="en-US"/>
        </w:rPr>
        <w:fldChar w:fldCharType="begin"/>
      </w:r>
      <w:r>
        <w:rPr>
          <w:rFonts w:eastAsia="Batang"/>
          <w:lang w:val="en-US"/>
        </w:rPr>
        <w:instrText xml:space="preserve"> REF _Ref384386913 \r \h </w:instrText>
      </w:r>
      <w:r w:rsidR="009E768B">
        <w:rPr>
          <w:rFonts w:eastAsia="Batang"/>
          <w:lang w:val="en-US"/>
        </w:rPr>
      </w:r>
      <w:r w:rsidR="009E768B">
        <w:rPr>
          <w:rFonts w:eastAsia="Batang"/>
          <w:lang w:val="en-US"/>
        </w:rPr>
        <w:fldChar w:fldCharType="separate"/>
      </w:r>
      <w:r w:rsidR="00B772CA">
        <w:rPr>
          <w:rFonts w:eastAsia="Batang"/>
          <w:lang w:val="en-US"/>
        </w:rPr>
        <w:t>[4]</w:t>
      </w:r>
      <w:r w:rsidR="009E768B">
        <w:rPr>
          <w:rFonts w:eastAsia="Batang"/>
          <w:lang w:val="en-US"/>
        </w:rPr>
        <w:fldChar w:fldCharType="end"/>
      </w:r>
      <w:r>
        <w:rPr>
          <w:rFonts w:eastAsia="Batang"/>
          <w:lang w:val="en-US"/>
        </w:rPr>
        <w:t xml:space="preserve"> and SSG-4 </w:t>
      </w:r>
      <w:r w:rsidR="009E768B">
        <w:rPr>
          <w:rFonts w:eastAsia="Batang"/>
          <w:lang w:val="en-US"/>
        </w:rPr>
        <w:fldChar w:fldCharType="begin"/>
      </w:r>
      <w:r>
        <w:rPr>
          <w:rFonts w:eastAsia="Batang"/>
          <w:lang w:val="en-US"/>
        </w:rPr>
        <w:instrText xml:space="preserve"> REF _Ref393115557 \r \h </w:instrText>
      </w:r>
      <w:r w:rsidR="009E768B">
        <w:rPr>
          <w:rFonts w:eastAsia="Batang"/>
          <w:lang w:val="en-US"/>
        </w:rPr>
      </w:r>
      <w:r w:rsidR="009E768B">
        <w:rPr>
          <w:rFonts w:eastAsia="Batang"/>
          <w:lang w:val="en-US"/>
        </w:rPr>
        <w:fldChar w:fldCharType="separate"/>
      </w:r>
      <w:r w:rsidR="00B772CA">
        <w:rPr>
          <w:rFonts w:eastAsia="Batang"/>
          <w:lang w:val="en-US"/>
        </w:rPr>
        <w:t>[5]</w:t>
      </w:r>
      <w:r w:rsidR="009E768B">
        <w:rPr>
          <w:rFonts w:eastAsia="Batang"/>
          <w:lang w:val="en-US"/>
        </w:rPr>
        <w:fldChar w:fldCharType="end"/>
      </w:r>
      <w:r>
        <w:rPr>
          <w:rFonts w:eastAsia="Batang"/>
          <w:lang w:val="en-US"/>
        </w:rPr>
        <w:t xml:space="preserve">, plant damage states are </w:t>
      </w:r>
      <w:r w:rsidR="000C1ABB">
        <w:rPr>
          <w:rFonts w:eastAsia="Batang"/>
          <w:lang w:val="en-US"/>
        </w:rPr>
        <w:t xml:space="preserve">a </w:t>
      </w:r>
      <w:r>
        <w:rPr>
          <w:rFonts w:eastAsia="Batang"/>
          <w:lang w:val="en-US"/>
        </w:rPr>
        <w:t xml:space="preserve">grouping “sequences leading to core damage […] based on similarities in the plant conditions that determine the further accident progression” </w:t>
      </w:r>
      <w:r w:rsidR="009E768B">
        <w:rPr>
          <w:rFonts w:eastAsia="Batang"/>
          <w:lang w:val="en-US"/>
        </w:rPr>
        <w:fldChar w:fldCharType="begin"/>
      </w:r>
      <w:r>
        <w:rPr>
          <w:rFonts w:eastAsia="Batang"/>
          <w:lang w:val="en-US"/>
        </w:rPr>
        <w:instrText xml:space="preserve"> REF _Ref393115557 \r \h </w:instrText>
      </w:r>
      <w:r w:rsidR="009E768B">
        <w:rPr>
          <w:rFonts w:eastAsia="Batang"/>
          <w:lang w:val="en-US"/>
        </w:rPr>
      </w:r>
      <w:r w:rsidR="009E768B">
        <w:rPr>
          <w:rFonts w:eastAsia="Batang"/>
          <w:lang w:val="en-US"/>
        </w:rPr>
        <w:fldChar w:fldCharType="separate"/>
      </w:r>
      <w:r w:rsidR="00B772CA">
        <w:rPr>
          <w:rFonts w:eastAsia="Batang"/>
          <w:lang w:val="en-US"/>
        </w:rPr>
        <w:t>[5]</w:t>
      </w:r>
      <w:r w:rsidR="009E768B">
        <w:rPr>
          <w:rFonts w:eastAsia="Batang"/>
          <w:lang w:val="en-US"/>
        </w:rPr>
        <w:fldChar w:fldCharType="end"/>
      </w:r>
      <w:r>
        <w:rPr>
          <w:rFonts w:eastAsia="Batang"/>
          <w:lang w:val="en-US"/>
        </w:rPr>
        <w:t xml:space="preserve">, p. 4. Thus, plant damage states constitute the effective interface between PSA Level 1 and Level 2 (cf. </w:t>
      </w:r>
      <w:r w:rsidR="009E768B">
        <w:rPr>
          <w:rFonts w:eastAsia="Batang"/>
          <w:lang w:val="en-US"/>
        </w:rPr>
        <w:fldChar w:fldCharType="begin"/>
      </w:r>
      <w:r w:rsidR="008B4A42">
        <w:rPr>
          <w:rFonts w:eastAsia="Batang"/>
          <w:lang w:val="en-US"/>
        </w:rPr>
        <w:instrText xml:space="preserve"> REF _Ref323813108 \h </w:instrText>
      </w:r>
      <w:r w:rsidR="009E768B">
        <w:rPr>
          <w:rFonts w:eastAsia="Batang"/>
          <w:lang w:val="en-US"/>
        </w:rPr>
      </w:r>
      <w:r w:rsidR="009E768B">
        <w:rPr>
          <w:rFonts w:eastAsia="Batang"/>
          <w:lang w:val="en-US"/>
        </w:rPr>
        <w:fldChar w:fldCharType="separate"/>
      </w:r>
      <w:r w:rsidR="00B772CA" w:rsidRPr="00557A1D">
        <w:rPr>
          <w:lang w:val="en-US"/>
        </w:rPr>
        <w:t xml:space="preserve">Figure </w:t>
      </w:r>
      <w:r w:rsidR="00B772CA">
        <w:rPr>
          <w:noProof/>
          <w:lang w:val="en-US"/>
        </w:rPr>
        <w:t>1</w:t>
      </w:r>
      <w:r w:rsidR="009E768B">
        <w:rPr>
          <w:rFonts w:eastAsia="Batang"/>
          <w:lang w:val="en-US"/>
        </w:rPr>
        <w:fldChar w:fldCharType="end"/>
      </w:r>
      <w:r>
        <w:rPr>
          <w:rFonts w:eastAsia="Batang"/>
          <w:lang w:val="en-US"/>
        </w:rPr>
        <w:t xml:space="preserve">). </w:t>
      </w:r>
    </w:p>
    <w:p w:rsidR="001B697D" w:rsidRDefault="00191381">
      <w:pPr>
        <w:rPr>
          <w:rFonts w:eastAsia="Batang"/>
          <w:lang w:val="en-US"/>
        </w:rPr>
      </w:pPr>
      <w:r>
        <w:rPr>
          <w:rFonts w:eastAsia="Batang"/>
          <w:lang w:val="en-US"/>
        </w:rPr>
        <w:t>Then, the</w:t>
      </w:r>
      <w:r w:rsidR="00742DE0">
        <w:rPr>
          <w:rFonts w:eastAsia="Batang"/>
          <w:lang w:val="en-US"/>
        </w:rPr>
        <w:t xml:space="preserve"> plant damage state is defined by differentiating the core damage (section </w:t>
      </w:r>
      <w:r w:rsidR="009E768B">
        <w:rPr>
          <w:rFonts w:eastAsia="Batang"/>
          <w:lang w:val="en-US"/>
        </w:rPr>
        <w:fldChar w:fldCharType="begin"/>
      </w:r>
      <w:r w:rsidR="00742DE0">
        <w:rPr>
          <w:rFonts w:eastAsia="Batang"/>
          <w:lang w:val="en-US"/>
        </w:rPr>
        <w:instrText xml:space="preserve"> REF _Ref418066270 \r \h </w:instrText>
      </w:r>
      <w:r w:rsidR="009E768B">
        <w:rPr>
          <w:rFonts w:eastAsia="Batang"/>
          <w:lang w:val="en-US"/>
        </w:rPr>
      </w:r>
      <w:r w:rsidR="009E768B">
        <w:rPr>
          <w:rFonts w:eastAsia="Batang"/>
          <w:lang w:val="en-US"/>
        </w:rPr>
        <w:fldChar w:fldCharType="separate"/>
      </w:r>
      <w:r w:rsidR="00B772CA">
        <w:rPr>
          <w:rFonts w:eastAsia="Batang"/>
          <w:lang w:val="en-US"/>
        </w:rPr>
        <w:t>2.1</w:t>
      </w:r>
      <w:r w:rsidR="009E768B">
        <w:rPr>
          <w:rFonts w:eastAsia="Batang"/>
          <w:lang w:val="en-US"/>
        </w:rPr>
        <w:fldChar w:fldCharType="end"/>
      </w:r>
      <w:r w:rsidR="00742DE0">
        <w:rPr>
          <w:rFonts w:eastAsia="Batang"/>
          <w:lang w:val="en-US"/>
        </w:rPr>
        <w:t>) or fuel damage (</w:t>
      </w:r>
      <w:r w:rsidR="009E768B">
        <w:rPr>
          <w:rFonts w:eastAsia="Batang"/>
          <w:lang w:val="en-US"/>
        </w:rPr>
        <w:fldChar w:fldCharType="begin"/>
      </w:r>
      <w:r w:rsidR="00742DE0">
        <w:rPr>
          <w:rFonts w:eastAsia="Batang"/>
          <w:lang w:val="en-US"/>
        </w:rPr>
        <w:instrText xml:space="preserve"> REF _Ref444002748 \r \h </w:instrText>
      </w:r>
      <w:r w:rsidR="009E768B">
        <w:rPr>
          <w:rFonts w:eastAsia="Batang"/>
          <w:lang w:val="en-US"/>
        </w:rPr>
      </w:r>
      <w:r w:rsidR="009E768B">
        <w:rPr>
          <w:rFonts w:eastAsia="Batang"/>
          <w:lang w:val="en-US"/>
        </w:rPr>
        <w:fldChar w:fldCharType="separate"/>
      </w:r>
      <w:r w:rsidR="00B772CA">
        <w:rPr>
          <w:rFonts w:eastAsia="Batang"/>
          <w:lang w:val="en-US"/>
        </w:rPr>
        <w:t>2.12</w:t>
      </w:r>
      <w:r w:rsidR="009E768B">
        <w:rPr>
          <w:rFonts w:eastAsia="Batang"/>
          <w:lang w:val="en-US"/>
        </w:rPr>
        <w:fldChar w:fldCharType="end"/>
      </w:r>
      <w:r w:rsidR="00742DE0">
        <w:rPr>
          <w:rFonts w:eastAsia="Batang"/>
          <w:lang w:val="en-US"/>
        </w:rPr>
        <w:t xml:space="preserve">) risk metric by a set of additional attributes. </w:t>
      </w:r>
      <w:r w:rsidR="002B2513">
        <w:rPr>
          <w:rFonts w:eastAsia="Batang"/>
          <w:lang w:val="en-US"/>
        </w:rPr>
        <w:t>A specific plant damage metric (PDS</w:t>
      </w:r>
      <w:r w:rsidR="002B2513" w:rsidRPr="00C94556">
        <w:rPr>
          <w:rFonts w:eastAsia="Batang"/>
          <w:vertAlign w:val="subscript"/>
          <w:lang w:val="en-US"/>
        </w:rPr>
        <w:t>j</w:t>
      </w:r>
      <w:r w:rsidR="002B2513">
        <w:rPr>
          <w:rFonts w:eastAsia="Batang"/>
          <w:lang w:val="en-US"/>
        </w:rPr>
        <w:t>)</w:t>
      </w:r>
      <w:r w:rsidR="00371FE0">
        <w:rPr>
          <w:rFonts w:eastAsia="Batang"/>
          <w:lang w:val="en-US"/>
        </w:rPr>
        <w:t xml:space="preserve"> is then defined by a (consistent) combination of attributes.</w:t>
      </w:r>
      <w:r w:rsidR="002B2513">
        <w:rPr>
          <w:rFonts w:eastAsia="Batang"/>
          <w:lang w:val="en-US"/>
        </w:rPr>
        <w:t xml:space="preserve"> </w:t>
      </w:r>
      <w:r>
        <w:rPr>
          <w:rFonts w:eastAsia="Batang"/>
          <w:lang w:val="en-US"/>
        </w:rPr>
        <w:t>An example of criteria for differentiating these states for the binning of Level 1 sequences is given in</w:t>
      </w:r>
      <w:r w:rsidR="00636B67">
        <w:rPr>
          <w:rFonts w:eastAsia="Batang"/>
          <w:lang w:val="en-US"/>
        </w:rPr>
        <w:t xml:space="preserve"> </w:t>
      </w:r>
      <w:r w:rsidR="009E768B">
        <w:rPr>
          <w:rFonts w:eastAsia="Batang"/>
          <w:lang w:val="en-US"/>
        </w:rPr>
        <w:fldChar w:fldCharType="begin"/>
      </w:r>
      <w:r w:rsidR="00C54B04">
        <w:rPr>
          <w:rFonts w:eastAsia="Batang"/>
          <w:lang w:val="en-US"/>
        </w:rPr>
        <w:instrText xml:space="preserve"> REF _Ref323547675 \h </w:instrText>
      </w:r>
      <w:r w:rsidR="009E768B">
        <w:rPr>
          <w:rFonts w:eastAsia="Batang"/>
          <w:lang w:val="en-US"/>
        </w:rPr>
      </w:r>
      <w:r w:rsidR="009E768B">
        <w:rPr>
          <w:rFonts w:eastAsia="Batang"/>
          <w:lang w:val="en-US"/>
        </w:rPr>
        <w:fldChar w:fldCharType="separate"/>
      </w:r>
      <w:r w:rsidR="00B772CA" w:rsidRPr="00557A1D">
        <w:rPr>
          <w:lang w:val="en-US"/>
        </w:rPr>
        <w:t xml:space="preserve">Table </w:t>
      </w:r>
      <w:r w:rsidR="00B772CA">
        <w:rPr>
          <w:noProof/>
          <w:lang w:val="en-US"/>
        </w:rPr>
        <w:t>2</w:t>
      </w:r>
      <w:r w:rsidR="009E768B">
        <w:rPr>
          <w:rFonts w:eastAsia="Batang"/>
          <w:lang w:val="en-US"/>
        </w:rPr>
        <w:fldChar w:fldCharType="end"/>
      </w:r>
      <w:r>
        <w:rPr>
          <w:rFonts w:eastAsia="Batang"/>
          <w:lang w:val="en-US"/>
        </w:rPr>
        <w:t>.</w:t>
      </w:r>
      <w:r w:rsidR="008B6CE7">
        <w:rPr>
          <w:rFonts w:eastAsia="Batang"/>
          <w:lang w:val="en-US"/>
        </w:rPr>
        <w:t xml:space="preserve"> It is important to note that the adequate definition of plant damage states depends (at least) on the reactor type as well as the objectives and scope of the PSA Level 1 as well as the PSA Level 2.</w:t>
      </w:r>
    </w:p>
    <w:p w:rsidR="00191381" w:rsidRDefault="00191381">
      <w:pPr>
        <w:rPr>
          <w:rFonts w:eastAsia="Batang"/>
          <w:lang w:val="en-US"/>
        </w:rPr>
      </w:pPr>
    </w:p>
    <w:p w:rsidR="00C366ED" w:rsidRDefault="00191381" w:rsidP="00C366ED">
      <w:pPr>
        <w:keepNext/>
      </w:pPr>
      <w:r>
        <w:rPr>
          <w:noProof/>
        </w:rPr>
        <w:lastRenderedPageBreak/>
        <w:drawing>
          <wp:inline distT="0" distB="0" distL="0" distR="0" wp14:anchorId="5F40C497" wp14:editId="52C2B07E">
            <wp:extent cx="5988050" cy="289809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668" t="23577" r="10909" b="21856"/>
                    <a:stretch/>
                  </pic:blipFill>
                  <pic:spPr bwMode="auto">
                    <a:xfrm>
                      <a:off x="0" y="0"/>
                      <a:ext cx="5991253" cy="2899645"/>
                    </a:xfrm>
                    <a:prstGeom prst="rect">
                      <a:avLst/>
                    </a:prstGeom>
                    <a:ln>
                      <a:noFill/>
                    </a:ln>
                    <a:extLst>
                      <a:ext uri="{53640926-AAD7-44D8-BBD7-CCE9431645EC}">
                        <a14:shadowObscured xmlns:a14="http://schemas.microsoft.com/office/drawing/2010/main"/>
                      </a:ext>
                    </a:extLst>
                  </pic:spPr>
                </pic:pic>
              </a:graphicData>
            </a:graphic>
          </wp:inline>
        </w:drawing>
      </w:r>
    </w:p>
    <w:p w:rsidR="00191381" w:rsidRPr="00557A1D" w:rsidRDefault="00C366ED" w:rsidP="00E236DA">
      <w:pPr>
        <w:pStyle w:val="Lgende"/>
        <w:rPr>
          <w:lang w:val="en-US"/>
        </w:rPr>
      </w:pPr>
      <w:bookmarkStart w:id="172" w:name="_Ref323813108"/>
      <w:bookmarkStart w:id="173" w:name="_Toc474428908"/>
      <w:r w:rsidRPr="00557A1D">
        <w:rPr>
          <w:lang w:val="en-US"/>
        </w:rPr>
        <w:t xml:space="preserve">Figure </w:t>
      </w:r>
      <w:r w:rsidR="009E768B">
        <w:fldChar w:fldCharType="begin"/>
      </w:r>
      <w:r w:rsidRPr="00557A1D">
        <w:rPr>
          <w:lang w:val="en-US"/>
        </w:rPr>
        <w:instrText xml:space="preserve"> SEQ Figure \* ARABIC </w:instrText>
      </w:r>
      <w:r w:rsidR="009E768B">
        <w:fldChar w:fldCharType="separate"/>
      </w:r>
      <w:r w:rsidR="00B772CA">
        <w:rPr>
          <w:noProof/>
          <w:lang w:val="en-US"/>
        </w:rPr>
        <w:t>1</w:t>
      </w:r>
      <w:r w:rsidR="009E768B">
        <w:fldChar w:fldCharType="end"/>
      </w:r>
      <w:bookmarkEnd w:id="172"/>
      <w:r w:rsidRPr="00557A1D">
        <w:rPr>
          <w:lang w:val="en-US"/>
        </w:rPr>
        <w:t xml:space="preserve"> : Connection between PSA Levels </w:t>
      </w:r>
      <w:r w:rsidR="009E768B">
        <w:fldChar w:fldCharType="begin"/>
      </w:r>
      <w:r w:rsidRPr="00557A1D">
        <w:rPr>
          <w:lang w:val="en-US"/>
        </w:rPr>
        <w:instrText xml:space="preserve"> REF _Ref393115557 \r \h </w:instrText>
      </w:r>
      <w:r w:rsidR="009E768B">
        <w:fldChar w:fldCharType="separate"/>
      </w:r>
      <w:r w:rsidR="00B772CA">
        <w:rPr>
          <w:lang w:val="en-US"/>
        </w:rPr>
        <w:t>[5]</w:t>
      </w:r>
      <w:bookmarkEnd w:id="173"/>
      <w:r w:rsidR="009E768B">
        <w:fldChar w:fldCharType="end"/>
      </w:r>
    </w:p>
    <w:p w:rsidR="00191381" w:rsidRDefault="00191381">
      <w:pPr>
        <w:rPr>
          <w:rFonts w:eastAsia="Batang"/>
          <w:lang w:val="en-US"/>
        </w:rPr>
      </w:pPr>
    </w:p>
    <w:p w:rsidR="000C1ABB" w:rsidRPr="00C94556" w:rsidRDefault="000C1ABB" w:rsidP="000C1ABB">
      <w:pPr>
        <w:rPr>
          <w:rFonts w:eastAsia="Batang"/>
          <w:lang w:val="en-US"/>
        </w:rPr>
      </w:pPr>
      <w:r w:rsidRPr="00C94556">
        <w:rPr>
          <w:rFonts w:eastAsia="Batang"/>
          <w:lang w:val="en-US"/>
        </w:rPr>
        <w:t>The following tables provide example</w:t>
      </w:r>
      <w:r>
        <w:rPr>
          <w:rFonts w:eastAsia="Batang"/>
          <w:lang w:val="en-US"/>
        </w:rPr>
        <w:t>s</w:t>
      </w:r>
      <w:r w:rsidRPr="00C94556">
        <w:rPr>
          <w:rFonts w:eastAsia="Batang"/>
          <w:lang w:val="en-US"/>
        </w:rPr>
        <w:t xml:space="preserve"> </w:t>
      </w:r>
      <w:r w:rsidR="0077117F">
        <w:rPr>
          <w:rFonts w:eastAsia="Batang"/>
          <w:lang w:val="en-US"/>
        </w:rPr>
        <w:t xml:space="preserve">of PDS applied </w:t>
      </w:r>
      <w:r w:rsidRPr="00C94556">
        <w:rPr>
          <w:rFonts w:eastAsia="Batang"/>
          <w:lang w:val="en-US"/>
        </w:rPr>
        <w:t xml:space="preserve">in </w:t>
      </w:r>
      <w:r>
        <w:rPr>
          <w:rFonts w:eastAsia="Batang"/>
          <w:lang w:val="en-US"/>
        </w:rPr>
        <w:t>different countries.</w:t>
      </w:r>
    </w:p>
    <w:p w:rsidR="000C1ABB" w:rsidRDefault="000C1ABB">
      <w:pPr>
        <w:rPr>
          <w:rFonts w:eastAsia="Batang"/>
          <w:lang w:val="en-US"/>
        </w:rPr>
      </w:pPr>
    </w:p>
    <w:p w:rsidR="00636B67" w:rsidRPr="00557A1D" w:rsidRDefault="00636B67" w:rsidP="00E236DA">
      <w:pPr>
        <w:pStyle w:val="Lgende"/>
        <w:rPr>
          <w:lang w:val="en-US"/>
        </w:rPr>
      </w:pPr>
      <w:bookmarkStart w:id="174" w:name="_Ref323547675"/>
      <w:bookmarkStart w:id="175" w:name="_Toc474428898"/>
      <w:r w:rsidRPr="00557A1D">
        <w:rPr>
          <w:lang w:val="en-US"/>
        </w:rPr>
        <w:t xml:space="preserve">Table </w:t>
      </w:r>
      <w:r w:rsidR="009E768B">
        <w:fldChar w:fldCharType="begin"/>
      </w:r>
      <w:r w:rsidRPr="00557A1D">
        <w:rPr>
          <w:lang w:val="en-US"/>
        </w:rPr>
        <w:instrText xml:space="preserve"> SEQ Table \* ARABIC </w:instrText>
      </w:r>
      <w:r w:rsidR="009E768B">
        <w:fldChar w:fldCharType="separate"/>
      </w:r>
      <w:r w:rsidR="00B772CA">
        <w:rPr>
          <w:noProof/>
          <w:lang w:val="en-US"/>
        </w:rPr>
        <w:t>2</w:t>
      </w:r>
      <w:r w:rsidR="009E768B">
        <w:fldChar w:fldCharType="end"/>
      </w:r>
      <w:bookmarkEnd w:id="174"/>
      <w:r w:rsidR="00557A1D" w:rsidRPr="00552F4E">
        <w:rPr>
          <w:lang w:val="en-US"/>
        </w:rPr>
        <w:t> :</w:t>
      </w:r>
      <w:r w:rsidRPr="00557A1D">
        <w:rPr>
          <w:lang w:val="en-US"/>
        </w:rPr>
        <w:t xml:space="preserve"> PDS Attributes for a German Type PWR Reactor (following </w:t>
      </w:r>
      <w:r w:rsidR="009E768B">
        <w:fldChar w:fldCharType="begin"/>
      </w:r>
      <w:r w:rsidRPr="00557A1D">
        <w:rPr>
          <w:lang w:val="en-US"/>
        </w:rPr>
        <w:instrText xml:space="preserve"> REF _Ref444006849 \r \h </w:instrText>
      </w:r>
      <w:r w:rsidR="009E768B">
        <w:fldChar w:fldCharType="separate"/>
      </w:r>
      <w:r w:rsidR="00B772CA">
        <w:rPr>
          <w:lang w:val="en-US"/>
        </w:rPr>
        <w:t>[107]</w:t>
      </w:r>
      <w:r w:rsidR="009E768B">
        <w:fldChar w:fldCharType="end"/>
      </w:r>
      <w:r w:rsidRPr="00557A1D">
        <w:rPr>
          <w:lang w:val="en-US"/>
        </w:rPr>
        <w:t>)</w:t>
      </w:r>
      <w:bookmarkEnd w:id="175"/>
    </w:p>
    <w:p w:rsidR="00332170" w:rsidRPr="00313E82" w:rsidRDefault="00332170" w:rsidP="007D5E00">
      <w:pPr>
        <w:pStyle w:val="Lgende"/>
        <w:rPr>
          <w:rFonts w:eastAsia="Batang"/>
          <w:lang w:val="en-US"/>
        </w:rPr>
      </w:pPr>
    </w:p>
    <w:tbl>
      <w:tblPr>
        <w:tblStyle w:val="Grilledutableau"/>
        <w:tblW w:w="0" w:type="auto"/>
        <w:tblLook w:val="04A0" w:firstRow="1" w:lastRow="0" w:firstColumn="1" w:lastColumn="0" w:noHBand="0" w:noVBand="1"/>
      </w:tblPr>
      <w:tblGrid>
        <w:gridCol w:w="3652"/>
        <w:gridCol w:w="5843"/>
      </w:tblGrid>
      <w:tr w:rsidR="00332170" w:rsidTr="00C94556">
        <w:tc>
          <w:tcPr>
            <w:tcW w:w="3652" w:type="dxa"/>
          </w:tcPr>
          <w:p w:rsidR="00332170" w:rsidRPr="00332170" w:rsidRDefault="00332170" w:rsidP="00C94556">
            <w:pPr>
              <w:rPr>
                <w:rFonts w:eastAsia="Batang"/>
                <w:b/>
                <w:iCs/>
                <w:u w:val="single"/>
                <w:lang w:val="en-US"/>
              </w:rPr>
            </w:pPr>
            <w:r w:rsidRPr="00332170">
              <w:rPr>
                <w:rFonts w:eastAsia="Batang"/>
                <w:b/>
                <w:lang w:val="en-US"/>
              </w:rPr>
              <w:t>PDS Attribute</w:t>
            </w:r>
            <w:r>
              <w:rPr>
                <w:rFonts w:eastAsia="Batang"/>
                <w:b/>
                <w:lang w:val="en-US"/>
              </w:rPr>
              <w:t xml:space="preserve"> Class</w:t>
            </w:r>
          </w:p>
        </w:tc>
        <w:tc>
          <w:tcPr>
            <w:tcW w:w="5843" w:type="dxa"/>
          </w:tcPr>
          <w:p w:rsidR="00332170" w:rsidRPr="00332170" w:rsidRDefault="00332170" w:rsidP="00C94556">
            <w:pPr>
              <w:rPr>
                <w:rFonts w:eastAsia="Batang"/>
                <w:b/>
                <w:iCs/>
                <w:u w:val="single"/>
                <w:lang w:val="en-US"/>
              </w:rPr>
            </w:pPr>
            <w:r w:rsidRPr="00332170">
              <w:rPr>
                <w:rFonts w:eastAsia="Batang"/>
                <w:b/>
                <w:lang w:val="en-US"/>
              </w:rPr>
              <w:t xml:space="preserve">Recommended </w:t>
            </w:r>
            <w:r>
              <w:rPr>
                <w:rFonts w:eastAsia="Batang"/>
                <w:b/>
                <w:lang w:val="en-US"/>
              </w:rPr>
              <w:t>Attributes</w:t>
            </w:r>
          </w:p>
        </w:tc>
      </w:tr>
      <w:tr w:rsidR="00332170" w:rsidRPr="00557A1D" w:rsidTr="00C94556">
        <w:tc>
          <w:tcPr>
            <w:tcW w:w="3652" w:type="dxa"/>
          </w:tcPr>
          <w:p w:rsidR="00332170" w:rsidRDefault="00332170" w:rsidP="00C94556">
            <w:pPr>
              <w:rPr>
                <w:rFonts w:eastAsia="Batang"/>
                <w:b/>
                <w:iCs/>
                <w:u w:val="single"/>
                <w:lang w:val="en-US"/>
              </w:rPr>
            </w:pPr>
            <w:r w:rsidRPr="00C94556">
              <w:rPr>
                <w:rFonts w:eastAsia="Batang"/>
                <w:lang w:val="en-US"/>
              </w:rPr>
              <w:t>Initiating event</w:t>
            </w:r>
          </w:p>
        </w:tc>
        <w:tc>
          <w:tcPr>
            <w:tcW w:w="5843" w:type="dxa"/>
          </w:tcPr>
          <w:p w:rsidR="00332170" w:rsidRDefault="00332170" w:rsidP="00C94556">
            <w:pPr>
              <w:rPr>
                <w:rFonts w:eastAsia="Batang"/>
                <w:b/>
                <w:iCs/>
                <w:u w:val="single"/>
                <w:lang w:val="en-US"/>
              </w:rPr>
            </w:pPr>
            <w:r w:rsidRPr="00332170">
              <w:rPr>
                <w:rFonts w:eastAsia="Batang"/>
                <w:lang w:val="en-US"/>
              </w:rPr>
              <w:t>Transient</w:t>
            </w:r>
            <w:r>
              <w:rPr>
                <w:rFonts w:eastAsia="Batang"/>
                <w:lang w:val="en-US"/>
              </w:rPr>
              <w:t xml:space="preserve"> vs. </w:t>
            </w:r>
            <w:r w:rsidRPr="00332170">
              <w:rPr>
                <w:rFonts w:eastAsia="Batang"/>
                <w:lang w:val="en-US"/>
              </w:rPr>
              <w:t xml:space="preserve">LOCA </w:t>
            </w:r>
          </w:p>
          <w:p w:rsidR="00332170" w:rsidRPr="00332170" w:rsidRDefault="00332170" w:rsidP="00C94556">
            <w:pPr>
              <w:rPr>
                <w:rFonts w:eastAsia="Batang"/>
                <w:b/>
                <w:iCs/>
                <w:u w:val="single"/>
                <w:lang w:val="en-US"/>
              </w:rPr>
            </w:pPr>
            <w:r w:rsidRPr="00332170">
              <w:rPr>
                <w:rFonts w:eastAsia="Batang"/>
                <w:lang w:val="en-US"/>
              </w:rPr>
              <w:t xml:space="preserve">Large </w:t>
            </w:r>
            <w:r>
              <w:rPr>
                <w:rFonts w:eastAsia="Batang"/>
                <w:lang w:val="en-US"/>
              </w:rPr>
              <w:t>break</w:t>
            </w:r>
            <w:r w:rsidRPr="00332170">
              <w:rPr>
                <w:rFonts w:eastAsia="Batang"/>
                <w:lang w:val="en-US"/>
              </w:rPr>
              <w:t xml:space="preserve"> LOCA </w:t>
            </w:r>
            <w:r>
              <w:rPr>
                <w:rFonts w:eastAsia="Batang"/>
                <w:lang w:val="en-US"/>
              </w:rPr>
              <w:t>vs.</w:t>
            </w:r>
            <w:r w:rsidRPr="00332170">
              <w:rPr>
                <w:rFonts w:eastAsia="Batang"/>
                <w:lang w:val="en-US"/>
              </w:rPr>
              <w:t xml:space="preserve"> Small </w:t>
            </w:r>
            <w:r>
              <w:rPr>
                <w:rFonts w:eastAsia="Batang"/>
                <w:lang w:val="en-US"/>
              </w:rPr>
              <w:t>break</w:t>
            </w:r>
            <w:r w:rsidRPr="00332170">
              <w:rPr>
                <w:rFonts w:eastAsia="Batang"/>
                <w:lang w:val="en-US"/>
              </w:rPr>
              <w:t xml:space="preserve"> LOCA</w:t>
            </w:r>
          </w:p>
          <w:p w:rsidR="00332170" w:rsidRPr="00332170" w:rsidRDefault="00332170" w:rsidP="00C94556">
            <w:pPr>
              <w:rPr>
                <w:rFonts w:eastAsia="Batang"/>
                <w:b/>
                <w:iCs/>
                <w:u w:val="single"/>
                <w:lang w:val="en-US"/>
              </w:rPr>
            </w:pPr>
            <w:r w:rsidRPr="00332170">
              <w:rPr>
                <w:rFonts w:eastAsia="Batang"/>
                <w:lang w:val="en-US"/>
              </w:rPr>
              <w:t>Stuck-open safety/relief valve</w:t>
            </w:r>
          </w:p>
          <w:p w:rsidR="00332170" w:rsidRPr="00332170" w:rsidRDefault="00332170" w:rsidP="00C94556">
            <w:pPr>
              <w:rPr>
                <w:rFonts w:eastAsia="Batang"/>
                <w:b/>
                <w:iCs/>
                <w:u w:val="single"/>
                <w:lang w:val="en-US"/>
              </w:rPr>
            </w:pPr>
            <w:r w:rsidRPr="00332170">
              <w:rPr>
                <w:rFonts w:eastAsia="Batang"/>
                <w:lang w:val="en-US"/>
              </w:rPr>
              <w:t xml:space="preserve">Anticipated Transient </w:t>
            </w:r>
            <w:r w:rsidR="004C00E3">
              <w:rPr>
                <w:rFonts w:eastAsia="Batang"/>
                <w:lang w:val="en-US"/>
              </w:rPr>
              <w:t>W</w:t>
            </w:r>
            <w:r w:rsidRPr="00332170">
              <w:rPr>
                <w:rFonts w:eastAsia="Batang"/>
                <w:lang w:val="en-US"/>
              </w:rPr>
              <w:t xml:space="preserve">ithout </w:t>
            </w:r>
            <w:r w:rsidR="004C00E3">
              <w:rPr>
                <w:rFonts w:eastAsia="Batang"/>
                <w:lang w:val="en-US"/>
              </w:rPr>
              <w:t>S</w:t>
            </w:r>
            <w:r w:rsidRPr="00332170">
              <w:rPr>
                <w:rFonts w:eastAsia="Batang"/>
                <w:lang w:val="en-US"/>
              </w:rPr>
              <w:t>cram (ATWS)</w:t>
            </w:r>
          </w:p>
          <w:p w:rsidR="00332170" w:rsidRDefault="00332170" w:rsidP="00C94556">
            <w:pPr>
              <w:rPr>
                <w:rFonts w:eastAsia="Batang"/>
                <w:b/>
                <w:iCs/>
                <w:u w:val="single"/>
                <w:lang w:val="en-US"/>
              </w:rPr>
            </w:pPr>
            <w:r w:rsidRPr="00332170">
              <w:rPr>
                <w:rFonts w:eastAsia="Batang"/>
                <w:lang w:val="en-US"/>
              </w:rPr>
              <w:t>Bypass event (</w:t>
            </w:r>
            <w:r>
              <w:rPr>
                <w:rFonts w:eastAsia="Batang"/>
                <w:lang w:val="en-US"/>
              </w:rPr>
              <w:t>i</w:t>
            </w:r>
            <w:r w:rsidRPr="00332170">
              <w:rPr>
                <w:rFonts w:eastAsia="Batang"/>
                <w:lang w:val="en-US"/>
              </w:rPr>
              <w:t>nterfacing systems LOCA, or steam generator tube rupture)</w:t>
            </w:r>
          </w:p>
          <w:p w:rsidR="00332170" w:rsidRDefault="00332170" w:rsidP="00C94556">
            <w:pPr>
              <w:rPr>
                <w:rFonts w:eastAsia="Batang"/>
                <w:b/>
                <w:iCs/>
                <w:u w:val="single"/>
                <w:lang w:val="en-US"/>
              </w:rPr>
            </w:pPr>
            <w:r>
              <w:rPr>
                <w:rFonts w:eastAsia="Batang"/>
                <w:lang w:val="en-US"/>
              </w:rPr>
              <w:t>Status of power supply (SBO, LOOP)</w:t>
            </w:r>
          </w:p>
        </w:tc>
      </w:tr>
      <w:tr w:rsidR="00332170" w:rsidRPr="00557A1D" w:rsidTr="00C94556">
        <w:tc>
          <w:tcPr>
            <w:tcW w:w="3652" w:type="dxa"/>
          </w:tcPr>
          <w:p w:rsidR="00332170" w:rsidRDefault="00332170" w:rsidP="00C94556">
            <w:pPr>
              <w:rPr>
                <w:rFonts w:eastAsia="Batang"/>
                <w:b/>
                <w:iCs/>
                <w:u w:val="single"/>
                <w:lang w:val="en-US"/>
              </w:rPr>
            </w:pPr>
            <w:r>
              <w:rPr>
                <w:rFonts w:eastAsia="Batang"/>
                <w:lang w:val="en-US"/>
              </w:rPr>
              <w:t>Primary side depressurization</w:t>
            </w:r>
          </w:p>
        </w:tc>
        <w:tc>
          <w:tcPr>
            <w:tcW w:w="5843" w:type="dxa"/>
          </w:tcPr>
          <w:p w:rsidR="00332170" w:rsidRDefault="00332170" w:rsidP="00C94556">
            <w:pPr>
              <w:rPr>
                <w:rFonts w:eastAsia="Batang"/>
                <w:b/>
                <w:iCs/>
                <w:u w:val="single"/>
                <w:lang w:val="en-US"/>
              </w:rPr>
            </w:pPr>
            <w:r>
              <w:rPr>
                <w:rFonts w:eastAsia="Batang"/>
                <w:lang w:val="en-US"/>
              </w:rPr>
              <w:t>Successful, available but not actuated, unavailable</w:t>
            </w:r>
          </w:p>
        </w:tc>
      </w:tr>
      <w:tr w:rsidR="00332170" w:rsidRPr="00557A1D" w:rsidTr="00C94556">
        <w:tc>
          <w:tcPr>
            <w:tcW w:w="3652" w:type="dxa"/>
          </w:tcPr>
          <w:p w:rsidR="00332170" w:rsidRDefault="00332170" w:rsidP="00C94556">
            <w:pPr>
              <w:rPr>
                <w:rFonts w:eastAsia="Batang"/>
                <w:b/>
                <w:iCs/>
                <w:u w:val="single"/>
                <w:lang w:val="en-US"/>
              </w:rPr>
            </w:pPr>
            <w:r>
              <w:rPr>
                <w:rFonts w:eastAsia="Batang"/>
                <w:lang w:val="en-US"/>
              </w:rPr>
              <w:t>Injection to the RPV</w:t>
            </w:r>
          </w:p>
        </w:tc>
        <w:tc>
          <w:tcPr>
            <w:tcW w:w="5843" w:type="dxa"/>
          </w:tcPr>
          <w:p w:rsidR="00332170" w:rsidRDefault="00332170" w:rsidP="00C94556">
            <w:pPr>
              <w:rPr>
                <w:rFonts w:eastAsia="Batang"/>
                <w:b/>
                <w:iCs/>
                <w:u w:val="single"/>
                <w:lang w:val="en-US"/>
              </w:rPr>
            </w:pPr>
            <w:r>
              <w:rPr>
                <w:rFonts w:eastAsia="Batang"/>
                <w:lang w:val="en-US"/>
              </w:rPr>
              <w:t>HP or LP injection systems available or unavailable</w:t>
            </w:r>
          </w:p>
        </w:tc>
      </w:tr>
      <w:tr w:rsidR="00332170" w:rsidRPr="00557A1D" w:rsidTr="00C94556">
        <w:tc>
          <w:tcPr>
            <w:tcW w:w="3652" w:type="dxa"/>
          </w:tcPr>
          <w:p w:rsidR="00332170" w:rsidRDefault="00332170" w:rsidP="00C94556">
            <w:pPr>
              <w:rPr>
                <w:rFonts w:eastAsia="Batang"/>
                <w:b/>
                <w:iCs/>
                <w:u w:val="single"/>
                <w:lang w:val="en-US"/>
              </w:rPr>
            </w:pPr>
            <w:r>
              <w:rPr>
                <w:rFonts w:eastAsia="Batang"/>
                <w:lang w:val="en-US"/>
              </w:rPr>
              <w:t>RCS pressure at core damage</w:t>
            </w:r>
          </w:p>
        </w:tc>
        <w:tc>
          <w:tcPr>
            <w:tcW w:w="5843" w:type="dxa"/>
          </w:tcPr>
          <w:p w:rsidR="00332170" w:rsidRDefault="00332170" w:rsidP="00C94556">
            <w:pPr>
              <w:rPr>
                <w:rFonts w:eastAsia="Batang"/>
                <w:b/>
                <w:iCs/>
                <w:u w:val="single"/>
                <w:lang w:val="en-US"/>
              </w:rPr>
            </w:pPr>
            <w:r>
              <w:rPr>
                <w:rFonts w:eastAsia="Batang"/>
                <w:lang w:val="en-US"/>
              </w:rPr>
              <w:t>Below LP systems, below HP system, larger than HP systems</w:t>
            </w:r>
          </w:p>
        </w:tc>
      </w:tr>
      <w:tr w:rsidR="00332170" w:rsidRPr="00557A1D" w:rsidTr="00C94556">
        <w:tc>
          <w:tcPr>
            <w:tcW w:w="3652" w:type="dxa"/>
          </w:tcPr>
          <w:p w:rsidR="00332170" w:rsidRDefault="00332170" w:rsidP="00C94556">
            <w:pPr>
              <w:rPr>
                <w:rFonts w:eastAsia="Batang"/>
                <w:b/>
                <w:iCs/>
                <w:u w:val="single"/>
                <w:lang w:val="en-US"/>
              </w:rPr>
            </w:pPr>
            <w:r>
              <w:rPr>
                <w:rFonts w:eastAsia="Batang"/>
                <w:lang w:val="en-US"/>
              </w:rPr>
              <w:t>Coolant mass from RCS to containment</w:t>
            </w:r>
          </w:p>
          <w:p w:rsidR="00332170" w:rsidRDefault="00332170" w:rsidP="00C94556">
            <w:pPr>
              <w:rPr>
                <w:rFonts w:eastAsia="Batang"/>
                <w:b/>
                <w:iCs/>
                <w:u w:val="single"/>
                <w:lang w:val="en-US"/>
              </w:rPr>
            </w:pPr>
            <w:r>
              <w:rPr>
                <w:rFonts w:eastAsia="Batang"/>
                <w:lang w:val="en-US"/>
              </w:rPr>
              <w:t>Water from refueling water storage tanks</w:t>
            </w:r>
          </w:p>
          <w:p w:rsidR="00332170" w:rsidRDefault="00332170" w:rsidP="00C94556">
            <w:pPr>
              <w:rPr>
                <w:rFonts w:eastAsia="Batang"/>
                <w:b/>
                <w:iCs/>
                <w:u w:val="single"/>
                <w:lang w:val="en-US"/>
              </w:rPr>
            </w:pPr>
            <w:r>
              <w:rPr>
                <w:rFonts w:eastAsia="Batang"/>
                <w:lang w:val="en-US"/>
              </w:rPr>
              <w:t>Water from accumulators</w:t>
            </w:r>
          </w:p>
        </w:tc>
        <w:tc>
          <w:tcPr>
            <w:tcW w:w="5843" w:type="dxa"/>
          </w:tcPr>
          <w:p w:rsidR="00332170" w:rsidRDefault="00332170" w:rsidP="00C94556">
            <w:pPr>
              <w:rPr>
                <w:rFonts w:eastAsia="Batang"/>
                <w:b/>
                <w:iCs/>
                <w:u w:val="single"/>
                <w:lang w:val="en-US"/>
              </w:rPr>
            </w:pPr>
            <w:r>
              <w:rPr>
                <w:rFonts w:eastAsia="Batang"/>
                <w:lang w:val="en-US"/>
              </w:rPr>
              <w:t>Adequate groups of water masses, differentiated by water source (storage tanks, accumulators, RCS inventory)</w:t>
            </w:r>
          </w:p>
        </w:tc>
      </w:tr>
      <w:tr w:rsidR="00332170" w:rsidTr="00C94556">
        <w:tc>
          <w:tcPr>
            <w:tcW w:w="3652" w:type="dxa"/>
          </w:tcPr>
          <w:p w:rsidR="00332170" w:rsidRDefault="00332170" w:rsidP="00C94556">
            <w:pPr>
              <w:rPr>
                <w:rFonts w:eastAsia="Batang"/>
                <w:b/>
                <w:iCs/>
                <w:u w:val="single"/>
                <w:lang w:val="en-US"/>
              </w:rPr>
            </w:pPr>
            <w:r>
              <w:rPr>
                <w:rFonts w:eastAsia="Batang"/>
                <w:lang w:val="en-US"/>
              </w:rPr>
              <w:t>Secondary side heat removal</w:t>
            </w:r>
          </w:p>
        </w:tc>
        <w:tc>
          <w:tcPr>
            <w:tcW w:w="5843" w:type="dxa"/>
          </w:tcPr>
          <w:p w:rsidR="00332170" w:rsidRDefault="00332170" w:rsidP="00C94556">
            <w:pPr>
              <w:rPr>
                <w:rFonts w:eastAsia="Batang"/>
                <w:b/>
                <w:iCs/>
                <w:u w:val="single"/>
                <w:lang w:val="en-US"/>
              </w:rPr>
            </w:pPr>
            <w:r>
              <w:rPr>
                <w:rFonts w:eastAsia="Batang"/>
                <w:lang w:val="en-US"/>
              </w:rPr>
              <w:t>Available/not available</w:t>
            </w:r>
          </w:p>
        </w:tc>
      </w:tr>
      <w:tr w:rsidR="00332170" w:rsidTr="00C94556">
        <w:tc>
          <w:tcPr>
            <w:tcW w:w="3652" w:type="dxa"/>
          </w:tcPr>
          <w:p w:rsidR="00332170" w:rsidRDefault="00332170" w:rsidP="00C94556">
            <w:pPr>
              <w:rPr>
                <w:rFonts w:eastAsia="Batang"/>
                <w:b/>
                <w:iCs/>
                <w:u w:val="single"/>
                <w:lang w:val="en-US"/>
              </w:rPr>
            </w:pPr>
            <w:r>
              <w:rPr>
                <w:rFonts w:eastAsia="Batang"/>
                <w:lang w:val="en-US"/>
              </w:rPr>
              <w:t>Containment isolation</w:t>
            </w:r>
          </w:p>
        </w:tc>
        <w:tc>
          <w:tcPr>
            <w:tcW w:w="5843" w:type="dxa"/>
          </w:tcPr>
          <w:p w:rsidR="00332170" w:rsidRDefault="00332170" w:rsidP="00C94556">
            <w:pPr>
              <w:rPr>
                <w:rFonts w:eastAsia="Batang"/>
                <w:b/>
                <w:iCs/>
                <w:u w:val="single"/>
                <w:lang w:val="en-US"/>
              </w:rPr>
            </w:pPr>
            <w:r>
              <w:rPr>
                <w:rFonts w:eastAsia="Batang"/>
                <w:lang w:val="en-US"/>
              </w:rPr>
              <w:t>Isolated / not isolated</w:t>
            </w:r>
          </w:p>
        </w:tc>
      </w:tr>
      <w:tr w:rsidR="00332170" w:rsidRPr="00557A1D" w:rsidTr="00C94556">
        <w:tc>
          <w:tcPr>
            <w:tcW w:w="3652" w:type="dxa"/>
          </w:tcPr>
          <w:p w:rsidR="00332170" w:rsidRDefault="00332170" w:rsidP="00C94556">
            <w:pPr>
              <w:rPr>
                <w:rFonts w:eastAsia="Batang"/>
                <w:b/>
                <w:iCs/>
                <w:u w:val="single"/>
                <w:lang w:val="en-US"/>
              </w:rPr>
            </w:pPr>
            <w:r>
              <w:rPr>
                <w:rFonts w:eastAsia="Batang"/>
                <w:lang w:val="en-US"/>
              </w:rPr>
              <w:t>Time to core damage</w:t>
            </w:r>
          </w:p>
        </w:tc>
        <w:tc>
          <w:tcPr>
            <w:tcW w:w="5843" w:type="dxa"/>
          </w:tcPr>
          <w:p w:rsidR="00332170" w:rsidRDefault="00332170" w:rsidP="00C94556">
            <w:pPr>
              <w:rPr>
                <w:rFonts w:eastAsia="Batang"/>
                <w:b/>
                <w:iCs/>
                <w:u w:val="single"/>
                <w:lang w:val="en-US"/>
              </w:rPr>
            </w:pPr>
            <w:r>
              <w:rPr>
                <w:rFonts w:eastAsia="Batang"/>
                <w:lang w:val="en-US"/>
              </w:rPr>
              <w:t>e.g. early / medium / long</w:t>
            </w:r>
          </w:p>
        </w:tc>
      </w:tr>
      <w:tr w:rsidR="00332170" w:rsidTr="00C94556">
        <w:tc>
          <w:tcPr>
            <w:tcW w:w="3652" w:type="dxa"/>
          </w:tcPr>
          <w:p w:rsidR="00332170" w:rsidRDefault="00332170" w:rsidP="00C94556">
            <w:pPr>
              <w:rPr>
                <w:rFonts w:eastAsia="Batang"/>
                <w:b/>
                <w:iCs/>
                <w:u w:val="single"/>
                <w:lang w:val="en-US"/>
              </w:rPr>
            </w:pPr>
            <w:r>
              <w:rPr>
                <w:rFonts w:eastAsia="Batang"/>
                <w:lang w:val="en-US"/>
              </w:rPr>
              <w:t>Containment leakage control</w:t>
            </w:r>
          </w:p>
        </w:tc>
        <w:tc>
          <w:tcPr>
            <w:tcW w:w="5843" w:type="dxa"/>
          </w:tcPr>
          <w:p w:rsidR="00332170" w:rsidRDefault="00332170" w:rsidP="00C94556">
            <w:pPr>
              <w:rPr>
                <w:rFonts w:eastAsia="Batang"/>
                <w:b/>
                <w:iCs/>
                <w:u w:val="single"/>
                <w:lang w:val="en-US"/>
              </w:rPr>
            </w:pPr>
            <w:r>
              <w:rPr>
                <w:rFonts w:eastAsia="Batang"/>
                <w:lang w:val="en-US"/>
              </w:rPr>
              <w:t>Available / not available</w:t>
            </w:r>
          </w:p>
        </w:tc>
      </w:tr>
      <w:tr w:rsidR="00332170" w:rsidRPr="00557A1D" w:rsidTr="00C94556">
        <w:tc>
          <w:tcPr>
            <w:tcW w:w="3652" w:type="dxa"/>
          </w:tcPr>
          <w:p w:rsidR="00332170" w:rsidRDefault="00332170" w:rsidP="00C94556">
            <w:pPr>
              <w:rPr>
                <w:rFonts w:eastAsia="Batang"/>
                <w:b/>
                <w:iCs/>
                <w:u w:val="single"/>
                <w:lang w:val="en-US"/>
              </w:rPr>
            </w:pPr>
            <w:r>
              <w:rPr>
                <w:rFonts w:eastAsia="Batang"/>
                <w:lang w:val="en-US"/>
              </w:rPr>
              <w:t xml:space="preserve">Air recirculation systems for service and </w:t>
            </w:r>
            <w:r>
              <w:rPr>
                <w:rFonts w:eastAsia="Batang"/>
                <w:lang w:val="en-US"/>
              </w:rPr>
              <w:lastRenderedPageBreak/>
              <w:t>for equipment compartments</w:t>
            </w:r>
          </w:p>
        </w:tc>
        <w:tc>
          <w:tcPr>
            <w:tcW w:w="5843" w:type="dxa"/>
          </w:tcPr>
          <w:p w:rsidR="00332170" w:rsidRDefault="009D74D8" w:rsidP="00C94556">
            <w:pPr>
              <w:rPr>
                <w:rFonts w:eastAsia="Batang"/>
                <w:b/>
                <w:iCs/>
                <w:u w:val="single"/>
                <w:lang w:val="en-US"/>
              </w:rPr>
            </w:pPr>
            <w:r>
              <w:rPr>
                <w:rFonts w:eastAsia="Batang"/>
                <w:lang w:val="en-US"/>
              </w:rPr>
              <w:lastRenderedPageBreak/>
              <w:t>In operation</w:t>
            </w:r>
            <w:r w:rsidR="00332170">
              <w:rPr>
                <w:rFonts w:eastAsia="Batang"/>
                <w:lang w:val="en-US"/>
              </w:rPr>
              <w:t xml:space="preserve"> / </w:t>
            </w:r>
            <w:r>
              <w:rPr>
                <w:rFonts w:eastAsia="Batang"/>
                <w:lang w:val="en-US"/>
              </w:rPr>
              <w:t>not in operation</w:t>
            </w:r>
          </w:p>
        </w:tc>
      </w:tr>
      <w:tr w:rsidR="009D74D8" w:rsidRPr="00557A1D" w:rsidTr="00C94556">
        <w:tc>
          <w:tcPr>
            <w:tcW w:w="3652" w:type="dxa"/>
          </w:tcPr>
          <w:p w:rsidR="009D74D8" w:rsidRDefault="009D74D8" w:rsidP="00C94556">
            <w:pPr>
              <w:rPr>
                <w:rFonts w:eastAsia="Batang"/>
                <w:b/>
                <w:iCs/>
                <w:u w:val="single"/>
                <w:lang w:val="en-US"/>
              </w:rPr>
            </w:pPr>
            <w:r>
              <w:rPr>
                <w:rFonts w:eastAsia="Batang"/>
                <w:lang w:val="en-US"/>
              </w:rPr>
              <w:lastRenderedPageBreak/>
              <w:t>Operational annulus ventilation system</w:t>
            </w:r>
          </w:p>
        </w:tc>
        <w:tc>
          <w:tcPr>
            <w:tcW w:w="5843" w:type="dxa"/>
          </w:tcPr>
          <w:p w:rsidR="009D74D8" w:rsidRDefault="009D74D8" w:rsidP="00C94556">
            <w:pPr>
              <w:rPr>
                <w:rFonts w:eastAsia="Batang"/>
                <w:b/>
                <w:iCs/>
                <w:u w:val="single"/>
                <w:lang w:val="en-US"/>
              </w:rPr>
            </w:pPr>
            <w:r>
              <w:rPr>
                <w:rFonts w:eastAsia="Batang"/>
                <w:lang w:val="en-US"/>
              </w:rPr>
              <w:t>In operation / not in operation</w:t>
            </w:r>
          </w:p>
        </w:tc>
      </w:tr>
      <w:tr w:rsidR="009D74D8" w:rsidTr="00C94556">
        <w:tc>
          <w:tcPr>
            <w:tcW w:w="3652" w:type="dxa"/>
          </w:tcPr>
          <w:p w:rsidR="009D74D8" w:rsidRDefault="009D74D8" w:rsidP="00C94556">
            <w:pPr>
              <w:rPr>
                <w:rFonts w:eastAsia="Batang"/>
                <w:b/>
                <w:iCs/>
                <w:u w:val="single"/>
                <w:lang w:val="en-US"/>
              </w:rPr>
            </w:pPr>
            <w:r>
              <w:rPr>
                <w:rFonts w:eastAsia="Batang"/>
                <w:lang w:val="en-US"/>
              </w:rPr>
              <w:t>Annulus air extraction system</w:t>
            </w:r>
          </w:p>
        </w:tc>
        <w:tc>
          <w:tcPr>
            <w:tcW w:w="5843" w:type="dxa"/>
          </w:tcPr>
          <w:p w:rsidR="009D74D8" w:rsidRDefault="009D74D8" w:rsidP="00C94556">
            <w:pPr>
              <w:rPr>
                <w:rFonts w:eastAsia="Batang"/>
                <w:b/>
                <w:iCs/>
                <w:u w:val="single"/>
                <w:lang w:val="en-US"/>
              </w:rPr>
            </w:pPr>
            <w:r>
              <w:rPr>
                <w:rFonts w:eastAsia="Batang"/>
                <w:lang w:val="en-US"/>
              </w:rPr>
              <w:t>Filtered release / isolated</w:t>
            </w:r>
          </w:p>
        </w:tc>
      </w:tr>
    </w:tbl>
    <w:p w:rsidR="00191381" w:rsidRDefault="00191381">
      <w:pPr>
        <w:rPr>
          <w:rFonts w:eastAsia="Batang"/>
          <w:lang w:val="en-US"/>
        </w:rPr>
      </w:pPr>
    </w:p>
    <w:p w:rsidR="00E91CC9" w:rsidRDefault="00312E3A">
      <w:pPr>
        <w:rPr>
          <w:rFonts w:eastAsia="Batang"/>
          <w:lang w:val="en-US"/>
        </w:rPr>
      </w:pPr>
      <w:r>
        <w:rPr>
          <w:rFonts w:eastAsia="Batang"/>
          <w:lang w:val="en-US"/>
        </w:rPr>
        <w:t>Sometimes, though, PDS categories are extended to include also controlled sequences with limited damage to the reactor fuel.</w:t>
      </w:r>
      <w:r w:rsidR="00E91CC9" w:rsidRPr="00313E82">
        <w:rPr>
          <w:rFonts w:eastAsia="Batang"/>
          <w:lang w:val="en-US"/>
        </w:rPr>
        <w:t xml:space="preserve"> The following table provides an example of PDS (applied in Canada):</w:t>
      </w:r>
    </w:p>
    <w:p w:rsidR="00E71983" w:rsidRPr="00313E82" w:rsidRDefault="00E71983">
      <w:pPr>
        <w:rPr>
          <w:rFonts w:eastAsia="Batang"/>
          <w:lang w:val="en-US"/>
        </w:rPr>
      </w:pPr>
    </w:p>
    <w:p w:rsidR="00E91CC9" w:rsidRPr="00C94556" w:rsidRDefault="00CF076C" w:rsidP="00E236DA">
      <w:pPr>
        <w:pStyle w:val="Lgende"/>
        <w:rPr>
          <w:rFonts w:eastAsia="Batang"/>
          <w:lang w:val="en-GB"/>
        </w:rPr>
      </w:pPr>
      <w:bookmarkStart w:id="176" w:name="_Ref444007097"/>
      <w:bookmarkStart w:id="177" w:name="_Toc474428899"/>
      <w:r w:rsidRPr="00C94556">
        <w:rPr>
          <w:lang w:val="en-GB"/>
        </w:rPr>
        <w:t xml:space="preserve">Table </w:t>
      </w:r>
      <w:r w:rsidR="009E768B">
        <w:rPr>
          <w:lang w:val="en-GB"/>
        </w:rPr>
        <w:fldChar w:fldCharType="begin"/>
      </w:r>
      <w:r w:rsidR="004C6365">
        <w:rPr>
          <w:lang w:val="en-GB"/>
        </w:rPr>
        <w:instrText xml:space="preserve"> SEQ Table \* ARABIC </w:instrText>
      </w:r>
      <w:r w:rsidR="009E768B">
        <w:rPr>
          <w:lang w:val="en-GB"/>
        </w:rPr>
        <w:fldChar w:fldCharType="separate"/>
      </w:r>
      <w:r w:rsidR="00B772CA">
        <w:rPr>
          <w:noProof/>
          <w:lang w:val="en-GB"/>
        </w:rPr>
        <w:t>3</w:t>
      </w:r>
      <w:r w:rsidR="009E768B">
        <w:rPr>
          <w:lang w:val="en-GB"/>
        </w:rPr>
        <w:fldChar w:fldCharType="end"/>
      </w:r>
      <w:bookmarkEnd w:id="176"/>
      <w:r w:rsidR="00C366ED">
        <w:rPr>
          <w:lang w:val="en-GB"/>
        </w:rPr>
        <w:t xml:space="preserve"> </w:t>
      </w:r>
      <w:r w:rsidRPr="00C94556">
        <w:rPr>
          <w:lang w:val="en-GB"/>
        </w:rPr>
        <w:t>Ex</w:t>
      </w:r>
      <w:r w:rsidR="00C366ED">
        <w:rPr>
          <w:lang w:val="en-GB"/>
        </w:rPr>
        <w:t>e</w:t>
      </w:r>
      <w:r w:rsidRPr="00C94556">
        <w:rPr>
          <w:lang w:val="en-GB"/>
        </w:rPr>
        <w:t>mplary Plant Damage State Definitions</w:t>
      </w:r>
      <w:r w:rsidR="0077117F">
        <w:rPr>
          <w:lang w:val="en-GB"/>
        </w:rPr>
        <w:t xml:space="preserve"> (with sequences with limited damages to the reactor fuel)</w:t>
      </w:r>
      <w:bookmarkEnd w:id="177"/>
    </w:p>
    <w:tbl>
      <w:tblPr>
        <w:tblW w:w="5000" w:type="pct"/>
        <w:tblBorders>
          <w:top w:val="nil"/>
          <w:left w:val="nil"/>
          <w:right w:val="nil"/>
        </w:tblBorders>
        <w:tblLook w:val="0000" w:firstRow="0" w:lastRow="0" w:firstColumn="0" w:lastColumn="0" w:noHBand="0" w:noVBand="0"/>
      </w:tblPr>
      <w:tblGrid>
        <w:gridCol w:w="1537"/>
        <w:gridCol w:w="8034"/>
      </w:tblGrid>
      <w:tr w:rsidR="001B1F30" w:rsidRPr="00313E82" w:rsidTr="00AF1D43">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keepNext/>
              <w:rPr>
                <w:rFonts w:eastAsia="Batang"/>
                <w:b/>
                <w:iCs/>
                <w:u w:val="single"/>
                <w:lang w:val="en-US"/>
              </w:rPr>
            </w:pPr>
            <w:r w:rsidRPr="00313E82">
              <w:rPr>
                <w:rFonts w:eastAsia="Batang"/>
                <w:b/>
                <w:bCs/>
                <w:lang w:val="en-US"/>
              </w:rPr>
              <w:t xml:space="preserve">State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keepNext/>
              <w:rPr>
                <w:rFonts w:eastAsia="Batang"/>
                <w:b/>
                <w:iCs/>
                <w:u w:val="single"/>
                <w:lang w:val="en-US"/>
              </w:rPr>
            </w:pPr>
            <w:r w:rsidRPr="00313E82">
              <w:rPr>
                <w:rFonts w:eastAsia="Batang"/>
                <w:b/>
                <w:bCs/>
                <w:lang w:val="en-US"/>
              </w:rPr>
              <w:t xml:space="preserve">Description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pPr>
              <w:rPr>
                <w:rFonts w:eastAsia="Batang"/>
                <w:lang w:val="en-US"/>
              </w:rPr>
            </w:pPr>
            <w:r w:rsidRPr="00313E82">
              <w:rPr>
                <w:rFonts w:eastAsia="Batang"/>
                <w:lang w:val="en-US"/>
              </w:rPr>
              <w:t xml:space="preserve">PDS0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Early (rapid) loss of core structural integrity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PDS1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Late Loss of Core Structural Integrity with High PHT Pressure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lang w:val="en-US"/>
              </w:rPr>
            </w:pPr>
            <w:r w:rsidRPr="00313E82">
              <w:rPr>
                <w:rFonts w:eastAsia="Batang"/>
                <w:lang w:val="en-US"/>
              </w:rPr>
              <w:t xml:space="preserve">PDS2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Late loss of core structural integrity with low PHT pressure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PDS3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Loss of core cooling with moderator acting early (&lt;15 min) as last-resort heat sink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PDS4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Loss of core cooling with moderator acting eventually (&gt;15 min) as last-resort heat sink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PDS5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Large LOCA with successful initiation of ECC but partial loss of cooling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4D7C87">
              <w:rPr>
                <w:rFonts w:eastAsia="Batang"/>
                <w:noProof/>
              </w:rPr>
              <w:drawing>
                <wp:inline distT="0" distB="0" distL="0" distR="0" wp14:anchorId="666DF394" wp14:editId="23267395">
                  <wp:extent cx="8255" cy="8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PDS6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4D7C87">
              <w:rPr>
                <w:rFonts w:eastAsia="Batang"/>
                <w:noProof/>
              </w:rPr>
              <w:drawing>
                <wp:inline distT="0" distB="0" distL="0" distR="0" wp14:anchorId="152CF233" wp14:editId="7854448C">
                  <wp:extent cx="8255" cy="8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Single-channel fuel damage with discharge into containment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pPr>
              <w:rPr>
                <w:rFonts w:eastAsia="Batang"/>
                <w:lang w:val="en-US"/>
              </w:rPr>
            </w:pPr>
            <w:r w:rsidRPr="004D7C87">
              <w:rPr>
                <w:rFonts w:eastAsia="Batang"/>
                <w:noProof/>
              </w:rPr>
              <w:drawing>
                <wp:inline distT="0" distB="0" distL="0" distR="0" wp14:anchorId="53D6ADA3" wp14:editId="6DD02CF0">
                  <wp:extent cx="8255" cy="8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PDS7 </w:t>
            </w:r>
            <w:r w:rsidRPr="004D7C87">
              <w:rPr>
                <w:rFonts w:eastAsia="Batang"/>
                <w:noProof/>
              </w:rPr>
              <w:drawing>
                <wp:inline distT="0" distB="0" distL="0" distR="0" wp14:anchorId="6658F483" wp14:editId="7DA93335">
                  <wp:extent cx="8255" cy="8255"/>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4D7C87">
              <w:rPr>
                <w:rFonts w:eastAsia="Batang"/>
                <w:noProof/>
              </w:rPr>
              <w:drawing>
                <wp:inline distT="0" distB="0" distL="0" distR="0" wp14:anchorId="5F1E6E7D" wp14:editId="2D81A387">
                  <wp:extent cx="8255" cy="8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Single-channel fuel damage with discharge into calandria vessel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PDS8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Loss of cooling to fuelling machine </w:t>
            </w:r>
          </w:p>
        </w:tc>
      </w:tr>
      <w:tr w:rsidR="001B1F30" w:rsidRPr="00557A1D" w:rsidTr="00AF1D43">
        <w:tblPrEx>
          <w:tblBorders>
            <w:top w:val="none" w:sz="0" w:space="0" w:color="auto"/>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4D7C87">
              <w:rPr>
                <w:rFonts w:eastAsia="Batang"/>
                <w:noProof/>
              </w:rPr>
              <w:drawing>
                <wp:inline distT="0" distB="0" distL="0" distR="0" wp14:anchorId="616B3E05" wp14:editId="6A3726B2">
                  <wp:extent cx="8255" cy="8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PDS9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4D7C87">
              <w:rPr>
                <w:rFonts w:eastAsia="Batang"/>
                <w:noProof/>
              </w:rPr>
              <w:drawing>
                <wp:inline distT="0" distB="0" distL="0" distR="0" wp14:anchorId="60D4758B" wp14:editId="51AE5180">
                  <wp:extent cx="8255" cy="8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13E82">
              <w:rPr>
                <w:rFonts w:eastAsia="Batang"/>
                <w:lang w:val="en-US"/>
              </w:rPr>
              <w:t xml:space="preserve">LOCA with no significant fuel failures </w:t>
            </w:r>
          </w:p>
        </w:tc>
      </w:tr>
      <w:tr w:rsidR="001B1F30" w:rsidRPr="00557A1D" w:rsidTr="00AF1D43">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PDS10 </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1B1F30" w:rsidRPr="00313E82" w:rsidRDefault="001B1F30" w:rsidP="00C94556">
            <w:pPr>
              <w:rPr>
                <w:rFonts w:eastAsia="Batang"/>
                <w:b/>
                <w:iCs/>
                <w:u w:val="single"/>
                <w:lang w:val="en-US"/>
              </w:rPr>
            </w:pPr>
            <w:r w:rsidRPr="00313E82">
              <w:rPr>
                <w:rFonts w:eastAsia="Batang"/>
                <w:lang w:val="en-US"/>
              </w:rPr>
              <w:t xml:space="preserve">Deuterium Deflagration in Calandria Vessel and/or release of Moderator Inventory into Containment, fuel cooling maintained </w:t>
            </w:r>
          </w:p>
        </w:tc>
      </w:tr>
    </w:tbl>
    <w:p w:rsidR="00E91CC9" w:rsidRDefault="00E91CC9">
      <w:pPr>
        <w:rPr>
          <w:rFonts w:eastAsia="Batang"/>
          <w:lang w:val="en-US"/>
        </w:rPr>
      </w:pPr>
    </w:p>
    <w:p w:rsidR="00BA688C" w:rsidRDefault="00BE166B" w:rsidP="00741D3C">
      <w:pPr>
        <w:rPr>
          <w:rFonts w:eastAsia="Batang"/>
          <w:lang w:val="en-US"/>
        </w:rPr>
      </w:pPr>
      <w:r>
        <w:rPr>
          <w:rFonts w:eastAsia="Batang"/>
          <w:lang w:val="en-US"/>
        </w:rPr>
        <w:t xml:space="preserve">Appendix C (Section </w:t>
      </w:r>
      <w:r w:rsidR="009E768B">
        <w:rPr>
          <w:rFonts w:eastAsia="Batang"/>
          <w:lang w:val="en-US"/>
        </w:rPr>
        <w:fldChar w:fldCharType="begin"/>
      </w:r>
      <w:r>
        <w:rPr>
          <w:rFonts w:eastAsia="Batang"/>
          <w:lang w:val="en-US"/>
        </w:rPr>
        <w:instrText xml:space="preserve"> REF _Ref319165886 \r \h </w:instrText>
      </w:r>
      <w:r w:rsidR="009E768B">
        <w:rPr>
          <w:rFonts w:eastAsia="Batang"/>
          <w:lang w:val="en-US"/>
        </w:rPr>
      </w:r>
      <w:r w:rsidR="009E768B">
        <w:rPr>
          <w:rFonts w:eastAsia="Batang"/>
          <w:lang w:val="en-US"/>
        </w:rPr>
        <w:fldChar w:fldCharType="separate"/>
      </w:r>
      <w:r w:rsidR="00B772CA">
        <w:rPr>
          <w:rFonts w:eastAsia="Batang"/>
          <w:lang w:val="en-US"/>
        </w:rPr>
        <w:t>10</w:t>
      </w:r>
      <w:r w:rsidR="009E768B">
        <w:rPr>
          <w:rFonts w:eastAsia="Batang"/>
          <w:lang w:val="en-US"/>
        </w:rPr>
        <w:fldChar w:fldCharType="end"/>
      </w:r>
      <w:r>
        <w:rPr>
          <w:rFonts w:eastAsia="Batang"/>
          <w:lang w:val="en-US"/>
        </w:rPr>
        <w:t>)</w:t>
      </w:r>
      <w:r w:rsidR="00EF272F">
        <w:rPr>
          <w:rFonts w:eastAsia="Batang"/>
          <w:lang w:val="en-US"/>
        </w:rPr>
        <w:t xml:space="preserve">, presents an </w:t>
      </w:r>
      <w:r w:rsidR="00A1221B">
        <w:rPr>
          <w:rFonts w:eastAsia="Batang"/>
          <w:lang w:val="en-US"/>
        </w:rPr>
        <w:t xml:space="preserve">example of the application of PDS in Canada. </w:t>
      </w:r>
      <w:r w:rsidR="00BA688C" w:rsidRPr="00313E82">
        <w:rPr>
          <w:rFonts w:eastAsia="Batang"/>
          <w:lang w:val="en-US"/>
        </w:rPr>
        <w:t xml:space="preserve">Fuel damage category (FDC) frequency </w:t>
      </w:r>
      <w:r w:rsidR="00A1221B">
        <w:rPr>
          <w:rFonts w:eastAsia="Batang"/>
          <w:lang w:val="en-US"/>
        </w:rPr>
        <w:t>is used to represent</w:t>
      </w:r>
      <w:r w:rsidR="00BA688C" w:rsidRPr="00313E82">
        <w:rPr>
          <w:rFonts w:eastAsia="Batang"/>
          <w:lang w:val="en-US"/>
        </w:rPr>
        <w:t xml:space="preserve"> a collection of event sequences judged to result in a similar degree of potential fuel damage. The FDCs are used as end-states in the Level 1 event trees. Groupings of the fuel damage categories are used to transition from the Level 1 P</w:t>
      </w:r>
      <w:r w:rsidR="00C366ED">
        <w:rPr>
          <w:rFonts w:eastAsia="Batang"/>
          <w:lang w:val="en-US"/>
        </w:rPr>
        <w:t>S</w:t>
      </w:r>
      <w:r w:rsidR="00BA688C" w:rsidRPr="00313E82">
        <w:rPr>
          <w:rFonts w:eastAsia="Batang"/>
          <w:lang w:val="en-US"/>
        </w:rPr>
        <w:t>A to the Level 2 P</w:t>
      </w:r>
      <w:r w:rsidR="00C366ED">
        <w:rPr>
          <w:rFonts w:eastAsia="Batang"/>
          <w:lang w:val="en-US"/>
        </w:rPr>
        <w:t>S</w:t>
      </w:r>
      <w:r w:rsidR="00BA688C" w:rsidRPr="00313E82">
        <w:rPr>
          <w:rFonts w:eastAsia="Batang"/>
          <w:lang w:val="en-US"/>
        </w:rPr>
        <w:t xml:space="preserve">A (Reference </w:t>
      </w:r>
      <w:r w:rsidR="009E768B" w:rsidRPr="007E0C24">
        <w:rPr>
          <w:rFonts w:eastAsia="Batang"/>
          <w:lang w:val="en-US"/>
        </w:rPr>
        <w:fldChar w:fldCharType="begin"/>
      </w:r>
      <w:r w:rsidR="00BA688C" w:rsidRPr="00313E82">
        <w:rPr>
          <w:rFonts w:eastAsia="Batang"/>
          <w:lang w:val="en-US"/>
        </w:rPr>
        <w:instrText xml:space="preserve"> REF _Ref302033249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[90]</w:t>
      </w:r>
      <w:r w:rsidR="009E768B" w:rsidRPr="007E0C24">
        <w:rPr>
          <w:rFonts w:eastAsia="Batang"/>
          <w:lang w:val="en-US"/>
        </w:rPr>
        <w:fldChar w:fldCharType="end"/>
      </w:r>
      <w:r w:rsidR="00BA688C" w:rsidRPr="00313E82">
        <w:rPr>
          <w:rFonts w:eastAsia="Batang"/>
          <w:lang w:val="en-US"/>
        </w:rPr>
        <w:t xml:space="preserve"> and </w:t>
      </w:r>
      <w:r w:rsidR="009E768B" w:rsidRPr="007E0C24">
        <w:rPr>
          <w:rFonts w:eastAsia="Batang"/>
          <w:lang w:val="en-US"/>
        </w:rPr>
        <w:fldChar w:fldCharType="begin"/>
      </w:r>
      <w:r w:rsidR="00BA688C" w:rsidRPr="00313E82">
        <w:rPr>
          <w:rFonts w:eastAsia="Batang"/>
          <w:lang w:val="en-US"/>
        </w:rPr>
        <w:instrText xml:space="preserve"> REF _Ref302033254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[91]</w:t>
      </w:r>
      <w:r w:rsidR="009E768B" w:rsidRPr="007E0C24">
        <w:rPr>
          <w:rFonts w:eastAsia="Batang"/>
          <w:lang w:val="en-US"/>
        </w:rPr>
        <w:fldChar w:fldCharType="end"/>
      </w:r>
      <w:r w:rsidR="00BA688C" w:rsidRPr="00313E82">
        <w:rPr>
          <w:rFonts w:eastAsia="Batang"/>
          <w:lang w:val="en-US"/>
        </w:rPr>
        <w:t xml:space="preserve">). </w:t>
      </w:r>
    </w:p>
    <w:p w:rsidR="00BA688C" w:rsidRDefault="00BA688C">
      <w:pPr>
        <w:rPr>
          <w:rFonts w:eastAsia="Batang"/>
          <w:lang w:val="en-US"/>
        </w:rPr>
      </w:pPr>
    </w:p>
    <w:p w:rsidR="000C1ABB" w:rsidRDefault="000C1ABB" w:rsidP="000C1ABB">
      <w:pPr>
        <w:rPr>
          <w:rFonts w:eastAsia="Batang"/>
          <w:lang w:val="en-US"/>
        </w:rPr>
      </w:pPr>
      <w:r w:rsidRPr="00C94556">
        <w:rPr>
          <w:rFonts w:eastAsia="Batang"/>
          <w:lang w:val="en-US"/>
        </w:rPr>
        <w:t>The following table provides a simpler example (applied in France).</w:t>
      </w:r>
    </w:p>
    <w:p w:rsidR="00E71983" w:rsidRPr="00C94556" w:rsidRDefault="00E71983" w:rsidP="000C1ABB">
      <w:pPr>
        <w:rPr>
          <w:rFonts w:eastAsia="Batang"/>
          <w:lang w:val="en-US"/>
        </w:rPr>
      </w:pPr>
    </w:p>
    <w:p w:rsidR="000C1ABB" w:rsidRPr="00A85773" w:rsidRDefault="000C1ABB" w:rsidP="00E236DA">
      <w:pPr>
        <w:pStyle w:val="Lgende"/>
        <w:rPr>
          <w:rFonts w:eastAsia="Batang"/>
          <w:lang w:val="en-GB"/>
        </w:rPr>
      </w:pPr>
      <w:bookmarkStart w:id="178" w:name="_Toc474428900"/>
      <w:r w:rsidRPr="00A85773">
        <w:rPr>
          <w:lang w:val="en-GB"/>
        </w:rPr>
        <w:t xml:space="preserve">Table </w:t>
      </w:r>
      <w:r w:rsidR="009E768B">
        <w:rPr>
          <w:lang w:val="en-GB"/>
        </w:rPr>
        <w:fldChar w:fldCharType="begin"/>
      </w:r>
      <w:r w:rsidR="004C6365">
        <w:rPr>
          <w:lang w:val="en-GB"/>
        </w:rPr>
        <w:instrText xml:space="preserve"> SEQ Table \* ARABIC </w:instrText>
      </w:r>
      <w:r w:rsidR="009E768B">
        <w:rPr>
          <w:lang w:val="en-GB"/>
        </w:rPr>
        <w:fldChar w:fldCharType="separate"/>
      </w:r>
      <w:r w:rsidR="00B772CA">
        <w:rPr>
          <w:noProof/>
          <w:lang w:val="en-GB"/>
        </w:rPr>
        <w:t>4</w:t>
      </w:r>
      <w:r w:rsidR="009E768B">
        <w:rPr>
          <w:lang w:val="en-GB"/>
        </w:rPr>
        <w:fldChar w:fldCharType="end"/>
      </w:r>
      <w:r w:rsidR="00C366ED">
        <w:rPr>
          <w:lang w:val="en-GB"/>
        </w:rPr>
        <w:t xml:space="preserve">: </w:t>
      </w:r>
      <w:r w:rsidRPr="00A85773">
        <w:rPr>
          <w:lang w:val="en-GB"/>
        </w:rPr>
        <w:t>Exampl</w:t>
      </w:r>
      <w:r>
        <w:rPr>
          <w:lang w:val="en-GB"/>
        </w:rPr>
        <w:t>e of</w:t>
      </w:r>
      <w:r w:rsidRPr="00A85773">
        <w:rPr>
          <w:lang w:val="en-GB"/>
        </w:rPr>
        <w:t xml:space="preserve"> Plant Damage State Definitions</w:t>
      </w:r>
      <w:r>
        <w:rPr>
          <w:lang w:val="en-GB"/>
        </w:rPr>
        <w:t xml:space="preserve"> (France)</w:t>
      </w:r>
      <w:bookmarkEnd w:id="178"/>
    </w:p>
    <w:tbl>
      <w:tblPr>
        <w:tblW w:w="5000" w:type="pct"/>
        <w:tblBorders>
          <w:left w:val="nil"/>
          <w:right w:val="nil"/>
        </w:tblBorders>
        <w:tblLook w:val="0000" w:firstRow="0" w:lastRow="0" w:firstColumn="0" w:lastColumn="0" w:noHBand="0" w:noVBand="0"/>
      </w:tblPr>
      <w:tblGrid>
        <w:gridCol w:w="1537"/>
        <w:gridCol w:w="8034"/>
      </w:tblGrid>
      <w:tr w:rsidR="000C1ABB" w:rsidRPr="00557A1D" w:rsidTr="000C1ABB">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0C1ABB" w:rsidRPr="00C94556" w:rsidRDefault="000C1ABB" w:rsidP="000C1ABB">
            <w:pPr>
              <w:rPr>
                <w:rFonts w:eastAsia="Batang"/>
                <w:lang w:val="en-US"/>
              </w:rPr>
            </w:pPr>
            <w:r w:rsidRPr="00C94556">
              <w:rPr>
                <w:rFonts w:eastAsia="Batang"/>
                <w:lang w:val="en-US"/>
              </w:rPr>
              <w:t>PDS1</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0C1ABB" w:rsidRPr="00C94556" w:rsidRDefault="000C1ABB" w:rsidP="000C1ABB">
            <w:pPr>
              <w:rPr>
                <w:rFonts w:eastAsia="Batang"/>
                <w:lang w:val="en-US"/>
              </w:rPr>
            </w:pPr>
            <w:r w:rsidRPr="00C94556">
              <w:rPr>
                <w:rFonts w:eastAsia="Batang"/>
                <w:lang w:val="en-US"/>
              </w:rPr>
              <w:t xml:space="preserve">Core damage with no containment failure until core degradation. </w:t>
            </w:r>
          </w:p>
        </w:tc>
      </w:tr>
      <w:tr w:rsidR="000C1ABB" w:rsidRPr="00557A1D" w:rsidTr="000C1ABB">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0C1ABB" w:rsidRPr="00C94556" w:rsidRDefault="000C1ABB" w:rsidP="000C1ABB">
            <w:pPr>
              <w:rPr>
                <w:rFonts w:eastAsia="Batang"/>
                <w:lang w:val="en-US"/>
              </w:rPr>
            </w:pPr>
            <w:r w:rsidRPr="00C94556">
              <w:rPr>
                <w:rFonts w:eastAsia="Batang"/>
                <w:noProof/>
              </w:rPr>
              <w:drawing>
                <wp:inline distT="0" distB="0" distL="0" distR="0" wp14:anchorId="27798CF1" wp14:editId="7D20D389">
                  <wp:extent cx="8255" cy="8255"/>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C94556">
              <w:rPr>
                <w:rFonts w:eastAsia="Batang"/>
                <w:lang w:val="en-US"/>
              </w:rPr>
              <w:t>PDS2</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0C1ABB" w:rsidRPr="00C94556" w:rsidRDefault="000C1ABB" w:rsidP="000C1ABB">
            <w:pPr>
              <w:rPr>
                <w:rFonts w:eastAsia="Batang"/>
                <w:lang w:val="en-US"/>
              </w:rPr>
            </w:pPr>
            <w:r w:rsidRPr="00C94556">
              <w:rPr>
                <w:rFonts w:eastAsia="Batang"/>
                <w:noProof/>
              </w:rPr>
              <w:drawing>
                <wp:inline distT="0" distB="0" distL="0" distR="0" wp14:anchorId="6F6034BD" wp14:editId="58D42E2B">
                  <wp:extent cx="8255" cy="8255"/>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C94556">
              <w:rPr>
                <w:rFonts w:eastAsia="Batang"/>
                <w:lang w:val="en-US"/>
              </w:rPr>
              <w:t>Core damage with early containment failure (containment bypass, containment isolation system failure, …)</w:t>
            </w:r>
          </w:p>
        </w:tc>
      </w:tr>
      <w:tr w:rsidR="000C1ABB" w:rsidRPr="00557A1D" w:rsidTr="000C1ABB">
        <w:tblPrEx>
          <w:tblBorders>
            <w:top w:val="nil"/>
          </w:tblBorders>
        </w:tblPrEx>
        <w:tc>
          <w:tcPr>
            <w:tcW w:w="803"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0C1ABB" w:rsidRPr="00C94556" w:rsidRDefault="000C1ABB" w:rsidP="000C1ABB">
            <w:pPr>
              <w:rPr>
                <w:rFonts w:eastAsia="Batang"/>
                <w:lang w:val="en-US"/>
              </w:rPr>
            </w:pPr>
            <w:r w:rsidRPr="00C94556">
              <w:rPr>
                <w:rFonts w:eastAsia="Batang"/>
                <w:lang w:val="en-US"/>
              </w:rPr>
              <w:t>PDS3</w:t>
            </w:r>
          </w:p>
        </w:tc>
        <w:tc>
          <w:tcPr>
            <w:tcW w:w="4197" w:type="pc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0C1ABB" w:rsidRPr="00313E82" w:rsidRDefault="000C1ABB" w:rsidP="000C1ABB">
            <w:pPr>
              <w:rPr>
                <w:rFonts w:eastAsia="Batang"/>
                <w:lang w:val="en-US"/>
              </w:rPr>
            </w:pPr>
            <w:r w:rsidRPr="00C94556">
              <w:rPr>
                <w:rFonts w:eastAsia="Batang"/>
                <w:lang w:val="en-US"/>
              </w:rPr>
              <w:t>Core damage with late containment failure (failure of CHRS, …)</w:t>
            </w:r>
          </w:p>
        </w:tc>
      </w:tr>
    </w:tbl>
    <w:p w:rsidR="000C1ABB" w:rsidRDefault="000C1ABB" w:rsidP="000C1ABB">
      <w:pPr>
        <w:rPr>
          <w:rFonts w:eastAsia="Batang"/>
          <w:u w:val="single"/>
          <w:lang w:val="en-US"/>
        </w:rPr>
      </w:pPr>
    </w:p>
    <w:p w:rsidR="008B5B5D" w:rsidRPr="00313E82" w:rsidRDefault="008B5B5D">
      <w:pPr>
        <w:rPr>
          <w:rFonts w:eastAsia="Batang"/>
          <w:lang w:val="en-US"/>
        </w:rPr>
      </w:pPr>
      <w:r w:rsidRPr="00313E82">
        <w:rPr>
          <w:rFonts w:eastAsia="Batang"/>
          <w:u w:val="single"/>
          <w:lang w:val="en-US"/>
        </w:rPr>
        <w:t>Risk measure</w:t>
      </w:r>
      <w:r w:rsidRPr="00313E82">
        <w:rPr>
          <w:rFonts w:eastAsia="Batang"/>
          <w:lang w:val="en-US"/>
        </w:rPr>
        <w:t>:</w:t>
      </w:r>
      <w:r w:rsidRPr="00313E82">
        <w:rPr>
          <w:rFonts w:eastAsia="Batang"/>
          <w:lang w:val="en-US"/>
        </w:rPr>
        <w:tab/>
      </w:r>
      <w:r w:rsidRPr="00313E82">
        <w:rPr>
          <w:rFonts w:eastAsia="Batang"/>
          <w:lang w:val="en-US"/>
        </w:rPr>
        <w:br/>
        <w:t>The quantification of a specific PDS metric (PDS</w:t>
      </w:r>
      <w:r w:rsidRPr="00313E82">
        <w:rPr>
          <w:rFonts w:eastAsia="Batang"/>
          <w:vertAlign w:val="subscript"/>
          <w:lang w:val="en-US"/>
        </w:rPr>
        <w:t>j</w:t>
      </w:r>
      <w:r w:rsidRPr="00313E82">
        <w:rPr>
          <w:rFonts w:eastAsia="Batang"/>
          <w:lang w:val="en-US"/>
        </w:rPr>
        <w:t xml:space="preserve">) is always done with the direct frequency (or probability) of the </w:t>
      </w:r>
      <w:r w:rsidRPr="00313E82">
        <w:rPr>
          <w:rFonts w:eastAsia="Batang"/>
          <w:lang w:val="en-US"/>
        </w:rPr>
        <w:lastRenderedPageBreak/>
        <w:t xml:space="preserve">sequence in the risk model, i.e. it assigns </w:t>
      </w:r>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rFonts w:eastAsia="Batang"/>
          <w:lang w:val="en-US"/>
        </w:rPr>
        <w:t xml:space="preserve"> to the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rFonts w:eastAsia="Batang"/>
          <w:lang w:val="en-US"/>
        </w:rPr>
        <w:t xml:space="preserve">, where </w:t>
      </w:r>
      <w:r w:rsidR="00996221" w:rsidRPr="00313E82">
        <w:rPr>
          <w:rFonts w:eastAsia="Batang"/>
          <w:lang w:val="en-US"/>
        </w:rPr>
        <w:t>the</w:t>
      </w:r>
      <w:r w:rsidRPr="00313E82">
        <w:rPr>
          <w:rFonts w:eastAsia="Batang"/>
          <w:lang w:val="en-US"/>
        </w:rPr>
        <w:t xml:space="preserve"> consequence c</w:t>
      </w:r>
      <w:r w:rsidRPr="00313E82">
        <w:rPr>
          <w:rFonts w:eastAsia="Batang"/>
          <w:vertAlign w:val="subscript"/>
          <w:lang w:val="en-US"/>
        </w:rPr>
        <w:t>j</w:t>
      </w:r>
      <w:r w:rsidRPr="00313E82">
        <w:rPr>
          <w:rFonts w:eastAsia="Batang"/>
          <w:lang w:val="en-US"/>
        </w:rPr>
        <w:t xml:space="preserve"> contributes to PDS</w:t>
      </w:r>
      <w:r w:rsidRPr="00313E82">
        <w:rPr>
          <w:rFonts w:eastAsia="Batang"/>
          <w:vertAlign w:val="subscript"/>
          <w:lang w:val="en-US"/>
        </w:rPr>
        <w:t>j</w:t>
      </w:r>
      <w:r w:rsidRPr="00313E82">
        <w:rPr>
          <w:rFonts w:eastAsia="Batang"/>
          <w:lang w:val="en-US"/>
        </w:rPr>
        <w:t xml:space="preserve">, </w:t>
      </w:r>
      <w:r w:rsidR="00BA6A17" w:rsidRPr="00313E82">
        <w:rPr>
          <w:rFonts w:eastAsia="Batang"/>
          <w:lang w:val="en-US"/>
        </w:rPr>
        <w:t xml:space="preserve">i.e. </w:t>
      </w:r>
      <m:oMath>
        <m:sSub>
          <m:sSubPr>
            <m:ctrlPr>
              <w:rPr>
                <w:rFonts w:ascii="Cambria Math" w:eastAsia="Batang" w:hAnsi="Cambria Math"/>
                <w:lang w:val="en-US"/>
              </w:rPr>
            </m:ctrlPr>
          </m:sSubPr>
          <m:e>
            <m:r>
              <m:rPr>
                <m:sty m:val="p"/>
              </m:rPr>
              <w:rPr>
                <w:rFonts w:ascii="Cambria Math" w:eastAsia="Batang" w:hAnsi="Cambria Math"/>
                <w:lang w:val="en-US"/>
              </w:rPr>
              <m:t>c</m:t>
            </m:r>
          </m:e>
          <m:sub>
            <m:r>
              <w:rPr>
                <w:rFonts w:ascii="Cambria Math" w:eastAsia="Batang" w:hAnsi="Cambria Math"/>
                <w:lang w:val="en-US"/>
              </w:rPr>
              <m:t>j</m:t>
            </m:r>
          </m:sub>
        </m:sSub>
        <m:r>
          <m:rPr>
            <m:sty m:val="p"/>
          </m:rPr>
          <w:rPr>
            <w:rFonts w:ascii="Cambria Math" w:eastAsia="Batang"/>
            <w:vertAlign w:val="subscript"/>
            <w:lang w:val="en-US"/>
          </w:rPr>
          <m:t xml:space="preserve"> </m:t>
        </m:r>
        <m:r>
          <m:rPr>
            <m:sty m:val="p"/>
          </m:rPr>
          <w:rPr>
            <w:rFonts w:ascii="Cambria Math" w:eastAsia="Batang" w:hAnsi="Cambria Math" w:hint="eastAsia"/>
            <w:vertAlign w:val="subscript"/>
            <w:lang w:val="en-US"/>
          </w:rPr>
          <m:t>∈</m:t>
        </m:r>
        <m:sSub>
          <m:sSubPr>
            <m:ctrlPr>
              <w:rPr>
                <w:rFonts w:ascii="Cambria Math" w:eastAsia="Batang" w:hAnsi="Cambria Math"/>
                <w:vertAlign w:val="subscript"/>
                <w:lang w:val="en-US"/>
              </w:rPr>
            </m:ctrlPr>
          </m:sSubPr>
          <m:e>
            <m:r>
              <m:rPr>
                <m:sty m:val="p"/>
              </m:rPr>
              <w:rPr>
                <w:rFonts w:ascii="Cambria Math" w:eastAsia="Batang" w:hAnsi="Cambria Math"/>
                <w:vertAlign w:val="subscript"/>
                <w:lang w:val="en-US"/>
              </w:rPr>
              <m:t>PDS</m:t>
            </m:r>
          </m:e>
          <m:sub>
            <m:r>
              <w:rPr>
                <w:rFonts w:ascii="Cambria Math" w:eastAsia="Batang" w:hAnsi="Cambria Math"/>
                <w:vertAlign w:val="subscript"/>
                <w:lang w:val="en-US"/>
              </w:rPr>
              <m:t>j</m:t>
            </m:r>
          </m:sub>
        </m:sSub>
      </m:oMath>
      <w:r w:rsidR="00BA6A17" w:rsidRPr="00313E82">
        <w:rPr>
          <w:rFonts w:eastAsia="Batang"/>
          <w:lang w:val="en-US"/>
        </w:rPr>
        <w:t>.</w:t>
      </w:r>
      <w:r w:rsidRPr="00313E82">
        <w:rPr>
          <w:rFonts w:eastAsia="Batang"/>
          <w:lang w:val="en-US"/>
        </w:rPr>
        <w:t xml:space="preserve"> For more discussion, see in section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w:t>
      </w:r>
    </w:p>
    <w:p w:rsidR="008B5B5D" w:rsidRPr="00313E82" w:rsidRDefault="008B5B5D">
      <w:pPr>
        <w:rPr>
          <w:rFonts w:eastAsia="Batang"/>
          <w:lang w:val="en-US"/>
        </w:rPr>
      </w:pPr>
    </w:p>
    <w:p w:rsidR="009013D1" w:rsidRPr="00313E82" w:rsidRDefault="008B5B5D">
      <w:pPr>
        <w:rPr>
          <w:rFonts w:eastAsia="Batang"/>
          <w:u w:val="single"/>
          <w:lang w:val="en-US"/>
        </w:rPr>
      </w:pPr>
      <w:r w:rsidRPr="00313E82">
        <w:rPr>
          <w:rFonts w:eastAsia="Batang"/>
          <w:u w:val="single"/>
          <w:lang w:val="en-US"/>
        </w:rPr>
        <w:t>Use of uncertainty distributions</w:t>
      </w:r>
      <w:r w:rsidR="009013D1" w:rsidRPr="00313E82">
        <w:rPr>
          <w:rFonts w:eastAsia="Batang"/>
          <w:u w:val="single"/>
          <w:lang w:val="en-US"/>
        </w:rPr>
        <w:t>:</w:t>
      </w:r>
    </w:p>
    <w:p w:rsidR="008B5B5D" w:rsidRPr="00313E82" w:rsidRDefault="009013D1">
      <w:pPr>
        <w:rPr>
          <w:rFonts w:eastAsia="Batang"/>
          <w:lang w:val="en-US"/>
        </w:rPr>
      </w:pPr>
      <w:r w:rsidRPr="00313E82">
        <w:rPr>
          <w:rFonts w:eastAsia="Batang"/>
          <w:lang w:val="en-US"/>
        </w:rPr>
        <w:t xml:space="preserve">The discussion in section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xml:space="preserve"> applies.</w:t>
      </w:r>
    </w:p>
    <w:p w:rsidR="001B697D" w:rsidRPr="00313E82" w:rsidRDefault="001B697D" w:rsidP="00C94556">
      <w:pPr>
        <w:pStyle w:val="Titre3"/>
        <w:rPr>
          <w:rFonts w:eastAsia="Batang"/>
          <w:lang w:val="en-US"/>
        </w:rPr>
      </w:pPr>
      <w:bookmarkStart w:id="179" w:name="_Toc474430172"/>
      <w:r w:rsidRPr="00313E82">
        <w:rPr>
          <w:rFonts w:eastAsia="Batang"/>
          <w:lang w:val="en-US"/>
        </w:rPr>
        <w:t>Areas of application:</w:t>
      </w:r>
      <w:bookmarkEnd w:id="179"/>
    </w:p>
    <w:p w:rsidR="0077117F" w:rsidRPr="00BF09C6" w:rsidRDefault="0077117F" w:rsidP="0077117F">
      <w:pPr>
        <w:rPr>
          <w:rFonts w:eastAsia="Batang"/>
          <w:b/>
          <w:lang w:val="en-US"/>
        </w:rPr>
      </w:pPr>
      <w:r w:rsidRPr="00BF09C6">
        <w:rPr>
          <w:rFonts w:eastAsia="Batang"/>
          <w:b/>
          <w:lang w:val="en-US"/>
        </w:rPr>
        <w:t>PSA level 1 +</w:t>
      </w:r>
    </w:p>
    <w:p w:rsidR="0077117F" w:rsidRPr="0005662E" w:rsidRDefault="0077117F" w:rsidP="0077117F">
      <w:pPr>
        <w:rPr>
          <w:rFonts w:eastAsia="Batang"/>
          <w:lang w:val="en-US"/>
        </w:rPr>
      </w:pPr>
      <w:r w:rsidRPr="00BF09C6">
        <w:rPr>
          <w:rFonts w:eastAsia="Batang"/>
          <w:lang w:val="en-US"/>
        </w:rPr>
        <w:t>Before developing a PSA level 2, it may be useful to extend level 1 PSA to such PDS calculations. This allows providing information on accident scenario that may lead to both fuel damage and a short or long-term containment failure. Such PSA level 1+ which does not include information on severe accident progression can be very useful, for example during a NPP design phase. It may help to reduce the probability of accidents that have a potential to lead to large radioactive release.</w:t>
      </w:r>
      <w:r w:rsidRPr="0005662E">
        <w:rPr>
          <w:rFonts w:eastAsia="Batang"/>
          <w:lang w:val="en-US"/>
        </w:rPr>
        <w:t xml:space="preserve"> Such PSA level 1+ can also be considered for risk monitor if based only on L1 PSA.</w:t>
      </w:r>
      <w:r w:rsidR="008F58CE">
        <w:rPr>
          <w:rFonts w:eastAsia="Batang"/>
          <w:lang w:val="en-US"/>
        </w:rPr>
        <w:t xml:space="preserve"> Section </w:t>
      </w:r>
      <w:r w:rsidR="009E768B">
        <w:rPr>
          <w:rFonts w:eastAsia="Batang"/>
          <w:lang w:val="en-US"/>
        </w:rPr>
        <w:fldChar w:fldCharType="begin"/>
      </w:r>
      <w:r w:rsidR="008F58CE">
        <w:rPr>
          <w:rFonts w:eastAsia="Batang"/>
          <w:lang w:val="en-US"/>
        </w:rPr>
        <w:instrText xml:space="preserve"> REF _Ref319310307 \r \h </w:instrText>
      </w:r>
      <w:r w:rsidR="009E768B">
        <w:rPr>
          <w:rFonts w:eastAsia="Batang"/>
          <w:lang w:val="en-US"/>
        </w:rPr>
      </w:r>
      <w:r w:rsidR="009E768B">
        <w:rPr>
          <w:rFonts w:eastAsia="Batang"/>
          <w:lang w:val="en-US"/>
        </w:rPr>
        <w:fldChar w:fldCharType="separate"/>
      </w:r>
      <w:r w:rsidR="00B772CA">
        <w:rPr>
          <w:rFonts w:eastAsia="Batang"/>
          <w:lang w:val="en-US"/>
        </w:rPr>
        <w:t>2.17</w:t>
      </w:r>
      <w:r w:rsidR="009E768B">
        <w:rPr>
          <w:rFonts w:eastAsia="Batang"/>
          <w:lang w:val="en-US"/>
        </w:rPr>
        <w:fldChar w:fldCharType="end"/>
      </w:r>
      <w:r w:rsidR="008F58CE">
        <w:rPr>
          <w:rFonts w:eastAsia="Batang"/>
          <w:lang w:val="en-US"/>
        </w:rPr>
        <w:t xml:space="preserve"> discusses more in details an example of PSA level 1+ risk metric.</w:t>
      </w:r>
    </w:p>
    <w:p w:rsidR="0077117F" w:rsidRDefault="0077117F">
      <w:pPr>
        <w:rPr>
          <w:rFonts w:eastAsia="Batang"/>
          <w:highlight w:val="yellow"/>
          <w:lang w:val="en-US"/>
        </w:rPr>
      </w:pPr>
    </w:p>
    <w:p w:rsidR="008F58CE" w:rsidRPr="00C94556" w:rsidRDefault="008B5B5D">
      <w:pPr>
        <w:rPr>
          <w:rFonts w:eastAsia="Batang"/>
          <w:b/>
          <w:lang w:val="en-US"/>
        </w:rPr>
      </w:pPr>
      <w:r w:rsidRPr="00C94556">
        <w:rPr>
          <w:rFonts w:eastAsia="Batang"/>
          <w:b/>
          <w:lang w:val="en-US"/>
        </w:rPr>
        <w:t>Interface PSA Level 1 to PSA Level 2</w:t>
      </w:r>
    </w:p>
    <w:p w:rsidR="001B697D" w:rsidRPr="00313E82" w:rsidRDefault="00312E3A">
      <w:pPr>
        <w:rPr>
          <w:rFonts w:eastAsia="Batang"/>
          <w:lang w:val="en-US"/>
        </w:rPr>
      </w:pPr>
      <w:r>
        <w:rPr>
          <w:rFonts w:eastAsia="Batang"/>
          <w:lang w:val="en-US"/>
        </w:rPr>
        <w:t>Plant damage state risk metrics are traditionally used to construct the interface between PSA Level 1 and PSA Level 2.</w:t>
      </w:r>
    </w:p>
    <w:p w:rsidR="00AC72C9" w:rsidRPr="00313E82" w:rsidRDefault="009013D1" w:rsidP="00741D3C">
      <w:pPr>
        <w:rPr>
          <w:rFonts w:eastAsia="Batang"/>
          <w:lang w:val="en-US"/>
        </w:rPr>
      </w:pPr>
      <w:r w:rsidRPr="00313E82">
        <w:rPr>
          <w:rFonts w:eastAsia="Batang"/>
          <w:lang w:val="en-US"/>
        </w:rPr>
        <w:t>If the intent is to use the results of the Level 1 PSA as input to a Level 2 PSA, it is general practice to group the accident sequences that lead to core damage into plant damage states, which will form the interface between the Level 1 PSA and the Level 2 PSA.</w:t>
      </w:r>
      <w:r w:rsidR="00AC72C9" w:rsidRPr="00313E82">
        <w:rPr>
          <w:rFonts w:eastAsia="Batang"/>
          <w:lang w:val="en-US"/>
        </w:rPr>
        <w:t xml:space="preserve"> It is more useful if the plant damage states are specified as a part of the Level 1 PSA (rather than postponing the specification of plant damage states to the first step of the Level 2 PSA) </w:t>
      </w:r>
      <w:r w:rsidR="009E768B" w:rsidRPr="007E0C24">
        <w:rPr>
          <w:rFonts w:eastAsia="Batang"/>
          <w:lang w:val="en-US"/>
        </w:rPr>
        <w:fldChar w:fldCharType="begin"/>
      </w:r>
      <w:r w:rsidR="00AC72C9" w:rsidRPr="00313E82">
        <w:rPr>
          <w:rFonts w:eastAsia="Batang"/>
          <w:lang w:val="en-US"/>
        </w:rPr>
        <w:instrText xml:space="preserve"> REF _Ref384386913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[4]</w:t>
      </w:r>
      <w:r w:rsidR="009E768B" w:rsidRPr="007E0C24">
        <w:rPr>
          <w:rFonts w:eastAsia="Batang"/>
          <w:lang w:val="en-US"/>
        </w:rPr>
        <w:fldChar w:fldCharType="end"/>
      </w:r>
      <w:r w:rsidR="00AC72C9" w:rsidRPr="00313E82">
        <w:rPr>
          <w:rFonts w:eastAsia="Batang"/>
          <w:lang w:val="en-US"/>
        </w:rPr>
        <w:t>.</w:t>
      </w:r>
    </w:p>
    <w:p w:rsidR="00AC72C9" w:rsidRDefault="00AC72C9">
      <w:pPr>
        <w:rPr>
          <w:rFonts w:eastAsia="Batang"/>
          <w:lang w:val="en-US"/>
        </w:rPr>
      </w:pPr>
      <w:r w:rsidRPr="00313E82">
        <w:rPr>
          <w:rFonts w:eastAsia="Batang"/>
          <w:lang w:val="en-US"/>
        </w:rPr>
        <w:t xml:space="preserve">As an example, from </w:t>
      </w:r>
      <w:r w:rsidR="009E768B">
        <w:rPr>
          <w:rFonts w:eastAsia="Batang"/>
          <w:lang w:val="en-US"/>
        </w:rPr>
        <w:fldChar w:fldCharType="begin"/>
      </w:r>
      <w:r w:rsidR="00312E3A">
        <w:rPr>
          <w:rFonts w:eastAsia="Batang"/>
          <w:lang w:val="en-US"/>
        </w:rPr>
        <w:instrText xml:space="preserve"> REF _Ref444007097 \h </w:instrText>
      </w:r>
      <w:r w:rsidR="009E768B">
        <w:rPr>
          <w:rFonts w:eastAsia="Batang"/>
          <w:lang w:val="en-US"/>
        </w:rPr>
      </w:r>
      <w:r w:rsidR="009E768B">
        <w:rPr>
          <w:rFonts w:eastAsia="Batang"/>
          <w:lang w:val="en-US"/>
        </w:rPr>
        <w:fldChar w:fldCharType="separate"/>
      </w:r>
      <w:r w:rsidR="00B772CA" w:rsidRPr="00C94556">
        <w:rPr>
          <w:lang w:val="en-GB"/>
        </w:rPr>
        <w:t xml:space="preserve">Table </w:t>
      </w:r>
      <w:r w:rsidR="00B772CA">
        <w:rPr>
          <w:noProof/>
          <w:lang w:val="en-GB"/>
        </w:rPr>
        <w:t>3</w:t>
      </w:r>
      <w:r w:rsidR="009E768B">
        <w:rPr>
          <w:rFonts w:eastAsia="Batang"/>
          <w:lang w:val="en-US"/>
        </w:rPr>
        <w:fldChar w:fldCharType="end"/>
      </w:r>
      <w:r w:rsidR="00312E3A">
        <w:rPr>
          <w:rFonts w:eastAsia="Batang"/>
          <w:lang w:val="en-US"/>
        </w:rPr>
        <w:t xml:space="preserve"> </w:t>
      </w:r>
      <w:r w:rsidRPr="00313E82">
        <w:rPr>
          <w:rFonts w:eastAsia="Batang"/>
          <w:lang w:val="en-US"/>
        </w:rPr>
        <w:t xml:space="preserve">presented </w:t>
      </w:r>
      <w:r w:rsidR="00312E3A">
        <w:rPr>
          <w:rFonts w:eastAsia="Batang"/>
          <w:lang w:val="en-US"/>
        </w:rPr>
        <w:t>above</w:t>
      </w:r>
      <w:r w:rsidRPr="00313E82">
        <w:rPr>
          <w:rFonts w:eastAsia="Batang"/>
          <w:lang w:val="en-US"/>
        </w:rPr>
        <w:t xml:space="preserve">, the categories PDS0, PDS1 and PDS2 are considered severe core damage (meltdown) states. All of the fuel in the core is assumed to be compromised in these scenarios. </w:t>
      </w:r>
      <w:r w:rsidR="00AF2050" w:rsidRPr="00313E82">
        <w:rPr>
          <w:rFonts w:eastAsia="Batang"/>
          <w:lang w:val="en-US"/>
        </w:rPr>
        <w:t>Moreover, l</w:t>
      </w:r>
      <w:r w:rsidRPr="00313E82">
        <w:rPr>
          <w:rFonts w:eastAsia="Batang"/>
          <w:lang w:val="en-US"/>
        </w:rPr>
        <w:t xml:space="preserve">evel 1 </w:t>
      </w:r>
      <w:r w:rsidR="00312E3A">
        <w:rPr>
          <w:rFonts w:eastAsia="Batang"/>
          <w:lang w:val="en-US"/>
        </w:rPr>
        <w:t>s</w:t>
      </w:r>
      <w:r w:rsidR="00312E3A" w:rsidRPr="00313E82">
        <w:rPr>
          <w:rFonts w:eastAsia="Batang"/>
          <w:lang w:val="en-US"/>
        </w:rPr>
        <w:t xml:space="preserve">afety </w:t>
      </w:r>
      <w:r w:rsidRPr="00313E82">
        <w:rPr>
          <w:rFonts w:eastAsia="Batang"/>
          <w:lang w:val="en-US"/>
        </w:rPr>
        <w:t>goals, expressed in terms of CDF, are assess</w:t>
      </w:r>
      <w:r w:rsidR="00BA6A17" w:rsidRPr="00313E82">
        <w:rPr>
          <w:rFonts w:eastAsia="Batang"/>
          <w:lang w:val="en-US"/>
        </w:rPr>
        <w:t>ed</w:t>
      </w:r>
      <w:r w:rsidRPr="00313E82">
        <w:rPr>
          <w:rFonts w:eastAsia="Batang"/>
          <w:lang w:val="en-US"/>
        </w:rPr>
        <w:t xml:space="preserve"> based on the sum of PDS0, PDS1 and PDS2</w:t>
      </w:r>
      <w:r w:rsidR="00BA6A17" w:rsidRPr="00313E82">
        <w:rPr>
          <w:rFonts w:eastAsia="Batang"/>
          <w:lang w:val="en-US"/>
        </w:rPr>
        <w:t>.</w:t>
      </w:r>
      <w:r w:rsidR="009B3C77">
        <w:rPr>
          <w:rFonts w:eastAsia="Batang"/>
          <w:lang w:val="en-US"/>
        </w:rPr>
        <w:t xml:space="preserve"> </w:t>
      </w:r>
      <w:r w:rsidRPr="00313E82">
        <w:rPr>
          <w:rFonts w:eastAsia="Batang"/>
          <w:lang w:val="en-US"/>
        </w:rPr>
        <w:t>All accident sequences that do not lead to core damage can be described by one of the PDS from 3 to 10. Other PDS are added to include the fuel behavior in the fuel bay, dry storage tanks, etc.</w:t>
      </w:r>
    </w:p>
    <w:p w:rsidR="00312E3A" w:rsidRPr="00313E82" w:rsidRDefault="00312E3A">
      <w:pPr>
        <w:rPr>
          <w:rFonts w:eastAsia="Batang"/>
          <w:lang w:val="en-US"/>
        </w:rPr>
      </w:pPr>
    </w:p>
    <w:p w:rsidR="001B697D" w:rsidRPr="00313E82" w:rsidRDefault="001B697D" w:rsidP="00C94556">
      <w:pPr>
        <w:pStyle w:val="Titre3"/>
        <w:rPr>
          <w:rFonts w:eastAsia="Batang"/>
          <w:lang w:val="en-US"/>
        </w:rPr>
      </w:pPr>
      <w:bookmarkStart w:id="180" w:name="_Toc474430173"/>
      <w:r w:rsidRPr="00313E82">
        <w:rPr>
          <w:rFonts w:eastAsia="Batang"/>
          <w:lang w:val="en-US"/>
        </w:rPr>
        <w:t>Discussion</w:t>
      </w:r>
      <w:bookmarkEnd w:id="180"/>
    </w:p>
    <w:p w:rsidR="001D1209" w:rsidRDefault="001D1209" w:rsidP="001D1209">
      <w:pPr>
        <w:ind w:left="284" w:hanging="284"/>
        <w:rPr>
          <w:rFonts w:eastAsia="Batang"/>
          <w:lang w:val="en-US"/>
        </w:rPr>
      </w:pPr>
    </w:p>
    <w:p w:rsidR="00C366ED" w:rsidRPr="00262C82" w:rsidRDefault="001D1209" w:rsidP="001D1209">
      <w:pPr>
        <w:rPr>
          <w:rFonts w:eastAsia="Batang"/>
          <w:lang w:val="en-US"/>
        </w:rPr>
      </w:pPr>
      <w:r w:rsidRPr="00552F4E">
        <w:rPr>
          <w:rFonts w:eastAsia="Batang"/>
          <w:u w:val="single"/>
          <w:lang w:val="en-US"/>
        </w:rPr>
        <w:t>Validity</w:t>
      </w:r>
      <w:r w:rsidRPr="00262C82">
        <w:rPr>
          <w:rFonts w:eastAsia="Batang"/>
          <w:lang w:val="en-US"/>
        </w:rPr>
        <w:t xml:space="preserve">: </w:t>
      </w:r>
    </w:p>
    <w:p w:rsidR="001D1209" w:rsidRPr="00BF09C6" w:rsidRDefault="00F43CF6" w:rsidP="00262C82">
      <w:pPr>
        <w:ind w:left="709"/>
        <w:rPr>
          <w:rFonts w:eastAsia="Batang"/>
          <w:lang w:val="en-US"/>
        </w:rPr>
      </w:pPr>
      <w:r>
        <w:rPr>
          <w:rFonts w:eastAsia="Batang"/>
          <w:lang w:val="en-US"/>
        </w:rPr>
        <w:t>T</w:t>
      </w:r>
      <w:r w:rsidR="00C366ED" w:rsidRPr="00BF09C6">
        <w:rPr>
          <w:rFonts w:eastAsia="Batang"/>
          <w:lang w:val="en-US"/>
        </w:rPr>
        <w:t xml:space="preserve">he </w:t>
      </w:r>
      <w:r w:rsidR="001D1209" w:rsidRPr="00BF09C6">
        <w:rPr>
          <w:rFonts w:eastAsia="Batang"/>
          <w:lang w:val="en-US"/>
        </w:rPr>
        <w:t xml:space="preserve">PDS approach is commonly used for the interface between L1 and L2 PSA. </w:t>
      </w:r>
      <w:r>
        <w:rPr>
          <w:rFonts w:eastAsia="Batang"/>
          <w:lang w:val="en-US"/>
        </w:rPr>
        <w:t>T</w:t>
      </w:r>
      <w:r w:rsidR="001D1209" w:rsidRPr="00BF09C6">
        <w:rPr>
          <w:rFonts w:eastAsia="Batang"/>
          <w:lang w:val="en-US"/>
        </w:rPr>
        <w:t xml:space="preserve">he definition of PDS leads to add in the L1 PSA modelling dedicated to the containment function. It gives a possibility to enlarge the information got from the level 1 PSA but it increases the complexity of the L1 PSA model. </w:t>
      </w:r>
      <w:r w:rsidR="001D1209" w:rsidRPr="00243DBD">
        <w:rPr>
          <w:rFonts w:eastAsia="Batang"/>
          <w:lang w:val="en-US"/>
        </w:rPr>
        <w:t xml:space="preserve">It should be noted that </w:t>
      </w:r>
      <w:r w:rsidR="001D1209">
        <w:rPr>
          <w:rFonts w:eastAsia="Batang"/>
          <w:lang w:val="en-US"/>
        </w:rPr>
        <w:t xml:space="preserve">L1 </w:t>
      </w:r>
      <w:r w:rsidR="001D1209" w:rsidRPr="00243DBD">
        <w:rPr>
          <w:rFonts w:eastAsia="Batang"/>
          <w:lang w:val="en-US"/>
        </w:rPr>
        <w:t xml:space="preserve">PSA tools often neglect success probabilities in their quantification of sequence (and </w:t>
      </w:r>
      <w:r w:rsidR="001D1209" w:rsidRPr="0005662E">
        <w:rPr>
          <w:rFonts w:eastAsia="Batang"/>
          <w:lang w:val="en-US"/>
        </w:rPr>
        <w:t xml:space="preserve">even consequence) results. In this case, the sum over the (nominally disjoint) PDS results can be larger than the </w:t>
      </w:r>
      <w:r w:rsidR="001D1209" w:rsidRPr="0005662E">
        <w:rPr>
          <w:rFonts w:eastAsia="Batang"/>
          <w:lang w:val="en-US"/>
        </w:rPr>
        <w:lastRenderedPageBreak/>
        <w:t xml:space="preserve">respective CDF or FDF result. However, in most cases the numerical error is significantly smaller than the range of uncertainty (e.g. at one </w:t>
      </w:r>
      <w:r w:rsidR="001D1209" w:rsidRPr="0005662E">
        <w:rPr>
          <w:rFonts w:eastAsia="Batang" w:cs="Arial"/>
          <w:lang w:val="en-US"/>
        </w:rPr>
        <w:t>σ</w:t>
      </w:r>
      <w:r w:rsidR="001D1209" w:rsidRPr="0005662E">
        <w:rPr>
          <w:rFonts w:eastAsia="Batang"/>
          <w:lang w:val="en-US"/>
        </w:rPr>
        <w:t xml:space="preserve"> level) assigned to the CDF/FDF results and thus tolerable.</w:t>
      </w:r>
    </w:p>
    <w:p w:rsidR="001D1209" w:rsidRPr="00BF09C6" w:rsidRDefault="001D1209" w:rsidP="001D1209">
      <w:pPr>
        <w:rPr>
          <w:rFonts w:eastAsia="Batang"/>
          <w:lang w:val="en-US"/>
        </w:rPr>
      </w:pPr>
    </w:p>
    <w:p w:rsidR="00C366ED" w:rsidRPr="00262C82" w:rsidRDefault="001D1209" w:rsidP="001D1209">
      <w:pPr>
        <w:rPr>
          <w:rFonts w:eastAsia="Batang"/>
          <w:lang w:val="en-US"/>
        </w:rPr>
      </w:pPr>
      <w:r w:rsidRPr="00552F4E">
        <w:rPr>
          <w:rFonts w:eastAsia="Batang"/>
          <w:u w:val="single"/>
          <w:lang w:val="en-US"/>
        </w:rPr>
        <w:t>Reliability</w:t>
      </w:r>
      <w:r w:rsidRPr="00262C82">
        <w:rPr>
          <w:rFonts w:eastAsia="Batang"/>
          <w:lang w:val="en-US"/>
        </w:rPr>
        <w:t xml:space="preserve">: </w:t>
      </w:r>
    </w:p>
    <w:p w:rsidR="001D1209" w:rsidRPr="00BF09C6" w:rsidRDefault="001D1209" w:rsidP="00262C82">
      <w:pPr>
        <w:ind w:left="709"/>
        <w:rPr>
          <w:rFonts w:eastAsia="Batang"/>
          <w:lang w:val="en-US"/>
        </w:rPr>
      </w:pPr>
      <w:r w:rsidRPr="00BF09C6">
        <w:rPr>
          <w:rFonts w:eastAsia="Batang"/>
          <w:lang w:val="en-US"/>
        </w:rPr>
        <w:t xml:space="preserve">The PDS provides some views on the availability of the containment function in case of fuel damage. The scenario included in </w:t>
      </w:r>
      <w:r>
        <w:rPr>
          <w:rFonts w:eastAsia="Batang"/>
          <w:lang w:val="en-US"/>
        </w:rPr>
        <w:t xml:space="preserve">a </w:t>
      </w:r>
      <w:r w:rsidRPr="00BF09C6">
        <w:rPr>
          <w:rFonts w:eastAsia="Batang"/>
          <w:lang w:val="en-US"/>
        </w:rPr>
        <w:t xml:space="preserve">PDS with a </w:t>
      </w:r>
      <w:r>
        <w:rPr>
          <w:rFonts w:eastAsia="Batang"/>
          <w:lang w:val="en-US"/>
        </w:rPr>
        <w:t>“</w:t>
      </w:r>
      <w:r w:rsidRPr="00BF09C6">
        <w:rPr>
          <w:rFonts w:eastAsia="Batang"/>
          <w:lang w:val="en-US"/>
        </w:rPr>
        <w:t xml:space="preserve">containment failure </w:t>
      </w:r>
      <w:r>
        <w:rPr>
          <w:rFonts w:eastAsia="Batang"/>
          <w:lang w:val="en-US"/>
        </w:rPr>
        <w:t>attribute “</w:t>
      </w:r>
      <w:r w:rsidRPr="00BF09C6">
        <w:rPr>
          <w:rFonts w:eastAsia="Batang"/>
          <w:lang w:val="en-US"/>
        </w:rPr>
        <w:t xml:space="preserve">can be associated to </w:t>
      </w:r>
      <w:r>
        <w:rPr>
          <w:rFonts w:eastAsia="Batang"/>
          <w:lang w:val="en-US"/>
        </w:rPr>
        <w:t xml:space="preserve">the </w:t>
      </w:r>
      <w:r w:rsidRPr="00BF09C6">
        <w:rPr>
          <w:rFonts w:eastAsia="Batang"/>
          <w:lang w:val="en-US"/>
        </w:rPr>
        <w:t>“large release” accident</w:t>
      </w:r>
      <w:r>
        <w:rPr>
          <w:rFonts w:eastAsia="Batang"/>
          <w:lang w:val="en-US"/>
        </w:rPr>
        <w:t>s</w:t>
      </w:r>
      <w:r w:rsidRPr="00BF09C6">
        <w:rPr>
          <w:rFonts w:eastAsia="Batang"/>
          <w:lang w:val="en-US"/>
        </w:rPr>
        <w:t xml:space="preserve">. But the scenario included in a PDS with no </w:t>
      </w:r>
      <w:r>
        <w:rPr>
          <w:rFonts w:eastAsia="Batang"/>
          <w:lang w:val="en-US"/>
        </w:rPr>
        <w:t>“</w:t>
      </w:r>
      <w:r w:rsidRPr="00BF09C6">
        <w:rPr>
          <w:rFonts w:eastAsia="Batang"/>
          <w:lang w:val="en-US"/>
        </w:rPr>
        <w:t xml:space="preserve">containment failure </w:t>
      </w:r>
      <w:r>
        <w:rPr>
          <w:rFonts w:eastAsia="Batang"/>
          <w:lang w:val="en-US"/>
        </w:rPr>
        <w:t xml:space="preserve">attribute” </w:t>
      </w:r>
      <w:r w:rsidRPr="00BF09C6">
        <w:rPr>
          <w:rFonts w:eastAsia="Batang"/>
          <w:lang w:val="en-US"/>
        </w:rPr>
        <w:t>cannot be associated to accid</w:t>
      </w:r>
      <w:r w:rsidR="00FF3BDA">
        <w:rPr>
          <w:rFonts w:eastAsia="Batang"/>
          <w:lang w:val="en-US"/>
        </w:rPr>
        <w:t>ent with “limited consequences”</w:t>
      </w:r>
      <w:r w:rsidRPr="00BF09C6">
        <w:rPr>
          <w:rFonts w:eastAsia="Batang"/>
          <w:lang w:val="en-US"/>
        </w:rPr>
        <w:t>: a plant response analysis during severe accident progression is needed to check that the containment can resist to the severe accident conditions.</w:t>
      </w:r>
      <w:r>
        <w:rPr>
          <w:rFonts w:eastAsia="Batang"/>
          <w:lang w:val="en-US"/>
        </w:rPr>
        <w:t xml:space="preserve"> This is the role of L2 PSA.</w:t>
      </w:r>
    </w:p>
    <w:p w:rsidR="001D1209" w:rsidRPr="00BF09C6" w:rsidRDefault="001D1209" w:rsidP="001D1209">
      <w:pPr>
        <w:rPr>
          <w:rFonts w:eastAsia="Batang"/>
          <w:lang w:val="en-US"/>
        </w:rPr>
      </w:pPr>
    </w:p>
    <w:p w:rsidR="00C366ED" w:rsidRPr="00262C82" w:rsidRDefault="001D1209" w:rsidP="001D1209">
      <w:pPr>
        <w:rPr>
          <w:rFonts w:eastAsia="Batang"/>
          <w:lang w:val="en-US"/>
        </w:rPr>
      </w:pPr>
      <w:r w:rsidRPr="00552F4E">
        <w:rPr>
          <w:rFonts w:eastAsia="Batang"/>
          <w:u w:val="single"/>
          <w:lang w:val="en-US"/>
        </w:rPr>
        <w:t>Consistency</w:t>
      </w:r>
      <w:r w:rsidRPr="00262C82">
        <w:rPr>
          <w:rFonts w:eastAsia="Batang"/>
          <w:lang w:val="en-US"/>
        </w:rPr>
        <w:t>:</w:t>
      </w:r>
      <w:r w:rsidR="00844BBF" w:rsidRPr="00262C82">
        <w:rPr>
          <w:rFonts w:eastAsia="Batang"/>
          <w:lang w:val="en-US"/>
        </w:rPr>
        <w:t xml:space="preserve"> </w:t>
      </w:r>
    </w:p>
    <w:p w:rsidR="001D1209" w:rsidRPr="00BF09C6" w:rsidRDefault="00844BBF" w:rsidP="00262C82">
      <w:pPr>
        <w:ind w:left="709"/>
        <w:rPr>
          <w:rFonts w:eastAsia="Batang"/>
          <w:lang w:val="en-US"/>
        </w:rPr>
      </w:pPr>
      <w:r>
        <w:rPr>
          <w:rFonts w:eastAsia="Batang"/>
          <w:lang w:val="en-US"/>
        </w:rPr>
        <w:t>O</w:t>
      </w:r>
      <w:r w:rsidR="001D1209" w:rsidRPr="00BF09C6">
        <w:rPr>
          <w:rFonts w:eastAsia="Batang"/>
          <w:lang w:val="en-US"/>
        </w:rPr>
        <w:t>ne difficulty is that, for each NPP</w:t>
      </w:r>
      <w:r w:rsidR="001D1209">
        <w:rPr>
          <w:rFonts w:eastAsia="Batang"/>
          <w:lang w:val="en-US"/>
        </w:rPr>
        <w:t xml:space="preserve"> design</w:t>
      </w:r>
      <w:r w:rsidR="001D1209" w:rsidRPr="00BF09C6">
        <w:rPr>
          <w:rFonts w:eastAsia="Batang"/>
          <w:lang w:val="en-US"/>
        </w:rPr>
        <w:t xml:space="preserve">, there is not a single solution to define a set of PDS but multiple possibilities. The ASAMPSA2 project </w:t>
      </w:r>
      <w:r w:rsidR="00CD0CBE">
        <w:fldChar w:fldCharType="begin"/>
      </w:r>
      <w:r w:rsidR="00CD0CBE">
        <w:instrText xml:space="preserve"> REF _Ref306802100 \r \h  \* MERGEFORMAT </w:instrText>
      </w:r>
      <w:r w:rsidR="00CD0CBE">
        <w:fldChar w:fldCharType="separate"/>
      </w:r>
      <w:r w:rsidR="00B772CA" w:rsidRPr="00B772CA">
        <w:rPr>
          <w:rFonts w:eastAsia="Batang"/>
          <w:lang w:val="en-US"/>
        </w:rPr>
        <w:t>[2]</w:t>
      </w:r>
      <w:r w:rsidR="00CD0CBE">
        <w:fldChar w:fldCharType="end"/>
      </w:r>
      <w:r w:rsidR="001D1209" w:rsidRPr="00BF09C6">
        <w:rPr>
          <w:rFonts w:eastAsia="Batang"/>
          <w:lang w:val="en-US"/>
        </w:rPr>
        <w:t xml:space="preserve"> has shown for example that reaching </w:t>
      </w:r>
      <w:r>
        <w:rPr>
          <w:rFonts w:eastAsia="Batang"/>
          <w:lang w:val="en-US"/>
        </w:rPr>
        <w:t>a</w:t>
      </w:r>
      <w:r w:rsidR="001D1209">
        <w:rPr>
          <w:rFonts w:eastAsia="Batang"/>
          <w:lang w:val="en-US"/>
        </w:rPr>
        <w:t xml:space="preserve"> </w:t>
      </w:r>
      <w:r w:rsidR="001D1209" w:rsidRPr="00BF09C6">
        <w:rPr>
          <w:rFonts w:eastAsia="Batang"/>
          <w:lang w:val="en-US"/>
        </w:rPr>
        <w:t>harmonized definition of PDS would be very difficult.</w:t>
      </w:r>
    </w:p>
    <w:p w:rsidR="001D1209" w:rsidRPr="00BF09C6" w:rsidRDefault="001D1209" w:rsidP="001D1209">
      <w:pPr>
        <w:rPr>
          <w:rFonts w:eastAsia="Batang"/>
          <w:lang w:val="en-US"/>
        </w:rPr>
      </w:pPr>
    </w:p>
    <w:p w:rsidR="00C366ED" w:rsidRPr="00262C82" w:rsidRDefault="001D1209" w:rsidP="001D1209">
      <w:pPr>
        <w:rPr>
          <w:rFonts w:eastAsia="Batang"/>
          <w:lang w:val="en-US"/>
        </w:rPr>
      </w:pPr>
      <w:r w:rsidRPr="00552F4E">
        <w:rPr>
          <w:rFonts w:eastAsia="Batang"/>
          <w:u w:val="single"/>
          <w:lang w:val="en-US"/>
        </w:rPr>
        <w:t>Risk aggregation properties</w:t>
      </w:r>
      <w:r w:rsidRPr="00262C82">
        <w:rPr>
          <w:rFonts w:eastAsia="Batang"/>
          <w:lang w:val="en-US"/>
        </w:rPr>
        <w:t xml:space="preserve">: </w:t>
      </w:r>
    </w:p>
    <w:p w:rsidR="001D1209" w:rsidRPr="00BF09C6" w:rsidRDefault="001D1209" w:rsidP="00262C82">
      <w:pPr>
        <w:ind w:left="709"/>
        <w:rPr>
          <w:rFonts w:eastAsia="Batang"/>
          <w:lang w:val="en-US"/>
        </w:rPr>
      </w:pPr>
      <w:r w:rsidRPr="00BF09C6">
        <w:rPr>
          <w:rFonts w:eastAsia="Batang"/>
          <w:lang w:val="en-US"/>
        </w:rPr>
        <w:t>PDS frequencies sh</w:t>
      </w:r>
      <w:r w:rsidR="00074E69">
        <w:rPr>
          <w:rFonts w:eastAsia="Batang"/>
          <w:lang w:val="en-US"/>
        </w:rPr>
        <w:t>ould</w:t>
      </w:r>
      <w:r w:rsidRPr="00BF09C6">
        <w:rPr>
          <w:rFonts w:eastAsia="Batang"/>
          <w:lang w:val="en-US"/>
        </w:rPr>
        <w:t xml:space="preserve"> n</w:t>
      </w:r>
      <w:r w:rsidR="00844BBF">
        <w:rPr>
          <w:rFonts w:eastAsia="Batang"/>
          <w:lang w:val="en-US"/>
        </w:rPr>
        <w:t>ot be used for risk aggregation</w:t>
      </w:r>
      <w:r w:rsidRPr="00BF09C6">
        <w:rPr>
          <w:rFonts w:eastAsia="Batang"/>
          <w:lang w:val="en-US"/>
        </w:rPr>
        <w:t xml:space="preserve">: it can be used to </w:t>
      </w:r>
      <w:r w:rsidRPr="00243DBD">
        <w:rPr>
          <w:rFonts w:eastAsia="Batang"/>
          <w:lang w:val="en-US"/>
        </w:rPr>
        <w:t>provide a minimal value of LERF</w:t>
      </w:r>
      <w:r>
        <w:rPr>
          <w:rFonts w:eastAsia="Batang"/>
          <w:lang w:val="en-US"/>
        </w:rPr>
        <w:t xml:space="preserve"> or LRF.</w:t>
      </w:r>
    </w:p>
    <w:p w:rsidR="001D1209" w:rsidRPr="00A85773" w:rsidRDefault="001D1209" w:rsidP="001D1209">
      <w:pPr>
        <w:rPr>
          <w:rFonts w:eastAsia="Batang"/>
          <w:highlight w:val="cyan"/>
          <w:lang w:val="en-US"/>
        </w:rPr>
      </w:pPr>
    </w:p>
    <w:p w:rsidR="00C366ED" w:rsidRPr="00262C82" w:rsidRDefault="001D1209" w:rsidP="001D1209">
      <w:pPr>
        <w:rPr>
          <w:rFonts w:eastAsia="Batang"/>
          <w:lang w:val="en-US"/>
        </w:rPr>
      </w:pPr>
      <w:r w:rsidRPr="00552F4E">
        <w:rPr>
          <w:rFonts w:eastAsia="Batang"/>
          <w:u w:val="single"/>
          <w:lang w:val="en-US"/>
        </w:rPr>
        <w:t>Understandability to the PSA community</w:t>
      </w:r>
      <w:r w:rsidRPr="00262C82">
        <w:rPr>
          <w:rFonts w:eastAsia="Batang"/>
          <w:lang w:val="en-US"/>
        </w:rPr>
        <w:t xml:space="preserve">: </w:t>
      </w:r>
    </w:p>
    <w:p w:rsidR="001D1209" w:rsidRPr="00BF09C6" w:rsidRDefault="00C366ED" w:rsidP="00262C82">
      <w:pPr>
        <w:ind w:left="284"/>
        <w:rPr>
          <w:rFonts w:eastAsia="Batang"/>
          <w:lang w:val="en-US"/>
        </w:rPr>
      </w:pPr>
      <w:r>
        <w:rPr>
          <w:rFonts w:eastAsia="Batang"/>
          <w:lang w:val="en-US"/>
        </w:rPr>
        <w:t>T</w:t>
      </w:r>
      <w:r w:rsidRPr="00BF09C6">
        <w:rPr>
          <w:rFonts w:eastAsia="Batang"/>
          <w:lang w:val="en-US"/>
        </w:rPr>
        <w:t xml:space="preserve">he </w:t>
      </w:r>
      <w:r w:rsidR="001D1209" w:rsidRPr="00BF09C6">
        <w:rPr>
          <w:rFonts w:eastAsia="Batang"/>
          <w:lang w:val="en-US"/>
        </w:rPr>
        <w:t xml:space="preserve">PDS approach is commonly applied and understood by the PSA community. </w:t>
      </w:r>
      <w:r w:rsidR="001D1209">
        <w:rPr>
          <w:rFonts w:eastAsia="Batang"/>
          <w:lang w:val="en-US"/>
        </w:rPr>
        <w:t xml:space="preserve">As explained above, the practical implementation of PDS differs between organizations. </w:t>
      </w:r>
    </w:p>
    <w:p w:rsidR="001D1209" w:rsidRPr="00313E82" w:rsidRDefault="001D1209" w:rsidP="001D1209">
      <w:pPr>
        <w:ind w:left="284" w:hanging="284"/>
        <w:rPr>
          <w:rFonts w:eastAsia="Batang"/>
          <w:lang w:val="en-US"/>
        </w:rPr>
      </w:pPr>
    </w:p>
    <w:p w:rsidR="00E04C6C" w:rsidRPr="00313E82" w:rsidRDefault="00E04C6C" w:rsidP="00C94556">
      <w:pPr>
        <w:pStyle w:val="Titre3"/>
        <w:rPr>
          <w:rFonts w:eastAsia="Batang"/>
          <w:lang w:val="en-US"/>
        </w:rPr>
      </w:pPr>
      <w:bookmarkStart w:id="181" w:name="_Toc474430174"/>
      <w:r w:rsidRPr="00313E82">
        <w:rPr>
          <w:rFonts w:eastAsia="Batang"/>
          <w:lang w:val="en-US"/>
        </w:rPr>
        <w:t>Limitation</w:t>
      </w:r>
      <w:r w:rsidR="00EC0C0F">
        <w:rPr>
          <w:rFonts w:eastAsia="Batang"/>
          <w:lang w:val="en-US"/>
        </w:rPr>
        <w:t>s</w:t>
      </w:r>
      <w:bookmarkEnd w:id="181"/>
    </w:p>
    <w:p w:rsidR="00EC0C0F" w:rsidRPr="00C94556" w:rsidRDefault="00EC0C0F">
      <w:pPr>
        <w:rPr>
          <w:rFonts w:eastAsia="Batang"/>
          <w:lang w:val="en-US"/>
        </w:rPr>
      </w:pPr>
      <w:r w:rsidRPr="00C94556">
        <w:rPr>
          <w:rFonts w:eastAsia="Batang"/>
          <w:lang w:val="en-US"/>
        </w:rPr>
        <w:t>The most important limitations noticed above are the following</w:t>
      </w:r>
    </w:p>
    <w:p w:rsidR="009F66C3" w:rsidRDefault="009F66C3" w:rsidP="009F66C3">
      <w:pPr>
        <w:pStyle w:val="Paragraphedeliste"/>
        <w:numPr>
          <w:ilvl w:val="0"/>
          <w:numId w:val="73"/>
        </w:numPr>
        <w:rPr>
          <w:rFonts w:eastAsia="Batang"/>
          <w:lang w:val="en-US"/>
        </w:rPr>
      </w:pPr>
      <w:r>
        <w:rPr>
          <w:rFonts w:eastAsia="Batang"/>
          <w:lang w:val="en-US"/>
        </w:rPr>
        <w:t>Different PDSs definitions exists depending on NPP design and L1 – L2 PSA development options (no possible harmonization),</w:t>
      </w:r>
    </w:p>
    <w:p w:rsidR="009F66C3" w:rsidRDefault="009F66C3" w:rsidP="009F66C3">
      <w:pPr>
        <w:pStyle w:val="Paragraphedeliste"/>
        <w:numPr>
          <w:ilvl w:val="0"/>
          <w:numId w:val="73"/>
        </w:numPr>
        <w:rPr>
          <w:rFonts w:eastAsia="Batang"/>
          <w:lang w:val="en-US"/>
        </w:rPr>
      </w:pPr>
      <w:r>
        <w:rPr>
          <w:rFonts w:eastAsia="Batang"/>
          <w:lang w:val="en-US"/>
        </w:rPr>
        <w:t xml:space="preserve">PDSF can provide only </w:t>
      </w:r>
      <w:r w:rsidR="00FD3934">
        <w:rPr>
          <w:rFonts w:eastAsia="Batang"/>
          <w:lang w:val="en-US"/>
        </w:rPr>
        <w:t>some indication for</w:t>
      </w:r>
      <w:r>
        <w:rPr>
          <w:rFonts w:eastAsia="Batang"/>
          <w:lang w:val="en-US"/>
        </w:rPr>
        <w:t xml:space="preserve"> LERF or LRF and cannot replace a L2 PSA.</w:t>
      </w:r>
    </w:p>
    <w:p w:rsidR="001B697D" w:rsidRPr="00313E82" w:rsidRDefault="001B697D" w:rsidP="00C94556">
      <w:pPr>
        <w:pStyle w:val="Titre3"/>
        <w:rPr>
          <w:rFonts w:eastAsia="Batang"/>
          <w:lang w:val="en-US"/>
        </w:rPr>
      </w:pPr>
      <w:bookmarkStart w:id="182" w:name="_Toc474430175"/>
      <w:r w:rsidRPr="00313E82">
        <w:rPr>
          <w:rFonts w:eastAsia="Batang"/>
          <w:lang w:val="en-US"/>
        </w:rPr>
        <w:t xml:space="preserve">ASAMPSA_E recommendation on </w:t>
      </w:r>
      <w:r w:rsidR="00AF3134">
        <w:rPr>
          <w:rFonts w:eastAsia="Batang"/>
          <w:lang w:val="en-US"/>
        </w:rPr>
        <w:t>PDSF</w:t>
      </w:r>
      <w:bookmarkEnd w:id="182"/>
    </w:p>
    <w:p w:rsidR="009F66C3" w:rsidRDefault="009F66C3" w:rsidP="009F66C3">
      <w:pPr>
        <w:rPr>
          <w:rFonts w:eastAsia="Batang"/>
          <w:lang w:val="en-US"/>
        </w:rPr>
      </w:pPr>
      <w:r>
        <w:rPr>
          <w:rFonts w:eastAsia="Batang"/>
          <w:lang w:val="en-US"/>
        </w:rPr>
        <w:t>Plant Damage States Frequencies (PDSF) are mainly dedicated to the interface between L1 and L2 PSA. Nevertheless, even if there are limitations, it constitutes a useful complement to the CDF calculated by L1 PSA. It allows estimating a minimal value of LERF and LRF without developing fully the L2 PSA.</w:t>
      </w:r>
    </w:p>
    <w:p w:rsidR="009F66C3" w:rsidRDefault="009F66C3" w:rsidP="009F66C3">
      <w:pPr>
        <w:rPr>
          <w:rFonts w:eastAsia="Batang"/>
          <w:lang w:val="en-US"/>
        </w:rPr>
      </w:pPr>
    </w:p>
    <w:p w:rsidR="009F66C3" w:rsidRDefault="009F66C3" w:rsidP="009F66C3">
      <w:pPr>
        <w:rPr>
          <w:rFonts w:eastAsia="Batang"/>
          <w:lang w:val="en-US"/>
        </w:rPr>
      </w:pPr>
      <w:r>
        <w:rPr>
          <w:rFonts w:eastAsia="Batang"/>
          <w:lang w:val="en-US"/>
        </w:rPr>
        <w:t>It is recommended to implement such metrics in L1 PSA and to use it in applications: this allows introducing some consideration on the containment function in the L1 PSA results.</w:t>
      </w:r>
    </w:p>
    <w:p w:rsidR="009F66C3" w:rsidRDefault="009F66C3" w:rsidP="009F66C3">
      <w:pPr>
        <w:rPr>
          <w:rFonts w:eastAsia="Batang"/>
          <w:lang w:val="en-US"/>
        </w:rPr>
      </w:pPr>
    </w:p>
    <w:p w:rsidR="009F66C3" w:rsidRDefault="009F66C3" w:rsidP="009F66C3">
      <w:pPr>
        <w:rPr>
          <w:rFonts w:eastAsia="Batang"/>
          <w:lang w:val="en-US"/>
        </w:rPr>
      </w:pPr>
      <w:r>
        <w:rPr>
          <w:rFonts w:eastAsia="Batang"/>
          <w:lang w:val="en-US"/>
        </w:rPr>
        <w:t>Some important PDS attributes for PWRs and BWRs are for example:</w:t>
      </w:r>
    </w:p>
    <w:p w:rsidR="009F66C3" w:rsidRDefault="009F66C3" w:rsidP="009F66C3">
      <w:pPr>
        <w:pStyle w:val="Paragraphedeliste"/>
        <w:numPr>
          <w:ilvl w:val="0"/>
          <w:numId w:val="24"/>
        </w:numPr>
        <w:rPr>
          <w:rFonts w:eastAsia="Batang"/>
          <w:lang w:val="en-US"/>
        </w:rPr>
      </w:pPr>
      <w:r>
        <w:rPr>
          <w:rFonts w:eastAsia="Batang"/>
          <w:lang w:val="en-US"/>
        </w:rPr>
        <w:t>Time to core damage,</w:t>
      </w:r>
    </w:p>
    <w:p w:rsidR="009F66C3" w:rsidRDefault="009F66C3" w:rsidP="009F66C3">
      <w:pPr>
        <w:pStyle w:val="Paragraphedeliste"/>
        <w:numPr>
          <w:ilvl w:val="0"/>
          <w:numId w:val="24"/>
        </w:numPr>
        <w:rPr>
          <w:rFonts w:eastAsia="Batang"/>
          <w:lang w:val="en-US"/>
        </w:rPr>
      </w:pPr>
      <w:r>
        <w:rPr>
          <w:rFonts w:eastAsia="Batang"/>
          <w:lang w:val="en-US"/>
        </w:rPr>
        <w:t>RCS pressure at core damage,</w:t>
      </w:r>
    </w:p>
    <w:p w:rsidR="009F66C3" w:rsidRDefault="009F66C3" w:rsidP="009F66C3">
      <w:pPr>
        <w:pStyle w:val="Paragraphedeliste"/>
        <w:numPr>
          <w:ilvl w:val="0"/>
          <w:numId w:val="24"/>
        </w:numPr>
        <w:rPr>
          <w:rFonts w:eastAsia="Batang"/>
          <w:lang w:val="en-US"/>
        </w:rPr>
      </w:pPr>
      <w:r>
        <w:rPr>
          <w:rFonts w:eastAsia="Batang"/>
          <w:lang w:val="en-US"/>
        </w:rPr>
        <w:t>Isolation of the containment,</w:t>
      </w:r>
    </w:p>
    <w:p w:rsidR="009F66C3" w:rsidRDefault="009F66C3" w:rsidP="00C94556">
      <w:pPr>
        <w:pStyle w:val="Paragraphedeliste"/>
        <w:numPr>
          <w:ilvl w:val="0"/>
          <w:numId w:val="24"/>
        </w:numPr>
        <w:rPr>
          <w:rFonts w:eastAsia="Batang"/>
          <w:lang w:val="en-US"/>
        </w:rPr>
      </w:pPr>
      <w:r>
        <w:rPr>
          <w:rFonts w:eastAsia="Batang"/>
          <w:lang w:val="en-US"/>
        </w:rPr>
        <w:t>Containment bypass scenario.</w:t>
      </w:r>
    </w:p>
    <w:p w:rsidR="00363165" w:rsidRPr="00313E82" w:rsidRDefault="00363165" w:rsidP="00C94556">
      <w:pPr>
        <w:pStyle w:val="Titre2"/>
        <w:rPr>
          <w:rFonts w:eastAsia="Batang"/>
          <w:lang w:val="en-US"/>
        </w:rPr>
      </w:pPr>
      <w:bookmarkStart w:id="183" w:name="_Toc452560412"/>
      <w:bookmarkStart w:id="184" w:name="_Toc452561345"/>
      <w:bookmarkStart w:id="185" w:name="_Toc452561561"/>
      <w:bookmarkStart w:id="186" w:name="_Toc474430176"/>
      <w:bookmarkEnd w:id="183"/>
      <w:bookmarkEnd w:id="184"/>
      <w:bookmarkEnd w:id="185"/>
      <w:r w:rsidRPr="00313E82">
        <w:rPr>
          <w:rFonts w:eastAsia="Batang"/>
          <w:lang w:val="en-US"/>
        </w:rPr>
        <w:t>Int</w:t>
      </w:r>
      <w:r w:rsidR="00B060FE" w:rsidRPr="00313E82">
        <w:rPr>
          <w:rFonts w:eastAsia="Batang"/>
          <w:lang w:val="en-US"/>
        </w:rPr>
        <w:t>er</w:t>
      </w:r>
      <w:r w:rsidR="00FA31CE">
        <w:rPr>
          <w:rFonts w:eastAsia="Batang"/>
          <w:lang w:val="en-US"/>
        </w:rPr>
        <w:t>f</w:t>
      </w:r>
      <w:r w:rsidR="00B060FE" w:rsidRPr="00313E82">
        <w:rPr>
          <w:rFonts w:eastAsia="Batang"/>
          <w:lang w:val="en-US"/>
        </w:rPr>
        <w:t>ace Core Damage Frequency</w:t>
      </w:r>
      <w:r w:rsidR="0033399C" w:rsidRPr="00313E82">
        <w:rPr>
          <w:rFonts w:eastAsia="Batang"/>
          <w:lang w:val="en-US"/>
        </w:rPr>
        <w:t xml:space="preserve"> (ICD</w:t>
      </w:r>
      <w:r w:rsidRPr="00313E82">
        <w:rPr>
          <w:rFonts w:eastAsia="Batang"/>
          <w:lang w:val="en-US"/>
        </w:rPr>
        <w:t>F)</w:t>
      </w:r>
      <w:bookmarkEnd w:id="186"/>
    </w:p>
    <w:p w:rsidR="001B697D" w:rsidRPr="00313E82" w:rsidRDefault="00FA31CE">
      <w:pPr>
        <w:rPr>
          <w:rFonts w:eastAsia="Batang"/>
          <w:lang w:val="en-US"/>
        </w:rPr>
      </w:pPr>
      <w:r>
        <w:rPr>
          <w:rFonts w:eastAsia="Batang"/>
          <w:lang w:val="en-US"/>
        </w:rPr>
        <w:t>T</w:t>
      </w:r>
      <w:r w:rsidR="00D873A7">
        <w:rPr>
          <w:rFonts w:eastAsia="Batang"/>
          <w:lang w:val="en-US"/>
        </w:rPr>
        <w:t>here is not any awareness that t</w:t>
      </w:r>
      <w:r>
        <w:rPr>
          <w:rFonts w:eastAsia="Batang"/>
          <w:lang w:val="en-US"/>
        </w:rPr>
        <w:t xml:space="preserve">his proposed risk measure has been applied </w:t>
      </w:r>
      <w:r w:rsidR="00D873A7">
        <w:rPr>
          <w:rFonts w:eastAsia="Batang"/>
          <w:lang w:val="en-US"/>
        </w:rPr>
        <w:t>somewhere</w:t>
      </w:r>
      <w:r>
        <w:rPr>
          <w:rFonts w:eastAsia="Batang"/>
          <w:lang w:val="en-US"/>
        </w:rPr>
        <w:t xml:space="preserve">. The risk measure would be defined as the aggregation over all sequences, which contribute to CDF, and which in addition are included in the interface between PSA Level 1 and PSA Level 2. We point out that this is merely a variant of the CDF risk measure and can be derived from the PDS risk measure discussed in section </w:t>
      </w:r>
      <w:r w:rsidR="009E768B">
        <w:rPr>
          <w:rFonts w:eastAsia="Batang"/>
          <w:lang w:val="en-US"/>
        </w:rPr>
        <w:fldChar w:fldCharType="begin"/>
      </w:r>
      <w:r>
        <w:rPr>
          <w:rFonts w:eastAsia="Batang"/>
          <w:lang w:val="en-US"/>
        </w:rPr>
        <w:instrText xml:space="preserve"> REF _Ref444075257 \r \h </w:instrText>
      </w:r>
      <w:r w:rsidR="009E768B">
        <w:rPr>
          <w:rFonts w:eastAsia="Batang"/>
          <w:lang w:val="en-US"/>
        </w:rPr>
      </w:r>
      <w:r w:rsidR="009E768B">
        <w:rPr>
          <w:rFonts w:eastAsia="Batang"/>
          <w:lang w:val="en-US"/>
        </w:rPr>
        <w:fldChar w:fldCharType="separate"/>
      </w:r>
      <w:r w:rsidR="00B772CA">
        <w:rPr>
          <w:rFonts w:eastAsia="Batang"/>
          <w:lang w:val="en-US"/>
        </w:rPr>
        <w:t>2.13</w:t>
      </w:r>
      <w:r w:rsidR="009E768B">
        <w:rPr>
          <w:rFonts w:eastAsia="Batang"/>
          <w:lang w:val="en-US"/>
        </w:rPr>
        <w:fldChar w:fldCharType="end"/>
      </w:r>
      <w:r>
        <w:rPr>
          <w:rFonts w:eastAsia="Batang"/>
          <w:lang w:val="en-US"/>
        </w:rPr>
        <w:t xml:space="preserve">. Moreover, </w:t>
      </w:r>
      <w:r w:rsidR="00D873A7">
        <w:rPr>
          <w:rFonts w:eastAsia="Batang"/>
          <w:lang w:val="en-US"/>
        </w:rPr>
        <w:t xml:space="preserve">it is </w:t>
      </w:r>
      <w:r>
        <w:rPr>
          <w:rFonts w:eastAsia="Batang"/>
          <w:lang w:val="en-US"/>
        </w:rPr>
        <w:t>expect</w:t>
      </w:r>
      <w:r w:rsidR="00D873A7">
        <w:rPr>
          <w:rFonts w:eastAsia="Batang"/>
          <w:lang w:val="en-US"/>
        </w:rPr>
        <w:t>ed</w:t>
      </w:r>
      <w:r>
        <w:rPr>
          <w:rFonts w:eastAsia="Batang"/>
          <w:lang w:val="en-US"/>
        </w:rPr>
        <w:t xml:space="preserve"> that all sequences contributing to CDF (or FDF for that matter) are transferred to the PSA Level 2. In section </w:t>
      </w:r>
      <w:r w:rsidR="009E768B">
        <w:rPr>
          <w:rFonts w:eastAsia="Batang"/>
          <w:lang w:val="en-US"/>
        </w:rPr>
        <w:fldChar w:fldCharType="begin"/>
      </w:r>
      <w:r>
        <w:rPr>
          <w:rFonts w:eastAsia="Batang"/>
          <w:lang w:val="en-US"/>
        </w:rPr>
        <w:instrText xml:space="preserve"> REF _Ref444075257 \r \h </w:instrText>
      </w:r>
      <w:r w:rsidR="009E768B">
        <w:rPr>
          <w:rFonts w:eastAsia="Batang"/>
          <w:lang w:val="en-US"/>
        </w:rPr>
      </w:r>
      <w:r w:rsidR="009E768B">
        <w:rPr>
          <w:rFonts w:eastAsia="Batang"/>
          <w:lang w:val="en-US"/>
        </w:rPr>
        <w:fldChar w:fldCharType="separate"/>
      </w:r>
      <w:r w:rsidR="00B772CA">
        <w:rPr>
          <w:rFonts w:eastAsia="Batang"/>
          <w:lang w:val="en-US"/>
        </w:rPr>
        <w:t>2.13</w:t>
      </w:r>
      <w:r w:rsidR="009E768B">
        <w:rPr>
          <w:rFonts w:eastAsia="Batang"/>
          <w:lang w:val="en-US"/>
        </w:rPr>
        <w:fldChar w:fldCharType="end"/>
      </w:r>
      <w:r>
        <w:rPr>
          <w:rFonts w:eastAsia="Batang"/>
          <w:lang w:val="en-US"/>
        </w:rPr>
        <w:t xml:space="preserve"> we have already discussed why certain (limited) numerical differences between the sum of PDS risk measures and the CDF/FDF value can arise. Overall, </w:t>
      </w:r>
      <w:r w:rsidR="00D873A7">
        <w:rPr>
          <w:rFonts w:eastAsia="Batang"/>
          <w:lang w:val="en-US"/>
        </w:rPr>
        <w:t>it is</w:t>
      </w:r>
      <w:r>
        <w:rPr>
          <w:rFonts w:eastAsia="Batang"/>
          <w:lang w:val="en-US"/>
        </w:rPr>
        <w:t xml:space="preserve"> not recommend</w:t>
      </w:r>
      <w:r w:rsidR="00D873A7">
        <w:rPr>
          <w:rFonts w:eastAsia="Batang"/>
          <w:lang w:val="en-US"/>
        </w:rPr>
        <w:t>ed</w:t>
      </w:r>
      <w:r>
        <w:rPr>
          <w:rFonts w:eastAsia="Batang"/>
          <w:lang w:val="en-US"/>
        </w:rPr>
        <w:t xml:space="preserve"> to </w:t>
      </w:r>
      <w:r w:rsidR="00D11D33">
        <w:rPr>
          <w:rFonts w:eastAsia="Batang"/>
          <w:lang w:val="en-US"/>
        </w:rPr>
        <w:t>use this risk measure as a separate direct risk measure</w:t>
      </w:r>
      <w:r>
        <w:rPr>
          <w:rFonts w:eastAsia="Batang"/>
          <w:lang w:val="en-US"/>
        </w:rPr>
        <w:t>.</w:t>
      </w:r>
    </w:p>
    <w:p w:rsidR="003E6D2B" w:rsidRPr="00313E82" w:rsidRDefault="00095A89" w:rsidP="00C94556">
      <w:pPr>
        <w:pStyle w:val="Titre2"/>
        <w:rPr>
          <w:rFonts w:eastAsia="Batang"/>
          <w:lang w:val="en-US"/>
        </w:rPr>
      </w:pPr>
      <w:bookmarkStart w:id="187" w:name="_Toc474430177"/>
      <w:r w:rsidRPr="00313E82">
        <w:rPr>
          <w:rFonts w:eastAsia="Batang"/>
          <w:lang w:val="en-US"/>
        </w:rPr>
        <w:t>Hazard State Frequency</w:t>
      </w:r>
      <w:r w:rsidR="00C460A2" w:rsidRPr="00313E82">
        <w:rPr>
          <w:rFonts w:eastAsia="Batang"/>
          <w:lang w:val="en-US"/>
        </w:rPr>
        <w:t xml:space="preserve"> (HSF)</w:t>
      </w:r>
      <w:bookmarkEnd w:id="187"/>
    </w:p>
    <w:p w:rsidR="00C460A2" w:rsidRPr="00313E82" w:rsidRDefault="00C460A2">
      <w:pPr>
        <w:rPr>
          <w:rFonts w:eastAsia="Batang"/>
          <w:lang w:val="en-US"/>
        </w:rPr>
      </w:pPr>
      <w:r w:rsidRPr="00313E82">
        <w:rPr>
          <w:rFonts w:eastAsia="Batang"/>
          <w:lang w:val="en-US"/>
        </w:rPr>
        <w:t>It should be noted that this specific</w:t>
      </w:r>
      <w:r w:rsidR="002F3BFF" w:rsidRPr="00313E82">
        <w:rPr>
          <w:rFonts w:eastAsia="Batang"/>
          <w:lang w:val="en-US"/>
        </w:rPr>
        <w:t>ally German risk measure has no</w:t>
      </w:r>
      <w:r w:rsidRPr="00313E82">
        <w:rPr>
          <w:rFonts w:eastAsia="Batang"/>
          <w:lang w:val="en-US"/>
        </w:rPr>
        <w:t xml:space="preserve"> connection to a natural hazard</w:t>
      </w:r>
      <w:r w:rsidR="002F3BFF" w:rsidRPr="00313E82">
        <w:rPr>
          <w:rFonts w:eastAsia="Batang"/>
          <w:lang w:val="en-US"/>
        </w:rPr>
        <w:t xml:space="preserve"> or internal hazard event</w:t>
      </w:r>
      <w:r w:rsidRPr="00313E82">
        <w:rPr>
          <w:rFonts w:eastAsia="Batang"/>
          <w:lang w:val="en-US"/>
        </w:rPr>
        <w:t>, but rather with the meaning of hazard as “being in peril” or “endangerment”</w:t>
      </w:r>
      <w:r w:rsidR="002F3BFF" w:rsidRPr="00313E82">
        <w:rPr>
          <w:rFonts w:eastAsia="Batang"/>
          <w:lang w:val="en-US"/>
        </w:rPr>
        <w:t xml:space="preserve"> (German: “Gefährdung”)</w:t>
      </w:r>
      <w:r w:rsidRPr="00313E82">
        <w:rPr>
          <w:rFonts w:eastAsia="Batang"/>
          <w:lang w:val="en-US"/>
        </w:rPr>
        <w:t xml:space="preserve">. </w:t>
      </w:r>
      <w:r w:rsidR="003024D2" w:rsidRPr="00313E82">
        <w:rPr>
          <w:rFonts w:eastAsia="Batang"/>
          <w:lang w:val="en-US"/>
        </w:rPr>
        <w:tab/>
      </w:r>
    </w:p>
    <w:p w:rsidR="003024D2" w:rsidRPr="00313E82" w:rsidRDefault="003024D2">
      <w:pPr>
        <w:rPr>
          <w:rFonts w:eastAsia="Batang"/>
          <w:lang w:val="en-US"/>
        </w:rPr>
      </w:pPr>
      <w:r w:rsidRPr="00313E82">
        <w:rPr>
          <w:rFonts w:eastAsia="Batang"/>
          <w:lang w:val="en-US"/>
        </w:rPr>
        <w:t>As with the CDF measure, there are in principle two versions of the HSF measure, time averaged and time dependent. Both are treated in this section.</w:t>
      </w:r>
    </w:p>
    <w:p w:rsidR="00C460A2" w:rsidRPr="00313E82" w:rsidRDefault="00C460A2" w:rsidP="00C94556">
      <w:pPr>
        <w:pStyle w:val="Titre3"/>
        <w:rPr>
          <w:rFonts w:eastAsia="Batang"/>
          <w:lang w:val="en-US"/>
        </w:rPr>
      </w:pPr>
      <w:bookmarkStart w:id="188" w:name="_Toc474430178"/>
      <w:r w:rsidRPr="00313E82">
        <w:rPr>
          <w:rFonts w:eastAsia="Batang"/>
          <w:lang w:val="en-US"/>
        </w:rPr>
        <w:t>Definition of Risk Measure</w:t>
      </w:r>
      <w:bookmarkEnd w:id="188"/>
    </w:p>
    <w:p w:rsidR="00C460A2" w:rsidRPr="00C94556" w:rsidRDefault="00C460A2">
      <w:pPr>
        <w:rPr>
          <w:rFonts w:eastAsia="Batang"/>
          <w:u w:val="single"/>
          <w:lang w:val="en-US"/>
        </w:rPr>
      </w:pPr>
      <w:r w:rsidRPr="00C94556">
        <w:rPr>
          <w:rFonts w:eastAsia="Batang"/>
          <w:u w:val="single"/>
          <w:lang w:val="en-US"/>
        </w:rPr>
        <w:t>Risk metric</w:t>
      </w:r>
    </w:p>
    <w:p w:rsidR="00C460A2" w:rsidRPr="00313E82" w:rsidRDefault="00C460A2" w:rsidP="00741D3C">
      <w:pPr>
        <w:rPr>
          <w:rFonts w:eastAsia="Batang"/>
          <w:lang w:val="en-US"/>
        </w:rPr>
      </w:pPr>
      <w:r w:rsidRPr="00313E82">
        <w:rPr>
          <w:rFonts w:eastAsia="Batang"/>
          <w:lang w:val="en-US"/>
        </w:rPr>
        <w:t xml:space="preserve">The </w:t>
      </w:r>
      <w:r w:rsidR="009C2E23" w:rsidRPr="00313E82">
        <w:rPr>
          <w:rFonts w:eastAsia="Batang"/>
          <w:lang w:val="en-US"/>
        </w:rPr>
        <w:t xml:space="preserve">hazard state metrics according to </w:t>
      </w:r>
      <w:r w:rsidR="009E768B" w:rsidRPr="007E0C24">
        <w:rPr>
          <w:rFonts w:eastAsia="Batang"/>
          <w:lang w:val="en-US"/>
        </w:rPr>
        <w:fldChar w:fldCharType="begin"/>
      </w:r>
      <w:r w:rsidR="007932C3" w:rsidRPr="00313E82">
        <w:rPr>
          <w:rFonts w:eastAsia="Batang"/>
          <w:lang w:val="en-US"/>
        </w:rPr>
        <w:instrText xml:space="preserve"> REF _Ref418600965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[77]</w:t>
      </w:r>
      <w:r w:rsidR="009E768B" w:rsidRPr="007E0C24">
        <w:rPr>
          <w:rFonts w:eastAsia="Batang"/>
          <w:lang w:val="en-US"/>
        </w:rPr>
        <w:fldChar w:fldCharType="end"/>
      </w:r>
      <w:r w:rsidR="009C2E23" w:rsidRPr="00313E82">
        <w:rPr>
          <w:rFonts w:eastAsia="Batang"/>
          <w:lang w:val="en-US"/>
        </w:rPr>
        <w:t xml:space="preserve"> is </w:t>
      </w:r>
      <w:r w:rsidR="007932C3" w:rsidRPr="00313E82">
        <w:rPr>
          <w:rFonts w:eastAsia="Batang"/>
          <w:lang w:val="en-US"/>
        </w:rPr>
        <w:t xml:space="preserve">a condition of the plant, where core cooling is no longer provided by systems </w:t>
      </w:r>
      <w:r w:rsidR="00945899">
        <w:rPr>
          <w:rFonts w:eastAsia="Batang"/>
          <w:lang w:val="en-US"/>
        </w:rPr>
        <w:t xml:space="preserve">(automatically or </w:t>
      </w:r>
      <w:r w:rsidR="003116BD">
        <w:rPr>
          <w:rFonts w:eastAsia="Batang"/>
          <w:lang w:val="en-US"/>
        </w:rPr>
        <w:t>manually from EOP</w:t>
      </w:r>
      <w:r w:rsidR="00945899">
        <w:rPr>
          <w:rFonts w:eastAsia="Batang"/>
          <w:lang w:val="en-US"/>
        </w:rPr>
        <w:t xml:space="preserve"> actions)</w:t>
      </w:r>
      <w:r w:rsidR="003116BD">
        <w:rPr>
          <w:rFonts w:eastAsia="Batang"/>
          <w:lang w:val="en-US"/>
        </w:rPr>
        <w:t>,</w:t>
      </w:r>
      <w:r w:rsidR="00945899">
        <w:rPr>
          <w:rFonts w:eastAsia="Batang"/>
          <w:lang w:val="en-US"/>
        </w:rPr>
        <w:t xml:space="preserve"> </w:t>
      </w:r>
      <w:r w:rsidR="007932C3" w:rsidRPr="00313E82">
        <w:rPr>
          <w:rFonts w:eastAsia="Batang"/>
          <w:lang w:val="en-US"/>
        </w:rPr>
        <w:t>which have been design</w:t>
      </w:r>
      <w:r w:rsidR="00BA6A17" w:rsidRPr="00313E82">
        <w:rPr>
          <w:rFonts w:eastAsia="Batang"/>
          <w:lang w:val="en-US"/>
        </w:rPr>
        <w:t>ed</w:t>
      </w:r>
      <w:r w:rsidR="007932C3" w:rsidRPr="00313E82">
        <w:rPr>
          <w:rFonts w:eastAsia="Batang"/>
          <w:lang w:val="en-US"/>
        </w:rPr>
        <w:t xml:space="preserve"> for this safety function. If o</w:t>
      </w:r>
      <w:r w:rsidR="006519DD" w:rsidRPr="00313E82">
        <w:rPr>
          <w:rFonts w:eastAsia="Batang"/>
          <w:lang w:val="en-US"/>
        </w:rPr>
        <w:t>perators take no further preventive accident managements actions</w:t>
      </w:r>
      <w:r w:rsidR="007932C3" w:rsidRPr="00313E82">
        <w:rPr>
          <w:rFonts w:eastAsia="Batang"/>
          <w:lang w:val="en-US"/>
        </w:rPr>
        <w:t xml:space="preserve"> or additional measures </w:t>
      </w:r>
      <w:r w:rsidR="00BA6A17" w:rsidRPr="00313E82">
        <w:rPr>
          <w:rFonts w:eastAsia="Batang"/>
          <w:lang w:val="en-US"/>
        </w:rPr>
        <w:t xml:space="preserve">that </w:t>
      </w:r>
      <w:r w:rsidR="007932C3" w:rsidRPr="00313E82">
        <w:rPr>
          <w:rFonts w:eastAsia="Batang"/>
          <w:lang w:val="en-US"/>
        </w:rPr>
        <w:t>are effective, this state would progress to a core damage state.</w:t>
      </w:r>
      <w:r w:rsidR="00BA6A17" w:rsidRPr="00313E82">
        <w:rPr>
          <w:rFonts w:eastAsia="Batang"/>
          <w:lang w:val="en-US"/>
        </w:rPr>
        <w:t xml:space="preserve"> </w:t>
      </w:r>
      <w:r w:rsidR="007932C3" w:rsidRPr="00313E82">
        <w:rPr>
          <w:rFonts w:eastAsia="Batang"/>
          <w:lang w:val="en-US"/>
        </w:rPr>
        <w:t xml:space="preserve">It should be noted that the hazard state definition in German PSA practice </w:t>
      </w:r>
      <w:r w:rsidR="00374B0B" w:rsidRPr="00313E82">
        <w:rPr>
          <w:rFonts w:eastAsia="Batang"/>
          <w:lang w:val="en-US"/>
        </w:rPr>
        <w:t>often</w:t>
      </w:r>
      <w:r w:rsidR="007932C3" w:rsidRPr="00313E82">
        <w:rPr>
          <w:rFonts w:eastAsia="Batang"/>
          <w:lang w:val="en-US"/>
        </w:rPr>
        <w:t xml:space="preserve"> includes measures formally assigned to preventing accident management, provided they are actuated independently by I&amp;C classified on a level with the RPS. </w:t>
      </w:r>
      <w:r w:rsidR="003024D2" w:rsidRPr="00313E82">
        <w:rPr>
          <w:rFonts w:eastAsia="Batang"/>
          <w:lang w:val="en-US"/>
        </w:rPr>
        <w:tab/>
      </w:r>
      <w:r w:rsidR="003024D2" w:rsidRPr="00313E82">
        <w:rPr>
          <w:rFonts w:eastAsia="Batang"/>
          <w:lang w:val="en-US"/>
        </w:rPr>
        <w:br/>
        <w:t xml:space="preserve">Practically, the hazard state metric is arrived at by neglecting </w:t>
      </w:r>
      <w:r w:rsidR="00EC0157">
        <w:rPr>
          <w:rFonts w:eastAsia="Batang"/>
          <w:lang w:val="en-US"/>
        </w:rPr>
        <w:t xml:space="preserve">human </w:t>
      </w:r>
      <w:r w:rsidR="003024D2" w:rsidRPr="00313E82">
        <w:rPr>
          <w:rFonts w:eastAsia="Batang"/>
          <w:lang w:val="en-US"/>
        </w:rPr>
        <w:t xml:space="preserve">preventive accident management measures at the end of the common accident sequence analysis and event tree derivation. </w:t>
      </w:r>
    </w:p>
    <w:p w:rsidR="00C460A2" w:rsidRPr="00313E82" w:rsidRDefault="00C460A2">
      <w:pPr>
        <w:rPr>
          <w:rFonts w:eastAsia="Batang"/>
          <w:lang w:val="en-US"/>
        </w:rPr>
      </w:pPr>
    </w:p>
    <w:p w:rsidR="00C460A2" w:rsidRPr="00313E82" w:rsidRDefault="00C460A2" w:rsidP="00074E69">
      <w:pPr>
        <w:keepNext/>
        <w:rPr>
          <w:rFonts w:eastAsia="Batang"/>
          <w:u w:val="single"/>
          <w:lang w:val="en-US"/>
        </w:rPr>
      </w:pPr>
      <w:r w:rsidRPr="00313E82">
        <w:rPr>
          <w:rFonts w:eastAsia="Batang"/>
          <w:u w:val="single"/>
          <w:lang w:val="en-US"/>
        </w:rPr>
        <w:lastRenderedPageBreak/>
        <w:t>Risk measure</w:t>
      </w:r>
    </w:p>
    <w:p w:rsidR="00C460A2" w:rsidRPr="00313E82" w:rsidRDefault="00C460A2">
      <w:pPr>
        <w:rPr>
          <w:rFonts w:eastAsia="Batang"/>
          <w:lang w:val="en-US"/>
        </w:rPr>
      </w:pPr>
      <w:r w:rsidRPr="00313E82">
        <w:rPr>
          <w:rFonts w:eastAsia="Batang"/>
          <w:lang w:val="en-US"/>
        </w:rPr>
        <w:t xml:space="preserve">The quantification of the hazard state metric (HSF) is always done with the direct frequency (or probability) of the sequence in the risk model, i.e. it assigns </w:t>
      </w:r>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rFonts w:eastAsia="Batang"/>
          <w:lang w:val="en-US"/>
        </w:rPr>
        <w:t xml:space="preserve"> to the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rFonts w:eastAsia="Batang"/>
          <w:lang w:val="en-US"/>
        </w:rPr>
        <w:t>, where the consequence c</w:t>
      </w:r>
      <w:r w:rsidRPr="00313E82">
        <w:rPr>
          <w:rFonts w:eastAsia="Batang"/>
          <w:vertAlign w:val="subscript"/>
          <w:lang w:val="en-US"/>
        </w:rPr>
        <w:t>j</w:t>
      </w:r>
      <w:r w:rsidRPr="00313E82">
        <w:rPr>
          <w:rFonts w:eastAsia="Batang"/>
          <w:lang w:val="en-US"/>
        </w:rPr>
        <w:t xml:space="preserve"> contributes to </w:t>
      </w:r>
      <w:r w:rsidR="003024D2" w:rsidRPr="00313E82">
        <w:rPr>
          <w:rFonts w:eastAsia="Batang"/>
          <w:lang w:val="en-US"/>
        </w:rPr>
        <w:t>the hazard state</w:t>
      </w:r>
      <w:r w:rsidRPr="00313E82">
        <w:rPr>
          <w:rFonts w:eastAsia="Batang"/>
          <w:lang w:val="en-US"/>
        </w:rPr>
        <w:t>.</w:t>
      </w:r>
    </w:p>
    <w:p w:rsidR="00C460A2" w:rsidRPr="00313E82" w:rsidRDefault="00C460A2">
      <w:pPr>
        <w:rPr>
          <w:rFonts w:eastAsia="Batang"/>
          <w:u w:val="single"/>
          <w:lang w:val="en-US"/>
        </w:rPr>
      </w:pPr>
    </w:p>
    <w:p w:rsidR="00C460A2" w:rsidRPr="00313E82" w:rsidRDefault="00C460A2">
      <w:pPr>
        <w:rPr>
          <w:rFonts w:eastAsia="Batang"/>
          <w:u w:val="single"/>
          <w:lang w:val="en-US"/>
        </w:rPr>
      </w:pPr>
      <w:r w:rsidRPr="00313E82">
        <w:rPr>
          <w:rFonts w:eastAsia="Batang"/>
          <w:u w:val="single"/>
          <w:lang w:val="en-US"/>
        </w:rPr>
        <w:t xml:space="preserve">Use of uncertainty distributions: </w:t>
      </w:r>
    </w:p>
    <w:p w:rsidR="00C460A2" w:rsidRPr="00313E82" w:rsidRDefault="003024D2">
      <w:pPr>
        <w:rPr>
          <w:rFonts w:eastAsia="Batang"/>
          <w:lang w:val="en-US"/>
        </w:rPr>
      </w:pPr>
      <w:r w:rsidRPr="00313E82">
        <w:rPr>
          <w:rFonts w:eastAsia="Batang"/>
          <w:lang w:val="en-US"/>
        </w:rPr>
        <w:t xml:space="preserve">There are no differences to the CDF risk measure already explained in sections </w:t>
      </w:r>
      <w:r w:rsidR="009E768B" w:rsidRPr="007E0C24">
        <w:rPr>
          <w:rFonts w:eastAsia="Batang"/>
          <w:lang w:val="en-US"/>
        </w:rPr>
        <w:fldChar w:fldCharType="begin"/>
      </w:r>
      <w:r w:rsidRPr="00313E82">
        <w:rPr>
          <w:rFonts w:eastAsia="Batang"/>
          <w:lang w:val="en-US"/>
        </w:rPr>
        <w:instrText xml:space="preserve"> REF _Ref418066270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2.1</w:t>
      </w:r>
      <w:r w:rsidR="009E768B" w:rsidRPr="007E0C24">
        <w:rPr>
          <w:rFonts w:eastAsia="Batang"/>
          <w:lang w:val="en-US"/>
        </w:rPr>
        <w:fldChar w:fldCharType="end"/>
      </w:r>
      <w:r w:rsidRPr="00313E82">
        <w:rPr>
          <w:rFonts w:eastAsia="Batang"/>
          <w:lang w:val="en-US"/>
        </w:rPr>
        <w:t xml:space="preserve"> and </w:t>
      </w:r>
      <w:r w:rsidR="009E768B" w:rsidRPr="007E0C24">
        <w:rPr>
          <w:rFonts w:eastAsia="Batang"/>
          <w:lang w:val="en-US"/>
        </w:rPr>
        <w:fldChar w:fldCharType="begin"/>
      </w:r>
      <w:r w:rsidRPr="00313E82">
        <w:rPr>
          <w:rFonts w:eastAsia="Batang"/>
          <w:lang w:val="en-US"/>
        </w:rPr>
        <w:instrText xml:space="preserve"> REF _Ref414021020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2.2</w:t>
      </w:r>
      <w:r w:rsidR="009E768B" w:rsidRPr="007E0C24">
        <w:rPr>
          <w:rFonts w:eastAsia="Batang"/>
          <w:lang w:val="en-US"/>
        </w:rPr>
        <w:fldChar w:fldCharType="end"/>
      </w:r>
      <w:r w:rsidR="00C460A2" w:rsidRPr="00313E82">
        <w:rPr>
          <w:rFonts w:eastAsia="Batang"/>
          <w:lang w:val="en-US"/>
        </w:rPr>
        <w:t xml:space="preserve">. </w:t>
      </w:r>
    </w:p>
    <w:p w:rsidR="00C460A2" w:rsidRPr="00313E82" w:rsidRDefault="00C460A2" w:rsidP="00C94556">
      <w:pPr>
        <w:pStyle w:val="Titre3"/>
        <w:rPr>
          <w:rFonts w:eastAsia="Batang"/>
          <w:lang w:val="en-US"/>
        </w:rPr>
      </w:pPr>
      <w:bookmarkStart w:id="189" w:name="_Toc474430179"/>
      <w:r w:rsidRPr="00313E82">
        <w:rPr>
          <w:rFonts w:eastAsia="Batang"/>
          <w:lang w:val="en-US"/>
        </w:rPr>
        <w:t>Areas of application</w:t>
      </w:r>
      <w:bookmarkEnd w:id="189"/>
    </w:p>
    <w:p w:rsidR="003024D2" w:rsidRPr="00313E82" w:rsidRDefault="003024D2">
      <w:pPr>
        <w:rPr>
          <w:rFonts w:eastAsia="Batang"/>
          <w:lang w:val="en-US"/>
        </w:rPr>
      </w:pPr>
      <w:r w:rsidRPr="00313E82">
        <w:rPr>
          <w:rFonts w:eastAsia="Batang"/>
          <w:lang w:val="en-US"/>
        </w:rPr>
        <w:t xml:space="preserve">PSA for licensing, submissions to the regulator, oversight, design alternatives, risk gap analysis, </w:t>
      </w:r>
    </w:p>
    <w:p w:rsidR="00C460A2" w:rsidRPr="00313E82" w:rsidRDefault="002D5C97">
      <w:pPr>
        <w:rPr>
          <w:rFonts w:eastAsia="Batang"/>
          <w:lang w:val="en-US"/>
        </w:rPr>
      </w:pPr>
      <w:r>
        <w:rPr>
          <w:rFonts w:eastAsia="Batang"/>
          <w:lang w:val="en-US"/>
        </w:rPr>
        <w:t>r</w:t>
      </w:r>
      <w:r w:rsidR="003024D2" w:rsidRPr="00313E82">
        <w:rPr>
          <w:rFonts w:eastAsia="Batang"/>
          <w:lang w:val="en-US"/>
        </w:rPr>
        <w:t>isk-informed decision making</w:t>
      </w:r>
      <w:r>
        <w:rPr>
          <w:rFonts w:eastAsia="Batang"/>
          <w:lang w:val="en-US"/>
        </w:rPr>
        <w:t xml:space="preserve"> and t</w:t>
      </w:r>
      <w:r w:rsidR="006519DD" w:rsidRPr="00313E82">
        <w:rPr>
          <w:rFonts w:eastAsia="Batang"/>
          <w:lang w:val="en-US"/>
        </w:rPr>
        <w:t xml:space="preserve">heoretically: Risk management, </w:t>
      </w:r>
      <w:r w:rsidR="00EC0157">
        <w:rPr>
          <w:rFonts w:eastAsia="Batang"/>
          <w:lang w:val="en-US"/>
        </w:rPr>
        <w:t xml:space="preserve">EOPs development, </w:t>
      </w:r>
      <w:r w:rsidR="006519DD" w:rsidRPr="00313E82">
        <w:rPr>
          <w:rFonts w:eastAsia="Batang"/>
          <w:lang w:val="en-US"/>
        </w:rPr>
        <w:t>r</w:t>
      </w:r>
      <w:r w:rsidR="00C460A2" w:rsidRPr="00313E82">
        <w:rPr>
          <w:rFonts w:eastAsia="Batang"/>
          <w:lang w:val="en-US"/>
        </w:rPr>
        <w:t>isk monitors</w:t>
      </w:r>
      <w:r w:rsidR="003024D2" w:rsidRPr="00313E82">
        <w:rPr>
          <w:rFonts w:eastAsia="Batang"/>
          <w:lang w:val="en-US"/>
        </w:rPr>
        <w:t xml:space="preserve"> (time dependent)</w:t>
      </w:r>
      <w:r>
        <w:rPr>
          <w:rFonts w:eastAsia="Batang"/>
          <w:lang w:val="en-US"/>
        </w:rPr>
        <w:t>.</w:t>
      </w:r>
    </w:p>
    <w:p w:rsidR="00C460A2" w:rsidRPr="00313E82" w:rsidRDefault="00C460A2" w:rsidP="00C94556">
      <w:pPr>
        <w:pStyle w:val="Titre3"/>
        <w:rPr>
          <w:rFonts w:eastAsia="Batang"/>
          <w:lang w:val="en-US"/>
        </w:rPr>
      </w:pPr>
      <w:bookmarkStart w:id="190" w:name="_Toc452560417"/>
      <w:bookmarkStart w:id="191" w:name="_Toc452561350"/>
      <w:bookmarkStart w:id="192" w:name="_Toc452561566"/>
      <w:bookmarkStart w:id="193" w:name="_Toc474430180"/>
      <w:bookmarkEnd w:id="190"/>
      <w:bookmarkEnd w:id="191"/>
      <w:bookmarkEnd w:id="192"/>
      <w:r w:rsidRPr="00313E82">
        <w:rPr>
          <w:rFonts w:eastAsia="Batang"/>
          <w:lang w:val="en-US"/>
        </w:rPr>
        <w:t>Discussion</w:t>
      </w:r>
      <w:bookmarkEnd w:id="193"/>
    </w:p>
    <w:p w:rsidR="00E06777" w:rsidRDefault="00C460A2">
      <w:pPr>
        <w:ind w:left="284" w:hanging="284"/>
        <w:rPr>
          <w:rFonts w:eastAsia="Batang"/>
          <w:lang w:val="en-US"/>
        </w:rPr>
      </w:pPr>
      <w:r w:rsidRPr="00552F4E">
        <w:rPr>
          <w:rFonts w:eastAsia="Batang"/>
          <w:u w:val="single"/>
          <w:lang w:val="en-US"/>
        </w:rPr>
        <w:t>Validity</w:t>
      </w:r>
      <w:r w:rsidRPr="00313E82">
        <w:rPr>
          <w:rFonts w:eastAsia="Batang"/>
          <w:lang w:val="en-US"/>
        </w:rPr>
        <w:t>:</w:t>
      </w:r>
      <w:r w:rsidR="003024D2" w:rsidRPr="00313E82">
        <w:rPr>
          <w:rFonts w:eastAsia="Batang"/>
          <w:lang w:val="en-US"/>
        </w:rPr>
        <w:t xml:space="preserve"> </w:t>
      </w:r>
    </w:p>
    <w:p w:rsidR="00C460A2" w:rsidRPr="00313E82" w:rsidRDefault="006519DD" w:rsidP="00552F4E">
      <w:pPr>
        <w:ind w:left="568" w:hanging="1"/>
        <w:rPr>
          <w:rFonts w:eastAsia="Batang"/>
          <w:lang w:val="en-US"/>
        </w:rPr>
      </w:pPr>
      <w:r w:rsidRPr="00313E82">
        <w:rPr>
          <w:rFonts w:eastAsia="Batang"/>
          <w:lang w:val="en-US"/>
        </w:rPr>
        <w:t>The hazard state metric can be assigned to specific states of a PSA. There is, however, substantial leeway in the definition in terms of what specifically defines a hazard state</w:t>
      </w:r>
      <w:r w:rsidR="00FD3934">
        <w:rPr>
          <w:rFonts w:eastAsia="Batang"/>
          <w:lang w:val="en-US"/>
        </w:rPr>
        <w:t>.</w:t>
      </w:r>
      <w:r w:rsidR="00FD3934" w:rsidRPr="00313E82" w:rsidDel="00FD3934">
        <w:rPr>
          <w:rFonts w:eastAsia="Batang"/>
          <w:lang w:val="en-US"/>
        </w:rPr>
        <w:t xml:space="preserve"> </w:t>
      </w:r>
      <w:r w:rsidR="00074E69">
        <w:rPr>
          <w:rFonts w:eastAsia="Batang"/>
          <w:lang w:val="en-US"/>
        </w:rPr>
        <w:tab/>
      </w:r>
      <w:r w:rsidR="00374B0B" w:rsidRPr="00313E82">
        <w:rPr>
          <w:rFonts w:eastAsia="Batang"/>
          <w:lang w:val="en-US"/>
        </w:rPr>
        <w:br/>
        <w:t xml:space="preserve">Moreover, the hazard state metric is only a weak leading indicator for the risk of accidental releases, because it aggregates over scenarios with accidental releases and those without any significant releases. In that respect, it can provide less valid information to decision makers than e.g. CDF or FDF. Worse, it may even support a distorted understanding of the risk profile of the plant as captured in FDF and release category measures. </w:t>
      </w:r>
      <w:r w:rsidR="004717D5" w:rsidRPr="00313E82">
        <w:rPr>
          <w:rFonts w:eastAsia="Batang"/>
          <w:lang w:val="en-US"/>
        </w:rPr>
        <w:t xml:space="preserve">Conversely, HSF is not valid as a risk measure for the risk of exceeding DiD Level 3 or the risk of leaving the design basis envelope of the plant, because HSF extends partially into the design extension region. </w:t>
      </w:r>
      <w:r w:rsidR="004717D5" w:rsidRPr="00313E82">
        <w:rPr>
          <w:rFonts w:eastAsia="Batang"/>
          <w:lang w:val="en-US"/>
        </w:rPr>
        <w:tab/>
        <w:t xml:space="preserve"> </w:t>
      </w:r>
      <w:r w:rsidR="00374B0B" w:rsidRPr="00313E82">
        <w:rPr>
          <w:rFonts w:eastAsia="Batang"/>
          <w:lang w:val="en-US"/>
        </w:rPr>
        <w:br/>
        <w:t>The HSF measure in connection with the CDF or FDF measure can provide insights in the effectiveness of accident management measures in a general sense. However, these can also – and more specifically – be evaluated by using for example conditional core damage probability or conditional system unreliability measures. The risk aggregation issues for CCDP and similar secondary risk measures are not captured with HSF.</w:t>
      </w:r>
      <w:r w:rsidR="00DB38CA" w:rsidRPr="00313E82">
        <w:rPr>
          <w:rFonts w:eastAsia="Batang"/>
          <w:lang w:val="en-US"/>
        </w:rPr>
        <w:t xml:space="preserve"> Consequently, the validity of HSF for this purpose can be limited.</w:t>
      </w:r>
    </w:p>
    <w:p w:rsidR="00E06777" w:rsidRDefault="00C460A2">
      <w:pPr>
        <w:ind w:left="284" w:hanging="284"/>
        <w:rPr>
          <w:rFonts w:eastAsia="Batang"/>
          <w:lang w:val="en-US"/>
        </w:rPr>
      </w:pPr>
      <w:r w:rsidRPr="00552F4E">
        <w:rPr>
          <w:rFonts w:eastAsia="Batang"/>
          <w:u w:val="single"/>
          <w:lang w:val="en-US"/>
        </w:rPr>
        <w:t>Reliability</w:t>
      </w:r>
      <w:r w:rsidRPr="00313E82">
        <w:rPr>
          <w:rFonts w:eastAsia="Batang"/>
          <w:lang w:val="en-US"/>
        </w:rPr>
        <w:t>:</w:t>
      </w:r>
      <w:r w:rsidR="004717D5" w:rsidRPr="00313E82">
        <w:rPr>
          <w:rFonts w:eastAsia="Batang"/>
          <w:lang w:val="en-US"/>
        </w:rPr>
        <w:t xml:space="preserve"> </w:t>
      </w:r>
    </w:p>
    <w:p w:rsidR="006002E2" w:rsidRPr="00313E82" w:rsidRDefault="005C4323" w:rsidP="00552F4E">
      <w:pPr>
        <w:ind w:left="568" w:hanging="1"/>
        <w:rPr>
          <w:rFonts w:eastAsia="Batang"/>
          <w:lang w:val="en-US"/>
        </w:rPr>
      </w:pPr>
      <w:r w:rsidRPr="00313E82">
        <w:rPr>
          <w:rFonts w:eastAsia="Batang"/>
          <w:lang w:val="en-US"/>
        </w:rPr>
        <w:t>Similar to CDF, there is no unique, technical definition of the hazard state. Design basis and preventive accident management are necessarily specific to each reactor type and sometimes even plant-specific</w:t>
      </w:r>
      <w:r w:rsidR="00C460A2" w:rsidRPr="00313E82">
        <w:rPr>
          <w:rFonts w:eastAsia="Batang"/>
          <w:lang w:val="en-US"/>
        </w:rPr>
        <w:t>.</w:t>
      </w:r>
      <w:r w:rsidRPr="00313E82">
        <w:rPr>
          <w:rFonts w:eastAsia="Batang"/>
          <w:lang w:val="en-US"/>
        </w:rPr>
        <w:t xml:space="preserve"> This, together with the ambiguities in the definition of the risk metric, results in significant differences </w:t>
      </w:r>
      <w:r w:rsidR="006002E2" w:rsidRPr="00313E82">
        <w:rPr>
          <w:rFonts w:eastAsia="Batang"/>
          <w:lang w:val="en-US"/>
        </w:rPr>
        <w:t xml:space="preserve">in the </w:t>
      </w:r>
      <w:r w:rsidRPr="00313E82">
        <w:rPr>
          <w:rFonts w:eastAsia="Batang"/>
          <w:lang w:val="en-US"/>
        </w:rPr>
        <w:t xml:space="preserve">scenarios included into the hazard state metric. This can lead to substantial differences in PSA results for HSF, even for rather similar plants. </w:t>
      </w:r>
    </w:p>
    <w:p w:rsidR="00C460A2" w:rsidRPr="00313E82" w:rsidRDefault="005C4323" w:rsidP="00B76953">
      <w:pPr>
        <w:ind w:left="568"/>
        <w:rPr>
          <w:rFonts w:eastAsia="Batang"/>
          <w:lang w:val="en-US"/>
        </w:rPr>
      </w:pPr>
      <w:r w:rsidRPr="00313E82">
        <w:rPr>
          <w:rFonts w:eastAsia="Batang"/>
          <w:lang w:val="en-US"/>
        </w:rPr>
        <w:t>However, if HSF has been clearly defined for a specific plant, it allows for PSA modelling which is in principle reproducible. Differences can then be explained by discretionary choices of PSA analysts.</w:t>
      </w:r>
    </w:p>
    <w:p w:rsidR="00E06777" w:rsidRDefault="00C460A2" w:rsidP="00074E69">
      <w:pPr>
        <w:keepNext/>
        <w:ind w:left="284" w:hanging="284"/>
        <w:rPr>
          <w:rFonts w:eastAsia="Batang"/>
          <w:lang w:val="en-US"/>
        </w:rPr>
      </w:pPr>
      <w:r w:rsidRPr="00552F4E">
        <w:rPr>
          <w:rFonts w:eastAsia="Batang"/>
          <w:u w:val="single"/>
          <w:lang w:val="en-US"/>
        </w:rPr>
        <w:lastRenderedPageBreak/>
        <w:t>Consistency</w:t>
      </w:r>
      <w:r w:rsidRPr="00313E82">
        <w:rPr>
          <w:rFonts w:eastAsia="Batang"/>
          <w:lang w:val="en-US"/>
        </w:rPr>
        <w:t xml:space="preserve">: </w:t>
      </w:r>
    </w:p>
    <w:p w:rsidR="00C460A2" w:rsidRPr="00313E82" w:rsidRDefault="007F0540" w:rsidP="00552F4E">
      <w:pPr>
        <w:ind w:left="568" w:hanging="1"/>
        <w:rPr>
          <w:rFonts w:eastAsia="Batang"/>
          <w:lang w:val="en-US"/>
        </w:rPr>
      </w:pPr>
      <w:r w:rsidRPr="00313E82">
        <w:rPr>
          <w:rFonts w:eastAsia="Batang"/>
          <w:lang w:val="en-US"/>
        </w:rPr>
        <w:t>HSF like CDF induces an order relation satisfying rationality criteria, if risk aggregation properties are properly considered. Basically, the measure is consistent. Furthermore, the consistency between HSF, FDF and CDF should be ensured, especially for risk aggregation. It should be noted that both fuel damage and core damage states are subsets of hazard states.</w:t>
      </w:r>
    </w:p>
    <w:p w:rsidR="00E06777" w:rsidRDefault="00C460A2">
      <w:pPr>
        <w:ind w:left="284" w:hanging="284"/>
        <w:rPr>
          <w:rFonts w:eastAsia="Batang"/>
          <w:lang w:val="en-US"/>
        </w:rPr>
      </w:pPr>
      <w:r w:rsidRPr="00552F4E">
        <w:rPr>
          <w:rFonts w:eastAsia="Batang"/>
          <w:u w:val="single"/>
          <w:lang w:val="en-US"/>
        </w:rPr>
        <w:t>Risk aggregation properties</w:t>
      </w:r>
      <w:r w:rsidRPr="00313E82">
        <w:rPr>
          <w:rFonts w:eastAsia="Batang"/>
          <w:lang w:val="en-US"/>
        </w:rPr>
        <w:t xml:space="preserve">: </w:t>
      </w:r>
    </w:p>
    <w:p w:rsidR="00C460A2" w:rsidRPr="00313E82" w:rsidRDefault="002F3BFF" w:rsidP="00552F4E">
      <w:pPr>
        <w:ind w:left="568" w:hanging="1"/>
        <w:rPr>
          <w:rFonts w:eastAsia="Batang"/>
          <w:lang w:val="en-US"/>
        </w:rPr>
      </w:pPr>
      <w:r w:rsidRPr="00313E82">
        <w:rPr>
          <w:rFonts w:eastAsia="Batang"/>
          <w:lang w:val="en-US"/>
        </w:rPr>
        <w:t xml:space="preserve">Aggregating </w:t>
      </w:r>
      <w:r w:rsidR="006519DD" w:rsidRPr="00313E82">
        <w:rPr>
          <w:rFonts w:eastAsia="Batang"/>
          <w:lang w:val="en-US"/>
        </w:rPr>
        <w:t>HS</w:t>
      </w:r>
      <w:r w:rsidRPr="00313E82">
        <w:rPr>
          <w:rFonts w:eastAsia="Batang"/>
          <w:lang w:val="en-US"/>
        </w:rPr>
        <w:t xml:space="preserve">F values over multiple scenarios (i.e. frequency values) is a well-defined operation, if performed on </w:t>
      </w:r>
      <w:r w:rsidR="006519DD" w:rsidRPr="00313E82">
        <w:rPr>
          <w:rFonts w:eastAsia="Batang"/>
          <w:lang w:val="en-US"/>
        </w:rPr>
        <w:t xml:space="preserve">a </w:t>
      </w:r>
      <w:r w:rsidRPr="00313E82">
        <w:rPr>
          <w:rFonts w:eastAsia="Batang"/>
          <w:lang w:val="en-US"/>
        </w:rPr>
        <w:t>minimal cut set basis, resulting in a consistent risk measure. However, since the HSF measures extend to scenarios with widely differing consequences with regard to the fundamental safety objective (scenarios leading to large releases as well as scenarios without any accidental releases), and since HSF provides no distinction between these scenarios, aggregating HSF over different sequences can obfuscate the actual risk contributions and bias decision making processes</w:t>
      </w:r>
      <w:r w:rsidR="00C460A2" w:rsidRPr="00313E82">
        <w:rPr>
          <w:rFonts w:eastAsia="Batang"/>
          <w:lang w:val="en-US"/>
        </w:rPr>
        <w:t xml:space="preserve">. </w:t>
      </w:r>
    </w:p>
    <w:p w:rsidR="00E06777" w:rsidRDefault="00C460A2">
      <w:pPr>
        <w:ind w:left="284" w:hanging="284"/>
        <w:rPr>
          <w:rFonts w:eastAsia="Batang"/>
          <w:lang w:val="en-US"/>
        </w:rPr>
      </w:pPr>
      <w:r w:rsidRPr="00552F4E">
        <w:rPr>
          <w:rFonts w:eastAsia="Batang"/>
          <w:u w:val="single"/>
          <w:lang w:val="en-US"/>
        </w:rPr>
        <w:t>Understandability to the PSA community</w:t>
      </w:r>
      <w:r w:rsidRPr="00313E82">
        <w:rPr>
          <w:rFonts w:eastAsia="Batang"/>
          <w:lang w:val="en-US"/>
        </w:rPr>
        <w:t xml:space="preserve">: </w:t>
      </w:r>
    </w:p>
    <w:p w:rsidR="00C460A2" w:rsidRPr="00313E82" w:rsidRDefault="002F3BFF" w:rsidP="00552F4E">
      <w:pPr>
        <w:ind w:left="568" w:hanging="1"/>
        <w:rPr>
          <w:rFonts w:eastAsia="Batang"/>
          <w:lang w:val="en-US"/>
        </w:rPr>
      </w:pPr>
      <w:r w:rsidRPr="00313E82">
        <w:rPr>
          <w:rFonts w:eastAsia="Batang"/>
          <w:lang w:val="en-US"/>
        </w:rPr>
        <w:t xml:space="preserve">The HSF measure is </w:t>
      </w:r>
      <w:r w:rsidR="002E2783" w:rsidRPr="00313E82">
        <w:rPr>
          <w:rFonts w:eastAsia="Batang"/>
          <w:lang w:val="en-US"/>
        </w:rPr>
        <w:t>a commonly used</w:t>
      </w:r>
      <w:r w:rsidRPr="00313E82">
        <w:rPr>
          <w:rFonts w:eastAsia="Batang"/>
          <w:lang w:val="en-US"/>
        </w:rPr>
        <w:t xml:space="preserve"> measure within the German PSA community. Understandability of the HSF measure is significantly hindered by the usual connotation of “hazard” in the English language in the field </w:t>
      </w:r>
      <w:r w:rsidR="002E2783" w:rsidRPr="00313E82">
        <w:rPr>
          <w:rFonts w:eastAsia="Batang"/>
          <w:lang w:val="en-US"/>
        </w:rPr>
        <w:t xml:space="preserve">of </w:t>
      </w:r>
      <w:r w:rsidRPr="00313E82">
        <w:rPr>
          <w:rFonts w:eastAsia="Batang"/>
          <w:lang w:val="en-US"/>
        </w:rPr>
        <w:t>PSA as natural hazard or internal hazard event</w:t>
      </w:r>
      <w:r w:rsidR="00C460A2" w:rsidRPr="00313E82">
        <w:rPr>
          <w:rFonts w:eastAsia="Batang"/>
          <w:lang w:val="en-US"/>
        </w:rPr>
        <w:t>.</w:t>
      </w:r>
      <w:r w:rsidRPr="00313E82">
        <w:rPr>
          <w:rFonts w:eastAsia="Batang"/>
          <w:lang w:val="en-US"/>
        </w:rPr>
        <w:t xml:space="preserve"> Thus, HSF might be misleading. </w:t>
      </w:r>
      <w:r w:rsidR="00C460A2" w:rsidRPr="00313E82">
        <w:rPr>
          <w:rFonts w:eastAsia="Batang"/>
          <w:lang w:val="en-US"/>
        </w:rPr>
        <w:t xml:space="preserve"> </w:t>
      </w:r>
    </w:p>
    <w:p w:rsidR="00C460A2" w:rsidRPr="00313E82" w:rsidRDefault="00C460A2" w:rsidP="00C94556">
      <w:pPr>
        <w:pStyle w:val="Titre3"/>
        <w:rPr>
          <w:rFonts w:eastAsia="Batang"/>
          <w:lang w:val="en-US"/>
        </w:rPr>
      </w:pPr>
      <w:bookmarkStart w:id="194" w:name="_Toc474430181"/>
      <w:r w:rsidRPr="00313E82">
        <w:rPr>
          <w:rFonts w:eastAsia="Batang"/>
          <w:lang w:val="en-US"/>
        </w:rPr>
        <w:t>Limitation</w:t>
      </w:r>
      <w:bookmarkEnd w:id="194"/>
    </w:p>
    <w:p w:rsidR="007853DC" w:rsidRPr="00313E82" w:rsidRDefault="007853DC">
      <w:pPr>
        <w:rPr>
          <w:rFonts w:eastAsia="Batang"/>
          <w:lang w:val="en-US"/>
        </w:rPr>
      </w:pPr>
      <w:r w:rsidRPr="00313E82">
        <w:rPr>
          <w:rFonts w:eastAsia="Batang"/>
          <w:lang w:val="en-US"/>
        </w:rPr>
        <w:t xml:space="preserve">There are several limitations to the HSF risk measure, which have already </w:t>
      </w:r>
      <w:r w:rsidR="006002E2" w:rsidRPr="00313E82">
        <w:rPr>
          <w:rFonts w:eastAsia="Batang"/>
          <w:lang w:val="en-US"/>
        </w:rPr>
        <w:t xml:space="preserve">been </w:t>
      </w:r>
      <w:r w:rsidRPr="00313E82">
        <w:rPr>
          <w:rFonts w:eastAsia="Batang"/>
          <w:lang w:val="en-US"/>
        </w:rPr>
        <w:t xml:space="preserve">mentioned above. The HSF metric aggregates scenarios with accidental releases and those without any significant releases. Like FDF, it provides no further information regarding the severity of potential releases, the status of the reactor, containment and ventilation systems, etc. Moreover, it is neither a valid risk measure for DiD Level 3, DiD Level 4, design basis accident risk or design extension conditions. Actually, the HSF risk </w:t>
      </w:r>
      <w:r w:rsidR="00015178" w:rsidRPr="00313E82">
        <w:rPr>
          <w:rFonts w:eastAsia="Batang"/>
          <w:lang w:val="en-US"/>
        </w:rPr>
        <w:t>measure</w:t>
      </w:r>
      <w:r w:rsidRPr="00313E82">
        <w:rPr>
          <w:rFonts w:eastAsia="Batang"/>
          <w:lang w:val="en-US"/>
        </w:rPr>
        <w:t xml:space="preserve"> is located somewhere </w:t>
      </w:r>
      <w:r w:rsidRPr="00E06777">
        <w:rPr>
          <w:rFonts w:eastAsia="Batang"/>
          <w:lang w:val="en-US"/>
        </w:rPr>
        <w:t xml:space="preserve">between DiD Level 3 risk and the CDF/FDF measure. </w:t>
      </w:r>
      <w:r w:rsidR="00015178" w:rsidRPr="00B76953">
        <w:rPr>
          <w:rFonts w:eastAsia="Batang"/>
          <w:lang w:val="en-US"/>
        </w:rPr>
        <w:t>Aspects of risk captured by the HSF metric can often be captured with CCDP.</w:t>
      </w:r>
      <w:r w:rsidR="00015178" w:rsidRPr="00E06777">
        <w:rPr>
          <w:rFonts w:eastAsia="Batang"/>
          <w:lang w:val="en-US"/>
        </w:rPr>
        <w:t xml:space="preserve"> The HSF measure is not sensi</w:t>
      </w:r>
      <w:r w:rsidR="00015178" w:rsidRPr="008A1688">
        <w:rPr>
          <w:rFonts w:eastAsia="Batang"/>
          <w:lang w:val="en-US"/>
        </w:rPr>
        <w:t>tive to risk aggregation issues related to these secondary risk measures.</w:t>
      </w:r>
      <w:r w:rsidRPr="00313E82">
        <w:rPr>
          <w:rFonts w:eastAsia="Batang"/>
          <w:lang w:val="en-US"/>
        </w:rPr>
        <w:t xml:space="preserve"> </w:t>
      </w:r>
    </w:p>
    <w:p w:rsidR="00C460A2" w:rsidRPr="00313E82" w:rsidRDefault="00C460A2">
      <w:pPr>
        <w:rPr>
          <w:rFonts w:eastAsia="Batang"/>
          <w:lang w:val="en-US"/>
        </w:rPr>
      </w:pPr>
    </w:p>
    <w:p w:rsidR="00C460A2" w:rsidRPr="00313E82" w:rsidRDefault="00C460A2" w:rsidP="00C94556">
      <w:pPr>
        <w:pStyle w:val="Titre3"/>
        <w:rPr>
          <w:rFonts w:eastAsia="Batang"/>
          <w:lang w:val="en-US"/>
        </w:rPr>
      </w:pPr>
      <w:bookmarkStart w:id="195" w:name="_Toc474430182"/>
      <w:r w:rsidRPr="00313E82">
        <w:rPr>
          <w:rFonts w:eastAsia="Batang"/>
          <w:lang w:val="en-US"/>
        </w:rPr>
        <w:t xml:space="preserve">ASAMPSA_E recommendation on </w:t>
      </w:r>
      <w:r w:rsidR="00AF3134">
        <w:rPr>
          <w:rFonts w:eastAsia="Batang"/>
          <w:lang w:val="en-US"/>
        </w:rPr>
        <w:t>HSF</w:t>
      </w:r>
      <w:bookmarkEnd w:id="195"/>
    </w:p>
    <w:p w:rsidR="00E06777" w:rsidRDefault="002F3BFF">
      <w:pPr>
        <w:rPr>
          <w:rFonts w:eastAsia="Batang"/>
          <w:lang w:val="en-US"/>
        </w:rPr>
      </w:pPr>
      <w:r w:rsidRPr="00313E82">
        <w:rPr>
          <w:rFonts w:eastAsia="Batang"/>
          <w:lang w:val="en-US"/>
        </w:rPr>
        <w:t>Due to the issues with the validity of this risk measure and the problems regarding understandability of this HSF, the ASAMPSA_E project does not recommend the use of the HSF measure for extended PSAs</w:t>
      </w:r>
      <w:r w:rsidR="00015178" w:rsidRPr="00313E82">
        <w:rPr>
          <w:rFonts w:eastAsia="Batang"/>
          <w:lang w:val="en-US"/>
        </w:rPr>
        <w:t xml:space="preserve">. </w:t>
      </w:r>
    </w:p>
    <w:p w:rsidR="00095A89" w:rsidRPr="00313E82" w:rsidRDefault="00015178">
      <w:pPr>
        <w:rPr>
          <w:rFonts w:eastAsia="Batang"/>
          <w:lang w:val="en-US"/>
        </w:rPr>
      </w:pPr>
      <w:r w:rsidRPr="00313E82">
        <w:rPr>
          <w:rFonts w:eastAsia="Batang"/>
          <w:lang w:val="en-US"/>
        </w:rPr>
        <w:t xml:space="preserve">For assessing the effectiveness of specific emergency operating procedures or preventive accident management actions, the risk measure </w:t>
      </w:r>
      <w:r w:rsidR="00EC1209">
        <w:rPr>
          <w:rFonts w:eastAsia="Batang"/>
          <w:lang w:val="en-US"/>
        </w:rPr>
        <w:t>is</w:t>
      </w:r>
      <w:r w:rsidR="002B4DD2" w:rsidRPr="00313E82">
        <w:rPr>
          <w:rFonts w:eastAsia="Batang"/>
          <w:lang w:val="en-US"/>
        </w:rPr>
        <w:t xml:space="preserve"> well suited. It should be recognized that these risk measures have to be evaluated separately for each scenario. Risk aggregation on e.g. CCDP is only meaningful if Bayes’ law is adhered to</w:t>
      </w:r>
      <w:r w:rsidR="006002E2" w:rsidRPr="00313E82">
        <w:rPr>
          <w:rFonts w:eastAsia="Batang"/>
          <w:lang w:val="en-US"/>
        </w:rPr>
        <w:t>o</w:t>
      </w:r>
      <w:r w:rsidR="002F3BFF" w:rsidRPr="00313E82">
        <w:rPr>
          <w:rFonts w:eastAsia="Batang"/>
          <w:lang w:val="en-US"/>
        </w:rPr>
        <w:t>.</w:t>
      </w:r>
    </w:p>
    <w:p w:rsidR="00F428AA" w:rsidRPr="00313E82" w:rsidRDefault="00F428AA" w:rsidP="00C94556">
      <w:pPr>
        <w:pStyle w:val="Titre2"/>
        <w:rPr>
          <w:rFonts w:eastAsia="Batang"/>
          <w:lang w:val="en-US"/>
        </w:rPr>
      </w:pPr>
      <w:bookmarkStart w:id="196" w:name="_Ref444077558"/>
      <w:bookmarkStart w:id="197" w:name="_Toc474430183"/>
      <w:r w:rsidRPr="00313E82">
        <w:rPr>
          <w:rFonts w:eastAsia="Batang"/>
          <w:lang w:val="en-US"/>
        </w:rPr>
        <w:t xml:space="preserve">Spent Fuel </w:t>
      </w:r>
      <w:r w:rsidR="00932870">
        <w:rPr>
          <w:rFonts w:eastAsia="Batang"/>
          <w:lang w:val="en-US"/>
        </w:rPr>
        <w:t xml:space="preserve">Pool </w:t>
      </w:r>
      <w:r w:rsidRPr="00313E82">
        <w:rPr>
          <w:rFonts w:eastAsia="Batang"/>
          <w:lang w:val="en-US"/>
        </w:rPr>
        <w:t>Damage Frequency</w:t>
      </w:r>
      <w:r w:rsidR="0097566D" w:rsidRPr="00313E82">
        <w:rPr>
          <w:rFonts w:eastAsia="Batang"/>
          <w:lang w:val="en-US"/>
        </w:rPr>
        <w:t xml:space="preserve"> (SF</w:t>
      </w:r>
      <w:r w:rsidR="00932870">
        <w:rPr>
          <w:rFonts w:eastAsia="Batang"/>
          <w:lang w:val="en-US"/>
        </w:rPr>
        <w:t>P</w:t>
      </w:r>
      <w:r w:rsidR="0097566D" w:rsidRPr="00313E82">
        <w:rPr>
          <w:rFonts w:eastAsia="Batang"/>
          <w:lang w:val="en-US"/>
        </w:rPr>
        <w:t>DF)</w:t>
      </w:r>
      <w:bookmarkEnd w:id="196"/>
      <w:bookmarkEnd w:id="197"/>
    </w:p>
    <w:p w:rsidR="00AF1D43" w:rsidRPr="00313E82" w:rsidRDefault="00AF1D43" w:rsidP="00C94556">
      <w:pPr>
        <w:pStyle w:val="Titre3"/>
        <w:rPr>
          <w:rFonts w:eastAsia="Batang"/>
          <w:lang w:val="en-US"/>
        </w:rPr>
      </w:pPr>
      <w:bookmarkStart w:id="198" w:name="_Toc474430184"/>
      <w:r w:rsidRPr="00313E82">
        <w:rPr>
          <w:rFonts w:eastAsia="Batang"/>
          <w:lang w:val="en-US"/>
        </w:rPr>
        <w:t>Definition of Risk Measure</w:t>
      </w:r>
      <w:bookmarkEnd w:id="198"/>
    </w:p>
    <w:p w:rsidR="001D7298" w:rsidRPr="00313E82" w:rsidRDefault="001D7298">
      <w:pPr>
        <w:rPr>
          <w:rFonts w:eastAsia="Batang"/>
          <w:u w:val="single"/>
          <w:lang w:val="en-US"/>
        </w:rPr>
      </w:pPr>
      <w:r w:rsidRPr="00313E82">
        <w:rPr>
          <w:rFonts w:eastAsia="Batang"/>
          <w:u w:val="single"/>
          <w:lang w:val="en-US"/>
        </w:rPr>
        <w:t>Risk metric</w:t>
      </w:r>
    </w:p>
    <w:p w:rsidR="001D7298" w:rsidRPr="00313E82" w:rsidRDefault="00297D26">
      <w:pPr>
        <w:rPr>
          <w:rFonts w:eastAsia="Batang"/>
          <w:lang w:val="en-US"/>
        </w:rPr>
      </w:pPr>
      <w:r>
        <w:rPr>
          <w:rFonts w:eastAsia="Batang"/>
          <w:lang w:val="en-US"/>
        </w:rPr>
        <w:lastRenderedPageBreak/>
        <w:t>The r</w:t>
      </w:r>
      <w:r w:rsidR="001D7298" w:rsidRPr="00313E82">
        <w:rPr>
          <w:rFonts w:eastAsia="Batang"/>
          <w:lang w:val="en-US"/>
        </w:rPr>
        <w:t>isk metric relate</w:t>
      </w:r>
      <w:r>
        <w:rPr>
          <w:rFonts w:eastAsia="Batang"/>
          <w:lang w:val="en-US"/>
        </w:rPr>
        <w:t>s</w:t>
      </w:r>
      <w:r w:rsidR="001D7298" w:rsidRPr="00313E82">
        <w:rPr>
          <w:rFonts w:eastAsia="Batang"/>
          <w:lang w:val="en-US"/>
        </w:rPr>
        <w:t xml:space="preserve"> to </w:t>
      </w:r>
      <w:r w:rsidR="002076E5">
        <w:rPr>
          <w:rFonts w:eastAsia="Batang"/>
          <w:lang w:val="en-US"/>
        </w:rPr>
        <w:t xml:space="preserve">the </w:t>
      </w:r>
      <w:r w:rsidR="001D7298" w:rsidRPr="00313E82">
        <w:rPr>
          <w:rFonts w:eastAsia="Batang"/>
          <w:lang w:val="en-US"/>
        </w:rPr>
        <w:t>challenges to adequately cool the used fuel</w:t>
      </w:r>
      <w:r w:rsidR="006E18B0" w:rsidRPr="00313E82">
        <w:rPr>
          <w:rFonts w:eastAsia="Batang"/>
          <w:lang w:val="en-US"/>
        </w:rPr>
        <w:t xml:space="preserve"> </w:t>
      </w:r>
      <w:r w:rsidR="00932870">
        <w:rPr>
          <w:rFonts w:eastAsia="Batang"/>
          <w:lang w:val="en-US"/>
        </w:rPr>
        <w:t xml:space="preserve">located in a spent fuel pool </w:t>
      </w:r>
      <w:r w:rsidR="004A54D7">
        <w:rPr>
          <w:rFonts w:eastAsia="Batang"/>
          <w:lang w:val="en-US"/>
        </w:rPr>
        <w:t xml:space="preserve">(SFP) </w:t>
      </w:r>
      <w:r w:rsidR="006E18B0" w:rsidRPr="00313E82">
        <w:rPr>
          <w:rFonts w:eastAsia="Batang"/>
          <w:lang w:val="en-US"/>
        </w:rPr>
        <w:t xml:space="preserve">for events like </w:t>
      </w:r>
      <w:r w:rsidR="001D7298" w:rsidRPr="00313E82">
        <w:rPr>
          <w:rFonts w:eastAsia="Batang"/>
          <w:lang w:val="en-US"/>
        </w:rPr>
        <w:t>loss of cooling, loss of inventory and reactivity accident</w:t>
      </w:r>
      <w:r w:rsidR="006E18B0" w:rsidRPr="00313E82">
        <w:rPr>
          <w:rFonts w:eastAsia="Batang"/>
          <w:lang w:val="en-US"/>
        </w:rPr>
        <w:t>s</w:t>
      </w:r>
      <w:r w:rsidR="001D7298" w:rsidRPr="00313E82">
        <w:rPr>
          <w:rFonts w:eastAsia="Batang"/>
          <w:lang w:val="en-US"/>
        </w:rPr>
        <w:t xml:space="preserve"> and the consequent safety system success criteria to cope with the concerned risks, like the systems devoted to decay heat removal and water make-up.</w:t>
      </w:r>
      <w:r w:rsidR="00472102">
        <w:rPr>
          <w:rFonts w:eastAsia="Batang"/>
          <w:lang w:val="en-US"/>
        </w:rPr>
        <w:t xml:space="preserve"> This risk metric is a subsidiary of the FDF risk metric discussed in Section </w:t>
      </w:r>
      <w:r w:rsidR="009E768B">
        <w:rPr>
          <w:rFonts w:eastAsia="Batang"/>
          <w:lang w:val="en-US"/>
        </w:rPr>
        <w:fldChar w:fldCharType="begin"/>
      </w:r>
      <w:r w:rsidR="00472102">
        <w:rPr>
          <w:rFonts w:eastAsia="Batang"/>
          <w:lang w:val="en-US"/>
        </w:rPr>
        <w:instrText xml:space="preserve"> REF _Ref316897804 \r \h </w:instrText>
      </w:r>
      <w:r w:rsidR="009E768B">
        <w:rPr>
          <w:rFonts w:eastAsia="Batang"/>
          <w:lang w:val="en-US"/>
        </w:rPr>
      </w:r>
      <w:r w:rsidR="009E768B">
        <w:rPr>
          <w:rFonts w:eastAsia="Batang"/>
          <w:lang w:val="en-US"/>
        </w:rPr>
        <w:fldChar w:fldCharType="separate"/>
      </w:r>
      <w:r w:rsidR="00B772CA">
        <w:rPr>
          <w:rFonts w:eastAsia="Batang"/>
          <w:lang w:val="en-US"/>
        </w:rPr>
        <w:t>2.12</w:t>
      </w:r>
      <w:r w:rsidR="009E768B">
        <w:rPr>
          <w:rFonts w:eastAsia="Batang"/>
          <w:lang w:val="en-US"/>
        </w:rPr>
        <w:fldChar w:fldCharType="end"/>
      </w:r>
      <w:r w:rsidR="00472102">
        <w:rPr>
          <w:rFonts w:eastAsia="Batang"/>
          <w:lang w:val="en-US"/>
        </w:rPr>
        <w:t xml:space="preserve"> as it is specific to a location (Spent fuel pool) compared to the more general metric FDF.</w:t>
      </w:r>
    </w:p>
    <w:p w:rsidR="001D7298" w:rsidRPr="00313E82" w:rsidRDefault="001D7298">
      <w:pPr>
        <w:rPr>
          <w:rFonts w:eastAsia="Batang"/>
          <w:lang w:val="en-US"/>
        </w:rPr>
      </w:pPr>
      <w:r w:rsidRPr="00313E82">
        <w:rPr>
          <w:rFonts w:eastAsia="Batang"/>
          <w:lang w:val="en-US"/>
        </w:rPr>
        <w:t>Seismic induced structural failures, heavy load drops (e.g. during dry cask movements) as well as reactor induced challenges, like reactor severe accident conditions resulting in adverse SFP conditions or adverse SFP cooling/make-up equipment conditions</w:t>
      </w:r>
      <w:r w:rsidR="006E18B0" w:rsidRPr="00313E82">
        <w:rPr>
          <w:rFonts w:eastAsia="Batang"/>
          <w:lang w:val="en-US"/>
        </w:rPr>
        <w:t xml:space="preserve"> and</w:t>
      </w:r>
      <w:r w:rsidRPr="00313E82">
        <w:rPr>
          <w:rFonts w:eastAsia="Batang"/>
          <w:lang w:val="en-US"/>
        </w:rPr>
        <w:t xml:space="preserve"> related phenomena causing structural failure, like hydrogen explosion</w:t>
      </w:r>
      <w:r w:rsidR="006E18B0" w:rsidRPr="00313E82">
        <w:rPr>
          <w:rFonts w:eastAsia="Batang"/>
          <w:lang w:val="en-US"/>
        </w:rPr>
        <w:t>,</w:t>
      </w:r>
      <w:r w:rsidRPr="00313E82">
        <w:rPr>
          <w:rFonts w:eastAsia="Batang"/>
          <w:lang w:val="en-US"/>
        </w:rPr>
        <w:t xml:space="preserve"> are to be included likewise.</w:t>
      </w:r>
    </w:p>
    <w:p w:rsidR="001D7298" w:rsidRPr="00313E82" w:rsidRDefault="001D7298">
      <w:pPr>
        <w:rPr>
          <w:rFonts w:eastAsia="Batang"/>
          <w:lang w:val="en-US"/>
        </w:rPr>
      </w:pPr>
      <w:r w:rsidRPr="00313E82">
        <w:rPr>
          <w:rFonts w:eastAsia="Batang"/>
          <w:lang w:val="en-US"/>
        </w:rPr>
        <w:t>So far the analysis of accident sequences leading to SFP fuel damage based on event tree/fault tree approach (ET/FT) and the probabilistic accident progression analysis based on accident progression event trees (APETs) indicate</w:t>
      </w:r>
      <w:r w:rsidR="006E18B0" w:rsidRPr="00313E82">
        <w:rPr>
          <w:rFonts w:eastAsia="Batang"/>
          <w:lang w:val="en-US"/>
        </w:rPr>
        <w:t>s</w:t>
      </w:r>
      <w:r w:rsidRPr="00313E82">
        <w:rPr>
          <w:rFonts w:eastAsia="Batang"/>
          <w:lang w:val="en-US"/>
        </w:rPr>
        <w:t xml:space="preserve"> the FDF and the LRF as the most suitable risk metrics for SFP.</w:t>
      </w:r>
    </w:p>
    <w:p w:rsidR="001D7298" w:rsidRPr="00313E82" w:rsidRDefault="001D7298">
      <w:pPr>
        <w:rPr>
          <w:rFonts w:eastAsia="Batang"/>
          <w:lang w:val="en-US"/>
        </w:rPr>
      </w:pPr>
      <w:r w:rsidRPr="00313E82">
        <w:rPr>
          <w:rFonts w:eastAsia="Batang"/>
          <w:lang w:val="en-US"/>
        </w:rPr>
        <w:t>Frequency of Spent Fuel Uncovery could be conceived as a level</w:t>
      </w:r>
      <w:r w:rsidR="006E18B0" w:rsidRPr="00313E82">
        <w:rPr>
          <w:rFonts w:eastAsia="Batang"/>
          <w:lang w:val="en-US"/>
        </w:rPr>
        <w:t xml:space="preserve"> </w:t>
      </w:r>
      <w:r w:rsidRPr="00313E82">
        <w:rPr>
          <w:rFonts w:eastAsia="Batang"/>
          <w:lang w:val="en-US"/>
        </w:rPr>
        <w:t>1 risk surrogate metric, with reference to accident sequences leading to spent fuel uncovery</w:t>
      </w:r>
      <w:r w:rsidR="006E18B0" w:rsidRPr="00313E82">
        <w:rPr>
          <w:rFonts w:eastAsia="Batang"/>
          <w:lang w:val="en-US"/>
        </w:rPr>
        <w:t xml:space="preserve"> (and overheating)</w:t>
      </w:r>
      <w:r w:rsidRPr="00313E82">
        <w:rPr>
          <w:rFonts w:eastAsia="Batang"/>
          <w:lang w:val="en-US"/>
        </w:rPr>
        <w:t>.</w:t>
      </w:r>
    </w:p>
    <w:p w:rsidR="001D7298" w:rsidRPr="00313E82" w:rsidRDefault="001D7298">
      <w:pPr>
        <w:rPr>
          <w:rFonts w:eastAsia="Batang"/>
          <w:u w:val="single"/>
          <w:lang w:val="en-US"/>
        </w:rPr>
      </w:pPr>
    </w:p>
    <w:p w:rsidR="001D7298" w:rsidRPr="00313E82" w:rsidRDefault="001D7298">
      <w:pPr>
        <w:rPr>
          <w:rFonts w:eastAsia="Batang"/>
          <w:u w:val="single"/>
          <w:lang w:val="en-US"/>
        </w:rPr>
      </w:pPr>
      <w:r w:rsidRPr="00313E82">
        <w:rPr>
          <w:rFonts w:eastAsia="Batang"/>
          <w:u w:val="single"/>
          <w:lang w:val="en-US"/>
        </w:rPr>
        <w:t>Risk measure</w:t>
      </w:r>
    </w:p>
    <w:p w:rsidR="001D7298" w:rsidRPr="00313E82" w:rsidRDefault="001D7298">
      <w:pPr>
        <w:rPr>
          <w:rFonts w:eastAsia="Batang"/>
          <w:lang w:val="en-US"/>
        </w:rPr>
      </w:pPr>
      <w:r w:rsidRPr="00313E82">
        <w:rPr>
          <w:rFonts w:eastAsia="Batang"/>
          <w:lang w:val="en-US"/>
        </w:rPr>
        <w:t xml:space="preserve">Refer to </w:t>
      </w:r>
      <w:r w:rsidR="009E768B">
        <w:rPr>
          <w:rFonts w:eastAsia="Batang"/>
          <w:lang w:val="en-US"/>
        </w:rPr>
        <w:fldChar w:fldCharType="begin"/>
      </w:r>
      <w:r w:rsidR="00F54E90">
        <w:rPr>
          <w:rFonts w:eastAsia="Batang"/>
          <w:lang w:val="en-US"/>
        </w:rPr>
        <w:instrText xml:space="preserve"> REF _Ref444076030 \r \h </w:instrText>
      </w:r>
      <w:r w:rsidR="009E768B">
        <w:rPr>
          <w:rFonts w:eastAsia="Batang"/>
          <w:lang w:val="en-US"/>
        </w:rPr>
      </w:r>
      <w:r w:rsidR="009E768B">
        <w:rPr>
          <w:rFonts w:eastAsia="Batang"/>
          <w:lang w:val="en-US"/>
        </w:rPr>
        <w:fldChar w:fldCharType="separate"/>
      </w:r>
      <w:r w:rsidR="00B772CA">
        <w:rPr>
          <w:rFonts w:eastAsia="Batang"/>
          <w:lang w:val="en-US"/>
        </w:rPr>
        <w:t>2.12.1</w:t>
      </w:r>
      <w:r w:rsidR="009E768B">
        <w:rPr>
          <w:rFonts w:eastAsia="Batang"/>
          <w:lang w:val="en-US"/>
        </w:rPr>
        <w:fldChar w:fldCharType="end"/>
      </w:r>
    </w:p>
    <w:p w:rsidR="001D7298" w:rsidRPr="00313E82" w:rsidRDefault="001D7298">
      <w:pPr>
        <w:rPr>
          <w:rFonts w:eastAsia="Batang"/>
          <w:u w:val="single"/>
          <w:lang w:val="en-US"/>
        </w:rPr>
      </w:pPr>
    </w:p>
    <w:p w:rsidR="001D7298" w:rsidRPr="00313E82" w:rsidRDefault="001D7298">
      <w:pPr>
        <w:rPr>
          <w:rFonts w:eastAsia="Batang"/>
          <w:u w:val="single"/>
          <w:lang w:val="en-US"/>
        </w:rPr>
      </w:pPr>
      <w:r w:rsidRPr="00313E82">
        <w:rPr>
          <w:rFonts w:eastAsia="Batang"/>
          <w:u w:val="single"/>
          <w:lang w:val="en-US"/>
        </w:rPr>
        <w:t>Use of uncertainty distributions</w:t>
      </w:r>
    </w:p>
    <w:p w:rsidR="001D7298" w:rsidRPr="00313E82" w:rsidRDefault="001D7298">
      <w:pPr>
        <w:rPr>
          <w:rFonts w:eastAsia="Batang"/>
          <w:lang w:val="en-US"/>
        </w:rPr>
      </w:pPr>
      <w:r w:rsidRPr="00313E82">
        <w:rPr>
          <w:rFonts w:eastAsia="Batang"/>
          <w:lang w:val="en-US"/>
        </w:rPr>
        <w:t xml:space="preserve">Refer to </w:t>
      </w:r>
      <w:r w:rsidR="009E768B">
        <w:rPr>
          <w:rFonts w:eastAsia="Batang"/>
          <w:lang w:val="en-US"/>
        </w:rPr>
        <w:fldChar w:fldCharType="begin"/>
      </w:r>
      <w:r w:rsidR="00F54E90">
        <w:rPr>
          <w:rFonts w:eastAsia="Batang"/>
          <w:lang w:val="en-US"/>
        </w:rPr>
        <w:instrText xml:space="preserve"> REF _Ref444076054 \r \h </w:instrText>
      </w:r>
      <w:r w:rsidR="009E768B">
        <w:rPr>
          <w:rFonts w:eastAsia="Batang"/>
          <w:lang w:val="en-US"/>
        </w:rPr>
      </w:r>
      <w:r w:rsidR="009E768B">
        <w:rPr>
          <w:rFonts w:eastAsia="Batang"/>
          <w:lang w:val="en-US"/>
        </w:rPr>
        <w:fldChar w:fldCharType="separate"/>
      </w:r>
      <w:r w:rsidR="00B772CA">
        <w:rPr>
          <w:rFonts w:eastAsia="Batang"/>
          <w:lang w:val="en-US"/>
        </w:rPr>
        <w:t>2.12.1</w:t>
      </w:r>
      <w:r w:rsidR="009E768B">
        <w:rPr>
          <w:rFonts w:eastAsia="Batang"/>
          <w:lang w:val="en-US"/>
        </w:rPr>
        <w:fldChar w:fldCharType="end"/>
      </w:r>
    </w:p>
    <w:p w:rsidR="00AF1D43" w:rsidRPr="00313E82" w:rsidRDefault="00AF1D43" w:rsidP="00C94556">
      <w:pPr>
        <w:pStyle w:val="Titre3"/>
        <w:rPr>
          <w:rFonts w:eastAsia="Batang"/>
          <w:lang w:val="en-US"/>
        </w:rPr>
      </w:pPr>
      <w:bookmarkStart w:id="199" w:name="_Toc452561356"/>
      <w:bookmarkStart w:id="200" w:name="_Toc452561572"/>
      <w:bookmarkStart w:id="201" w:name="_Toc474430185"/>
      <w:bookmarkEnd w:id="199"/>
      <w:bookmarkEnd w:id="200"/>
      <w:r w:rsidRPr="00313E82">
        <w:rPr>
          <w:rFonts w:eastAsia="Batang"/>
          <w:lang w:val="en-US"/>
        </w:rPr>
        <w:t>Areas of application:</w:t>
      </w:r>
      <w:bookmarkEnd w:id="201"/>
    </w:p>
    <w:p w:rsidR="001D7298" w:rsidRPr="00313E82" w:rsidRDefault="001D7298">
      <w:pPr>
        <w:rPr>
          <w:rFonts w:eastAsia="Batang"/>
          <w:lang w:val="en-US"/>
        </w:rPr>
      </w:pPr>
      <w:r w:rsidRPr="00313E82">
        <w:rPr>
          <w:rFonts w:eastAsia="Batang"/>
          <w:lang w:val="en-US"/>
        </w:rPr>
        <w:t>All the areas concerned with PSA approach adoption and benefits are of interest, that is:</w:t>
      </w:r>
    </w:p>
    <w:p w:rsidR="001D7298" w:rsidRPr="00313E82" w:rsidRDefault="001D7298">
      <w:pPr>
        <w:rPr>
          <w:rFonts w:eastAsia="Batang"/>
          <w:lang w:val="en-US"/>
        </w:rPr>
      </w:pPr>
      <w:r w:rsidRPr="00313E82">
        <w:rPr>
          <w:rFonts w:eastAsia="Batang"/>
          <w:lang w:val="en-US"/>
        </w:rPr>
        <w:t>PSA for licensing, submissions to the regulator, oversight, design alternatives, risk gap analysis, etc.</w:t>
      </w:r>
      <w:r w:rsidR="00932870">
        <w:rPr>
          <w:rFonts w:eastAsia="Batang"/>
          <w:lang w:val="en-US"/>
        </w:rPr>
        <w:t xml:space="preserve">, see also </w:t>
      </w:r>
      <w:r w:rsidR="009E768B">
        <w:rPr>
          <w:rFonts w:eastAsia="Batang"/>
          <w:lang w:val="en-US"/>
        </w:rPr>
        <w:fldChar w:fldCharType="begin"/>
      </w:r>
      <w:r w:rsidR="00932870">
        <w:rPr>
          <w:rFonts w:eastAsia="Batang"/>
          <w:lang w:val="en-US"/>
        </w:rPr>
        <w:instrText xml:space="preserve"> REF _Ref444076075 \r \h </w:instrText>
      </w:r>
      <w:r w:rsidR="009E768B">
        <w:rPr>
          <w:rFonts w:eastAsia="Batang"/>
          <w:lang w:val="en-US"/>
        </w:rPr>
      </w:r>
      <w:r w:rsidR="009E768B">
        <w:rPr>
          <w:rFonts w:eastAsia="Batang"/>
          <w:lang w:val="en-US"/>
        </w:rPr>
        <w:fldChar w:fldCharType="separate"/>
      </w:r>
      <w:r w:rsidR="00B772CA">
        <w:rPr>
          <w:rFonts w:eastAsia="Batang"/>
          <w:lang w:val="en-US"/>
        </w:rPr>
        <w:t>2.12.2</w:t>
      </w:r>
      <w:r w:rsidR="009E768B">
        <w:rPr>
          <w:rFonts w:eastAsia="Batang"/>
          <w:lang w:val="en-US"/>
        </w:rPr>
        <w:fldChar w:fldCharType="end"/>
      </w:r>
      <w:r w:rsidR="00932870">
        <w:rPr>
          <w:rFonts w:eastAsia="Batang"/>
          <w:lang w:val="en-US"/>
        </w:rPr>
        <w:t>.</w:t>
      </w:r>
    </w:p>
    <w:p w:rsidR="00AF1D43" w:rsidRPr="00313E82" w:rsidRDefault="00AF1D43" w:rsidP="00C94556">
      <w:pPr>
        <w:pStyle w:val="Titre3"/>
        <w:rPr>
          <w:rFonts w:eastAsia="Batang"/>
          <w:lang w:val="en-US"/>
        </w:rPr>
      </w:pPr>
      <w:bookmarkStart w:id="202" w:name="_Toc452561358"/>
      <w:bookmarkStart w:id="203" w:name="_Toc452561574"/>
      <w:bookmarkStart w:id="204" w:name="_Toc474430186"/>
      <w:bookmarkEnd w:id="202"/>
      <w:bookmarkEnd w:id="203"/>
      <w:r w:rsidRPr="00313E82">
        <w:rPr>
          <w:rFonts w:eastAsia="Batang"/>
          <w:lang w:val="en-US"/>
        </w:rPr>
        <w:t>Discussion</w:t>
      </w:r>
      <w:bookmarkEnd w:id="204"/>
    </w:p>
    <w:p w:rsidR="00F54E90" w:rsidRDefault="00F54E90">
      <w:pPr>
        <w:rPr>
          <w:rFonts w:eastAsia="Batang"/>
          <w:lang w:val="en-US"/>
        </w:rPr>
      </w:pPr>
      <w:r>
        <w:rPr>
          <w:rFonts w:eastAsia="Batang"/>
          <w:lang w:val="en-US"/>
        </w:rPr>
        <w:t xml:space="preserve">With respect to the validity, reliability, consistency and risk aggregation properties of this risk measure, we point out that the SFDF should be defined consistently with the FDF risk measure. Then, the SFDF metric is simply the subset of fuel damage states occurring specifically in the SFP. Therefore, the discussion provided in section </w:t>
      </w:r>
      <w:r w:rsidR="009E768B">
        <w:rPr>
          <w:rFonts w:eastAsia="Batang"/>
          <w:lang w:val="en-US"/>
        </w:rPr>
        <w:fldChar w:fldCharType="begin"/>
      </w:r>
      <w:r>
        <w:rPr>
          <w:rFonts w:eastAsia="Batang"/>
          <w:lang w:val="en-US"/>
        </w:rPr>
        <w:instrText xml:space="preserve"> REF _Ref444075825 \r \h </w:instrText>
      </w:r>
      <w:r w:rsidR="009E768B">
        <w:rPr>
          <w:rFonts w:eastAsia="Batang"/>
          <w:lang w:val="en-US"/>
        </w:rPr>
      </w:r>
      <w:r w:rsidR="009E768B">
        <w:rPr>
          <w:rFonts w:eastAsia="Batang"/>
          <w:lang w:val="en-US"/>
        </w:rPr>
        <w:fldChar w:fldCharType="separate"/>
      </w:r>
      <w:r w:rsidR="00B772CA">
        <w:rPr>
          <w:rFonts w:eastAsia="Batang"/>
          <w:lang w:val="en-US"/>
        </w:rPr>
        <w:t>2.12</w:t>
      </w:r>
      <w:r w:rsidR="009E768B">
        <w:rPr>
          <w:rFonts w:eastAsia="Batang"/>
          <w:lang w:val="en-US"/>
        </w:rPr>
        <w:fldChar w:fldCharType="end"/>
      </w:r>
      <w:r>
        <w:rPr>
          <w:rFonts w:eastAsia="Batang"/>
          <w:lang w:val="en-US"/>
        </w:rPr>
        <w:t xml:space="preserve"> applies. </w:t>
      </w:r>
    </w:p>
    <w:p w:rsidR="001D7298" w:rsidRPr="00313E82" w:rsidRDefault="00F54E90">
      <w:pPr>
        <w:rPr>
          <w:rFonts w:eastAsia="Batang"/>
          <w:lang w:val="en-US"/>
        </w:rPr>
      </w:pPr>
      <w:r>
        <w:rPr>
          <w:rFonts w:eastAsia="Batang"/>
          <w:lang w:val="en-US"/>
        </w:rPr>
        <w:t xml:space="preserve">We furthermore point out the following. </w:t>
      </w:r>
      <w:r w:rsidR="001D7298" w:rsidRPr="00313E82">
        <w:rPr>
          <w:rFonts w:eastAsia="Batang"/>
          <w:lang w:val="en-US"/>
        </w:rPr>
        <w:t xml:space="preserve">The location of the SFP (for example inside or outside the containment in the reactor building or in a separate storage facility) affects the risk assessment of the plant. </w:t>
      </w:r>
    </w:p>
    <w:p w:rsidR="001D7298" w:rsidRPr="00313E82" w:rsidRDefault="00F54E90">
      <w:pPr>
        <w:rPr>
          <w:rFonts w:eastAsia="Batang"/>
          <w:lang w:val="en-US"/>
        </w:rPr>
      </w:pPr>
      <w:r>
        <w:rPr>
          <w:rFonts w:eastAsia="Batang"/>
          <w:lang w:val="en-US"/>
        </w:rPr>
        <w:t>While the</w:t>
      </w:r>
      <w:r w:rsidR="001D7298" w:rsidRPr="00313E82">
        <w:rPr>
          <w:rFonts w:eastAsia="Batang"/>
          <w:lang w:val="en-US"/>
        </w:rPr>
        <w:t xml:space="preserve"> risk metric </w:t>
      </w:r>
      <w:r>
        <w:rPr>
          <w:rFonts w:eastAsia="Batang"/>
          <w:lang w:val="en-US"/>
        </w:rPr>
        <w:t>applies only to</w:t>
      </w:r>
      <w:r w:rsidR="001D7298" w:rsidRPr="00313E82">
        <w:rPr>
          <w:rFonts w:eastAsia="Batang"/>
          <w:lang w:val="en-US"/>
        </w:rPr>
        <w:t xml:space="preserve"> the SFP</w:t>
      </w:r>
      <w:r>
        <w:rPr>
          <w:rFonts w:eastAsia="Batang"/>
          <w:lang w:val="en-US"/>
        </w:rPr>
        <w:t>, the resulting PSA model needs to consider the interaction</w:t>
      </w:r>
      <w:r w:rsidR="001D7298" w:rsidRPr="00313E82">
        <w:rPr>
          <w:rFonts w:eastAsia="Batang"/>
          <w:lang w:val="en-US"/>
        </w:rPr>
        <w:t xml:space="preserve"> with the reactor</w:t>
      </w:r>
      <w:r>
        <w:rPr>
          <w:rFonts w:eastAsia="Batang"/>
          <w:lang w:val="en-US"/>
        </w:rPr>
        <w:t xml:space="preserve"> which</w:t>
      </w:r>
      <w:r w:rsidR="001D7298" w:rsidRPr="00313E82">
        <w:rPr>
          <w:rFonts w:eastAsia="Batang"/>
          <w:lang w:val="en-US"/>
        </w:rPr>
        <w:t xml:space="preserve"> cannot be neglected. For instance</w:t>
      </w:r>
      <w:r>
        <w:rPr>
          <w:rFonts w:eastAsia="Batang"/>
          <w:lang w:val="en-US"/>
        </w:rPr>
        <w:t>, the</w:t>
      </w:r>
      <w:r w:rsidR="001D7298" w:rsidRPr="00313E82">
        <w:rPr>
          <w:rFonts w:eastAsia="Batang"/>
          <w:lang w:val="en-US"/>
        </w:rPr>
        <w:t xml:space="preserve"> RHR is used to cool both reactor and SFP</w:t>
      </w:r>
      <w:r>
        <w:rPr>
          <w:rFonts w:eastAsia="Batang"/>
          <w:lang w:val="en-US"/>
        </w:rPr>
        <w:t xml:space="preserve"> in common reactor designs</w:t>
      </w:r>
      <w:r w:rsidR="001D7298" w:rsidRPr="00313E82">
        <w:rPr>
          <w:rFonts w:eastAsia="Batang"/>
          <w:lang w:val="en-US"/>
        </w:rPr>
        <w:t>,</w:t>
      </w:r>
      <w:r>
        <w:rPr>
          <w:rFonts w:eastAsia="Batang"/>
          <w:lang w:val="en-US"/>
        </w:rPr>
        <w:t xml:space="preserve"> and</w:t>
      </w:r>
      <w:r w:rsidR="001D7298" w:rsidRPr="00313E82">
        <w:rPr>
          <w:rFonts w:eastAsia="Batang"/>
          <w:lang w:val="en-US"/>
        </w:rPr>
        <w:t xml:space="preserve"> some initiating events, like loss of offsite power affect reactor and SFP simultaneously and reactor and SFP are interconnected in some operating states like during refueling. Thus the reactor and SFP combined PRA model is needed. </w:t>
      </w:r>
    </w:p>
    <w:p w:rsidR="001D7298" w:rsidRPr="00313E82" w:rsidRDefault="001D7298">
      <w:pPr>
        <w:rPr>
          <w:rFonts w:eastAsia="Batang"/>
          <w:lang w:val="en-US"/>
        </w:rPr>
      </w:pPr>
      <w:r w:rsidRPr="00313E82">
        <w:rPr>
          <w:rFonts w:eastAsia="Batang"/>
          <w:lang w:val="en-US"/>
        </w:rPr>
        <w:lastRenderedPageBreak/>
        <w:t xml:space="preserve">The interaction of severe accident progression in the containment and subsequent adverse impact on the SFP has to be considered as well (hydrogen explosion, availability of safety systems and containment condition): this is particular relevant as far as the SFP is located inside the containment. </w:t>
      </w:r>
    </w:p>
    <w:p w:rsidR="001D7298" w:rsidRPr="00313E82" w:rsidRDefault="001D7298">
      <w:pPr>
        <w:rPr>
          <w:rFonts w:eastAsia="Batang"/>
          <w:lang w:val="en-US"/>
        </w:rPr>
      </w:pPr>
      <w:r w:rsidRPr="00313E82">
        <w:rPr>
          <w:rFonts w:eastAsia="Batang"/>
          <w:lang w:val="en-US"/>
        </w:rPr>
        <w:t>Finally, the case of simultaneous severe accidents in the reactor and SFP could contribute significantly to the risk profile.</w:t>
      </w:r>
    </w:p>
    <w:p w:rsidR="00AF1D43" w:rsidRPr="00313E82" w:rsidRDefault="00AF1D43" w:rsidP="00C94556">
      <w:pPr>
        <w:pStyle w:val="Titre3"/>
        <w:rPr>
          <w:rFonts w:eastAsia="Batang"/>
          <w:lang w:val="en-US"/>
        </w:rPr>
      </w:pPr>
      <w:bookmarkStart w:id="205" w:name="_Toc452561360"/>
      <w:bookmarkStart w:id="206" w:name="_Toc452561576"/>
      <w:bookmarkStart w:id="207" w:name="_Toc474430187"/>
      <w:bookmarkEnd w:id="205"/>
      <w:bookmarkEnd w:id="206"/>
      <w:r w:rsidRPr="00313E82">
        <w:rPr>
          <w:rFonts w:eastAsia="Batang"/>
          <w:lang w:val="en-US"/>
        </w:rPr>
        <w:t>Limitation</w:t>
      </w:r>
      <w:bookmarkEnd w:id="207"/>
    </w:p>
    <w:p w:rsidR="001D7298" w:rsidRPr="00313E82" w:rsidRDefault="001D7298">
      <w:pPr>
        <w:rPr>
          <w:rFonts w:eastAsia="Batang"/>
          <w:lang w:val="en-US"/>
        </w:rPr>
      </w:pPr>
      <w:r w:rsidRPr="00313E82">
        <w:rPr>
          <w:rFonts w:eastAsia="Batang"/>
          <w:lang w:val="en-US"/>
        </w:rPr>
        <w:t xml:space="preserve">Refer to </w:t>
      </w:r>
      <w:r w:rsidR="009E768B">
        <w:rPr>
          <w:rFonts w:eastAsia="Batang"/>
          <w:lang w:val="en-US"/>
        </w:rPr>
        <w:fldChar w:fldCharType="begin"/>
      </w:r>
      <w:r w:rsidR="00932870">
        <w:rPr>
          <w:rFonts w:eastAsia="Batang"/>
          <w:lang w:val="en-US"/>
        </w:rPr>
        <w:instrText xml:space="preserve"> REF _Ref444076095 \r \h </w:instrText>
      </w:r>
      <w:r w:rsidR="009E768B">
        <w:rPr>
          <w:rFonts w:eastAsia="Batang"/>
          <w:lang w:val="en-US"/>
        </w:rPr>
      </w:r>
      <w:r w:rsidR="009E768B">
        <w:rPr>
          <w:rFonts w:eastAsia="Batang"/>
          <w:lang w:val="en-US"/>
        </w:rPr>
        <w:fldChar w:fldCharType="separate"/>
      </w:r>
      <w:r w:rsidR="00B772CA">
        <w:rPr>
          <w:rFonts w:eastAsia="Batang"/>
          <w:lang w:val="en-US"/>
        </w:rPr>
        <w:t>2.12.4</w:t>
      </w:r>
      <w:r w:rsidR="009E768B">
        <w:rPr>
          <w:rFonts w:eastAsia="Batang"/>
          <w:lang w:val="en-US"/>
        </w:rPr>
        <w:fldChar w:fldCharType="end"/>
      </w:r>
    </w:p>
    <w:p w:rsidR="00AF1D43" w:rsidRPr="00313E82" w:rsidRDefault="0062499A">
      <w:pPr>
        <w:rPr>
          <w:rFonts w:eastAsia="Batang"/>
          <w:lang w:val="en-US"/>
        </w:rPr>
      </w:pPr>
      <w:r>
        <w:rPr>
          <w:rFonts w:eastAsia="Batang"/>
          <w:lang w:val="en-US"/>
        </w:rPr>
        <w:t xml:space="preserve">Moreover, the SFPDF risk measure applies only </w:t>
      </w:r>
      <w:r w:rsidR="00962A59">
        <w:rPr>
          <w:rFonts w:eastAsia="Batang"/>
          <w:lang w:val="en-US"/>
        </w:rPr>
        <w:t xml:space="preserve">to </w:t>
      </w:r>
      <w:r>
        <w:rPr>
          <w:rFonts w:eastAsia="Batang"/>
          <w:lang w:val="en-US"/>
        </w:rPr>
        <w:t xml:space="preserve">the spent fuel located in a SFP. It should not be extended to include spent fuel in dry storage, e.g. in casks stored at an interim storage facility on the site. </w:t>
      </w:r>
    </w:p>
    <w:p w:rsidR="00AF1D43" w:rsidRPr="00313E82" w:rsidRDefault="00AF1D43" w:rsidP="00C94556">
      <w:pPr>
        <w:pStyle w:val="Titre3"/>
        <w:rPr>
          <w:rFonts w:eastAsia="Batang"/>
          <w:lang w:val="en-US"/>
        </w:rPr>
      </w:pPr>
      <w:bookmarkStart w:id="208" w:name="_Toc474430188"/>
      <w:r w:rsidRPr="00313E82">
        <w:rPr>
          <w:rFonts w:eastAsia="Batang"/>
          <w:lang w:val="en-US"/>
        </w:rPr>
        <w:t xml:space="preserve">ASAMPSA_E recommendation on </w:t>
      </w:r>
      <w:r w:rsidR="00AF3134" w:rsidRPr="00313E82">
        <w:rPr>
          <w:rFonts w:eastAsia="Batang"/>
          <w:lang w:val="en-US"/>
        </w:rPr>
        <w:t>SF</w:t>
      </w:r>
      <w:r w:rsidR="00AF3134">
        <w:rPr>
          <w:rFonts w:eastAsia="Batang"/>
          <w:lang w:val="en-US"/>
        </w:rPr>
        <w:t>P</w:t>
      </w:r>
      <w:r w:rsidR="00AF3134" w:rsidRPr="00313E82">
        <w:rPr>
          <w:rFonts w:eastAsia="Batang"/>
          <w:lang w:val="en-US"/>
        </w:rPr>
        <w:t>DF</w:t>
      </w:r>
      <w:bookmarkEnd w:id="208"/>
    </w:p>
    <w:p w:rsidR="0062499A" w:rsidRDefault="00801C6B">
      <w:pPr>
        <w:rPr>
          <w:rFonts w:eastAsia="Batang"/>
          <w:lang w:val="en-US"/>
        </w:rPr>
      </w:pPr>
      <w:r>
        <w:rPr>
          <w:rFonts w:eastAsia="Batang"/>
          <w:lang w:val="en-US"/>
        </w:rPr>
        <w:t>We recommend that the SFP</w:t>
      </w:r>
      <w:r w:rsidR="0062499A">
        <w:rPr>
          <w:rFonts w:eastAsia="Batang"/>
          <w:lang w:val="en-US"/>
        </w:rPr>
        <w:t xml:space="preserve">DF risk measure is defined as a subset of the FDF risk measure, applicable to spent fuel located in a spent fuel pool on the site. Conversely, we recommend that the CDF risk measure is defined as the subset of the FDF risk measure applicable to fuel located in the reactor core. This implies that </w:t>
      </w:r>
      <m:oMath>
        <m:d>
          <m:dPr>
            <m:begChr m:val="{"/>
            <m:endChr m:val="}"/>
            <m:ctrlPr>
              <w:rPr>
                <w:rFonts w:ascii="Cambria Math" w:eastAsia="Batang" w:hAnsi="Cambria Math"/>
                <w:i/>
                <w:lang w:val="en-US"/>
              </w:rPr>
            </m:ctrlPr>
          </m:dPr>
          <m:e>
            <m:r>
              <w:rPr>
                <w:rFonts w:ascii="Cambria Math" w:eastAsia="Batang" w:hAnsi="Cambria Math"/>
                <w:lang w:val="en-US"/>
              </w:rPr>
              <m:t>CDF</m:t>
            </m:r>
          </m:e>
        </m:d>
        <m:r>
          <w:rPr>
            <w:rFonts w:ascii="Cambria Math" w:eastAsia="Batang" w:hAnsi="Cambria Math"/>
            <w:lang w:val="en-US"/>
          </w:rPr>
          <m:t>∪</m:t>
        </m:r>
        <m:d>
          <m:dPr>
            <m:begChr m:val="{"/>
            <m:endChr m:val="}"/>
            <m:ctrlPr>
              <w:rPr>
                <w:rFonts w:ascii="Cambria Math" w:eastAsia="Batang" w:hAnsi="Cambria Math"/>
                <w:i/>
                <w:lang w:val="en-US"/>
              </w:rPr>
            </m:ctrlPr>
          </m:dPr>
          <m:e>
            <m:r>
              <w:rPr>
                <w:rFonts w:ascii="Cambria Math" w:eastAsia="Batang" w:hAnsi="Cambria Math"/>
                <w:lang w:val="en-US"/>
              </w:rPr>
              <m:t>SFPDF</m:t>
            </m:r>
          </m:e>
        </m:d>
        <m:r>
          <w:rPr>
            <w:rFonts w:ascii="Cambria Math" w:eastAsia="Batang" w:hAnsi="Cambria Math"/>
            <w:lang w:val="en-US"/>
          </w:rPr>
          <m:t>⊆</m:t>
        </m:r>
        <m:d>
          <m:dPr>
            <m:begChr m:val="{"/>
            <m:endChr m:val="}"/>
            <m:ctrlPr>
              <w:rPr>
                <w:rFonts w:ascii="Cambria Math" w:eastAsia="Batang" w:hAnsi="Cambria Math"/>
                <w:i/>
                <w:lang w:val="en-US"/>
              </w:rPr>
            </m:ctrlPr>
          </m:dPr>
          <m:e>
            <m:r>
              <w:rPr>
                <w:rFonts w:ascii="Cambria Math" w:eastAsia="Batang" w:hAnsi="Cambria Math"/>
                <w:lang w:val="en-US"/>
              </w:rPr>
              <m:t>FDF</m:t>
            </m:r>
          </m:e>
        </m:d>
      </m:oMath>
      <w:r w:rsidR="0062499A">
        <w:rPr>
          <w:rFonts w:eastAsia="Batang"/>
          <w:lang w:val="en-US"/>
        </w:rPr>
        <w:t>.</w:t>
      </w:r>
    </w:p>
    <w:p w:rsidR="001D7298" w:rsidRPr="00313E82" w:rsidRDefault="001D7298">
      <w:pPr>
        <w:rPr>
          <w:rFonts w:eastAsia="Batang"/>
          <w:lang w:val="en-US"/>
        </w:rPr>
      </w:pPr>
      <w:r w:rsidRPr="00313E82">
        <w:rPr>
          <w:rFonts w:eastAsia="Batang"/>
          <w:lang w:val="en-US"/>
        </w:rPr>
        <w:t xml:space="preserve">For the quantification of the integrated </w:t>
      </w:r>
      <w:r w:rsidR="0062499A">
        <w:rPr>
          <w:rFonts w:eastAsia="Batang"/>
          <w:lang w:val="en-US"/>
        </w:rPr>
        <w:t>PSA</w:t>
      </w:r>
      <w:r w:rsidRPr="00313E82">
        <w:rPr>
          <w:rFonts w:eastAsia="Batang"/>
          <w:lang w:val="en-US"/>
        </w:rPr>
        <w:t xml:space="preserve"> model</w:t>
      </w:r>
      <w:r w:rsidR="0062499A">
        <w:rPr>
          <w:rFonts w:eastAsia="Batang"/>
          <w:lang w:val="en-US"/>
        </w:rPr>
        <w:t xml:space="preserve"> considering both the reactor core and the SFP</w:t>
      </w:r>
      <w:r w:rsidRPr="00313E82">
        <w:rPr>
          <w:rFonts w:eastAsia="Batang"/>
          <w:lang w:val="en-US"/>
        </w:rPr>
        <w:t>, the types of results of interest include the following:</w:t>
      </w:r>
    </w:p>
    <w:p w:rsidR="00253C41" w:rsidRPr="00313E82" w:rsidRDefault="00253C41">
      <w:pPr>
        <w:rPr>
          <w:rFonts w:eastAsia="Batang"/>
          <w:lang w:val="en-US"/>
        </w:rPr>
      </w:pPr>
      <w:r w:rsidRPr="00313E82">
        <w:rPr>
          <w:rFonts w:eastAsia="Batang"/>
          <w:lang w:val="en-US"/>
        </w:rPr>
        <w:t>−</w:t>
      </w:r>
      <w:r w:rsidRPr="00313E82">
        <w:rPr>
          <w:rFonts w:eastAsia="Batang"/>
          <w:lang w:val="en-US"/>
        </w:rPr>
        <w:tab/>
        <w:t>Spent Fuel Damage Frequency (SFDF) in the spent fuel</w:t>
      </w:r>
      <w:r w:rsidR="009E16FF">
        <w:rPr>
          <w:rFonts w:eastAsia="Batang"/>
          <w:lang w:val="en-US"/>
        </w:rPr>
        <w:t>.</w:t>
      </w:r>
    </w:p>
    <w:p w:rsidR="001D7298" w:rsidRPr="00313E82" w:rsidRDefault="001D7298">
      <w:pPr>
        <w:rPr>
          <w:rFonts w:eastAsia="Batang"/>
          <w:lang w:val="en-US"/>
        </w:rPr>
      </w:pPr>
      <w:r w:rsidRPr="00313E82">
        <w:rPr>
          <w:rFonts w:eastAsia="Batang"/>
          <w:lang w:val="en-US"/>
        </w:rPr>
        <w:t>−</w:t>
      </w:r>
      <w:r w:rsidRPr="00313E82">
        <w:rPr>
          <w:rFonts w:eastAsia="Batang"/>
          <w:lang w:val="en-US"/>
        </w:rPr>
        <w:tab/>
        <w:t>Core Damage Frequency (CDF) in the reactor</w:t>
      </w:r>
      <w:r w:rsidR="009E16FF">
        <w:rPr>
          <w:rFonts w:eastAsia="Batang"/>
          <w:lang w:val="en-US"/>
        </w:rPr>
        <w:t>.</w:t>
      </w:r>
    </w:p>
    <w:p w:rsidR="001D7298" w:rsidRPr="00313E82" w:rsidRDefault="001D7298">
      <w:pPr>
        <w:rPr>
          <w:rFonts w:eastAsia="Batang"/>
          <w:lang w:val="en-US"/>
        </w:rPr>
      </w:pPr>
      <w:r w:rsidRPr="00313E82">
        <w:rPr>
          <w:rFonts w:eastAsia="Batang"/>
          <w:lang w:val="en-US"/>
        </w:rPr>
        <w:t>−</w:t>
      </w:r>
      <w:r w:rsidRPr="00313E82">
        <w:rPr>
          <w:rFonts w:eastAsia="Batang"/>
          <w:lang w:val="en-US"/>
        </w:rPr>
        <w:tab/>
      </w:r>
      <w:r w:rsidR="0062499A">
        <w:rPr>
          <w:rFonts w:eastAsia="Batang"/>
          <w:lang w:val="en-US"/>
        </w:rPr>
        <w:t>Damage states both in the SFP and in the core</w:t>
      </w:r>
      <w:r w:rsidR="00D53FA7">
        <w:rPr>
          <w:rFonts w:eastAsia="Batang"/>
          <w:lang w:val="en-US"/>
        </w:rPr>
        <w:t>.</w:t>
      </w:r>
    </w:p>
    <w:p w:rsidR="001D7298" w:rsidRPr="00313E82" w:rsidRDefault="0062499A">
      <w:pPr>
        <w:rPr>
          <w:rFonts w:eastAsia="Batang"/>
          <w:lang w:val="en-US"/>
        </w:rPr>
      </w:pPr>
      <w:r>
        <w:rPr>
          <w:rFonts w:eastAsia="Batang"/>
          <w:lang w:val="en-US"/>
        </w:rPr>
        <w:t>We emphasize that such an integrated PSA model needs to systematically consider i</w:t>
      </w:r>
      <w:r w:rsidR="001D7298" w:rsidRPr="00313E82">
        <w:rPr>
          <w:rFonts w:eastAsia="Batang"/>
          <w:lang w:val="en-US"/>
        </w:rPr>
        <w:t xml:space="preserve">nteractions that involve simultaneous or consequential accident progression in the reactor and </w:t>
      </w:r>
      <w:r>
        <w:rPr>
          <w:rFonts w:eastAsia="Batang"/>
          <w:lang w:val="en-US"/>
        </w:rPr>
        <w:t xml:space="preserve">the </w:t>
      </w:r>
      <w:r w:rsidR="001D7298" w:rsidRPr="00313E82">
        <w:rPr>
          <w:rFonts w:eastAsia="Batang"/>
          <w:lang w:val="en-US"/>
        </w:rPr>
        <w:t>SFP</w:t>
      </w:r>
      <w:r>
        <w:rPr>
          <w:rFonts w:eastAsia="Batang"/>
          <w:lang w:val="en-US"/>
        </w:rPr>
        <w:t>.</w:t>
      </w:r>
    </w:p>
    <w:p w:rsidR="003324E4" w:rsidRPr="00C94556" w:rsidRDefault="003324E4" w:rsidP="00C94556">
      <w:pPr>
        <w:pStyle w:val="Titre2"/>
        <w:rPr>
          <w:rFonts w:eastAsia="Batang"/>
          <w:lang w:val="en-US"/>
        </w:rPr>
      </w:pPr>
      <w:bookmarkStart w:id="209" w:name="_Toc452561363"/>
      <w:bookmarkStart w:id="210" w:name="_Toc452561579"/>
      <w:bookmarkStart w:id="211" w:name="_Ref319310307"/>
      <w:bookmarkStart w:id="212" w:name="_Toc474430189"/>
      <w:bookmarkEnd w:id="209"/>
      <w:bookmarkEnd w:id="210"/>
      <w:r w:rsidRPr="00C94556">
        <w:rPr>
          <w:rFonts w:eastAsia="Batang"/>
          <w:b w:val="0"/>
          <w:bCs w:val="0"/>
          <w:i/>
          <w:iCs/>
          <w:lang w:val="en-US"/>
        </w:rPr>
        <w:t>Radionuclide Mobilization Frequency</w:t>
      </w:r>
      <w:r w:rsidR="005A5199" w:rsidRPr="00C94556">
        <w:rPr>
          <w:rFonts w:eastAsia="Batang"/>
          <w:b w:val="0"/>
          <w:bCs w:val="0"/>
          <w:i/>
          <w:iCs/>
          <w:lang w:val="en-US"/>
        </w:rPr>
        <w:t xml:space="preserve"> (RMF)</w:t>
      </w:r>
      <w:bookmarkEnd w:id="211"/>
      <w:bookmarkEnd w:id="212"/>
    </w:p>
    <w:p w:rsidR="003324E4" w:rsidRPr="00313E82" w:rsidRDefault="003324E4">
      <w:pPr>
        <w:pStyle w:val="Corpsdetexte"/>
        <w:rPr>
          <w:rFonts w:eastAsia="Batang"/>
        </w:rPr>
      </w:pPr>
      <w:r w:rsidRPr="00313E82">
        <w:rPr>
          <w:rFonts w:eastAsia="Batang"/>
        </w:rPr>
        <w:t xml:space="preserve">During the ASAMPSA_E meetings, there was a discussion on PSA Level 1 risk metrics. It was commented that the main risk measures for PSA Level 1 like e.g. core damage frequency or fuel damage frequency are not well suited for describing several scenarios which might lead to a significant release of radionuclides into the plant as a starting point for a PSA Level 2. The following “radionuclide mobilization” metric addresses these issues. As with CDF, this risk measure can be defined at a specific point in time or as time-averaged. The respective remarks in section </w:t>
      </w:r>
      <w:r w:rsidR="009E768B" w:rsidRPr="004D7C87">
        <w:rPr>
          <w:rFonts w:eastAsia="Batang"/>
        </w:rPr>
        <w:fldChar w:fldCharType="begin"/>
      </w:r>
      <w:r w:rsidR="0065539F" w:rsidRPr="00313E82">
        <w:rPr>
          <w:rFonts w:eastAsia="Batang"/>
        </w:rPr>
        <w:instrText xml:space="preserve"> REF _Ref418066270 \r \h </w:instrText>
      </w:r>
      <w:r w:rsidR="009E768B" w:rsidRPr="004D7C87">
        <w:rPr>
          <w:rFonts w:eastAsia="Batang"/>
        </w:rPr>
      </w:r>
      <w:r w:rsidR="009E768B" w:rsidRPr="004D7C87">
        <w:rPr>
          <w:rFonts w:eastAsia="Batang"/>
        </w:rPr>
        <w:fldChar w:fldCharType="separate"/>
      </w:r>
      <w:r w:rsidR="00B772CA">
        <w:rPr>
          <w:rFonts w:eastAsia="Batang"/>
        </w:rPr>
        <w:t>2.1</w:t>
      </w:r>
      <w:r w:rsidR="009E768B" w:rsidRPr="004D7C87">
        <w:rPr>
          <w:rFonts w:eastAsia="Batang"/>
        </w:rPr>
        <w:fldChar w:fldCharType="end"/>
      </w:r>
      <w:r w:rsidR="0065539F" w:rsidRPr="00313E82">
        <w:rPr>
          <w:rFonts w:eastAsia="Batang"/>
        </w:rPr>
        <w:t xml:space="preserve"> </w:t>
      </w:r>
      <w:r w:rsidRPr="00313E82">
        <w:rPr>
          <w:rFonts w:eastAsia="Batang"/>
        </w:rPr>
        <w:t xml:space="preserve">and </w:t>
      </w:r>
      <w:r w:rsidR="009E768B" w:rsidRPr="004D7C87">
        <w:rPr>
          <w:rFonts w:eastAsia="Batang"/>
        </w:rPr>
        <w:fldChar w:fldCharType="begin"/>
      </w:r>
      <w:r w:rsidR="0065539F" w:rsidRPr="00313E82">
        <w:rPr>
          <w:rFonts w:eastAsia="Batang"/>
        </w:rPr>
        <w:instrText xml:space="preserve"> REF _Ref414021020 \r \h </w:instrText>
      </w:r>
      <w:r w:rsidR="009E768B" w:rsidRPr="004D7C87">
        <w:rPr>
          <w:rFonts w:eastAsia="Batang"/>
        </w:rPr>
      </w:r>
      <w:r w:rsidR="009E768B" w:rsidRPr="004D7C87">
        <w:rPr>
          <w:rFonts w:eastAsia="Batang"/>
        </w:rPr>
        <w:fldChar w:fldCharType="separate"/>
      </w:r>
      <w:r w:rsidR="00B772CA">
        <w:rPr>
          <w:rFonts w:eastAsia="Batang"/>
        </w:rPr>
        <w:t>2.2</w:t>
      </w:r>
      <w:r w:rsidR="009E768B" w:rsidRPr="004D7C87">
        <w:rPr>
          <w:rFonts w:eastAsia="Batang"/>
        </w:rPr>
        <w:fldChar w:fldCharType="end"/>
      </w:r>
      <w:r w:rsidRPr="00313E82">
        <w:rPr>
          <w:rFonts w:eastAsia="Batang"/>
        </w:rPr>
        <w:t xml:space="preserve"> apply.</w:t>
      </w:r>
    </w:p>
    <w:p w:rsidR="003324E4" w:rsidRPr="002A71D3" w:rsidRDefault="003324E4" w:rsidP="00C94556">
      <w:pPr>
        <w:pStyle w:val="Titre3"/>
        <w:rPr>
          <w:rFonts w:eastAsia="Batang"/>
          <w:lang w:val="en-US"/>
        </w:rPr>
      </w:pPr>
      <w:bookmarkStart w:id="213" w:name="_Toc474430190"/>
      <w:r w:rsidRPr="002A71D3">
        <w:rPr>
          <w:rFonts w:eastAsia="Batang"/>
          <w:lang w:val="en-US"/>
        </w:rPr>
        <w:t>Definition of Risk Measure</w:t>
      </w:r>
      <w:bookmarkEnd w:id="213"/>
    </w:p>
    <w:p w:rsidR="003324E4" w:rsidRPr="00313E82" w:rsidRDefault="003324E4">
      <w:pPr>
        <w:rPr>
          <w:rFonts w:eastAsia="Batang"/>
          <w:u w:val="single"/>
          <w:lang w:val="en-US"/>
        </w:rPr>
      </w:pPr>
      <w:r w:rsidRPr="00313E82">
        <w:rPr>
          <w:rFonts w:eastAsia="Batang"/>
          <w:u w:val="single"/>
          <w:lang w:val="en-US"/>
        </w:rPr>
        <w:t>Risk metric</w:t>
      </w:r>
    </w:p>
    <w:p w:rsidR="003324E4" w:rsidRPr="00313E82" w:rsidRDefault="003324E4">
      <w:pPr>
        <w:pStyle w:val="Corpsdetexte"/>
        <w:ind w:left="709"/>
        <w:rPr>
          <w:rFonts w:eastAsia="Batang"/>
        </w:rPr>
      </w:pPr>
      <w:r w:rsidRPr="00313E82">
        <w:rPr>
          <w:rFonts w:eastAsia="Batang"/>
        </w:rPr>
        <w:t xml:space="preserve">The risk metric is defined as a loss of the design basis confinement for a source of radionuclides, leading to an unintended mobilization of a significant amount of radionuclides with the potential for internal or </w:t>
      </w:r>
      <w:r w:rsidRPr="00313E82">
        <w:rPr>
          <w:rFonts w:eastAsia="Batang"/>
        </w:rPr>
        <w:lastRenderedPageBreak/>
        <w:t xml:space="preserve">external release, e.g. more than 1 </w:t>
      </w:r>
      <w:r w:rsidR="00F81897">
        <w:rPr>
          <w:rFonts w:eastAsia="Batang"/>
        </w:rPr>
        <w:t>T</w:t>
      </w:r>
      <w:r w:rsidRPr="00313E82">
        <w:rPr>
          <w:rFonts w:eastAsia="Batang"/>
        </w:rPr>
        <w:t>Bq I-131 or equivalent</w:t>
      </w:r>
      <w:r w:rsidR="00D2559A" w:rsidRPr="00313E82">
        <w:rPr>
          <w:rStyle w:val="Appelnotedebasdep"/>
          <w:rFonts w:eastAsia="Batang"/>
        </w:rPr>
        <w:footnoteReference w:id="12"/>
      </w:r>
      <w:r w:rsidRPr="00313E82">
        <w:rPr>
          <w:rFonts w:eastAsia="Batang"/>
        </w:rPr>
        <w:t>.</w:t>
      </w:r>
      <w:r w:rsidR="00E91C34">
        <w:rPr>
          <w:rFonts w:eastAsia="Batang"/>
        </w:rPr>
        <w:t xml:space="preserve"> The threshold value and it</w:t>
      </w:r>
      <w:r w:rsidR="001478AB">
        <w:rPr>
          <w:rFonts w:eastAsia="Batang"/>
        </w:rPr>
        <w:t>s</w:t>
      </w:r>
      <w:r w:rsidR="00E91C34">
        <w:rPr>
          <w:rFonts w:eastAsia="Batang"/>
        </w:rPr>
        <w:t xml:space="preserve"> reference radionuclide (or radionuclides) has to be adjusted to the facility under consideration and the objectives of the study.</w:t>
      </w:r>
      <w:r w:rsidR="00F81897">
        <w:rPr>
          <w:rFonts w:eastAsia="Batang"/>
        </w:rPr>
        <w:t xml:space="preserve"> In setting such a threshold, typical radionuclide inventories of NPP should be taken into account. For a 2.4 GW</w:t>
      </w:r>
      <w:r w:rsidR="00F81897" w:rsidRPr="00C94556">
        <w:rPr>
          <w:rFonts w:eastAsia="Batang"/>
          <w:vertAlign w:val="subscript"/>
        </w:rPr>
        <w:t>th</w:t>
      </w:r>
      <w:r w:rsidR="00F81897">
        <w:rPr>
          <w:rFonts w:eastAsia="Batang"/>
        </w:rPr>
        <w:t xml:space="preserve"> BWR core, the radionuclide inventory of I-131 is upwards of 1 EBq (=1,000,000 TBq) and for Cs-137 upwards of 100 PBq</w:t>
      </w:r>
      <w:r w:rsidR="00190DA8">
        <w:rPr>
          <w:rFonts w:eastAsia="Batang"/>
        </w:rPr>
        <w:t xml:space="preserve"> (=100,000 TBq)</w:t>
      </w:r>
      <w:r w:rsidR="00F81897">
        <w:rPr>
          <w:rFonts w:eastAsia="Batang"/>
        </w:rPr>
        <w:t xml:space="preserve">, </w:t>
      </w:r>
      <w:r w:rsidR="00EE7B22">
        <w:rPr>
          <w:rFonts w:eastAsia="Batang"/>
        </w:rPr>
        <w:t>see</w:t>
      </w:r>
      <w:r w:rsidR="004F0ED2">
        <w:rPr>
          <w:rFonts w:eastAsia="Batang"/>
        </w:rPr>
        <w:t xml:space="preserve"> e.g. </w:t>
      </w:r>
      <w:r w:rsidR="009E768B">
        <w:rPr>
          <w:rFonts w:eastAsia="Batang"/>
        </w:rPr>
        <w:fldChar w:fldCharType="begin"/>
      </w:r>
      <w:r w:rsidR="004F0ED2">
        <w:rPr>
          <w:rFonts w:eastAsia="Batang"/>
        </w:rPr>
        <w:instrText xml:space="preserve"> REF _Ref444589991 \r \h </w:instrText>
      </w:r>
      <w:r w:rsidR="009E768B">
        <w:rPr>
          <w:rFonts w:eastAsia="Batang"/>
        </w:rPr>
      </w:r>
      <w:r w:rsidR="009E768B">
        <w:rPr>
          <w:rFonts w:eastAsia="Batang"/>
        </w:rPr>
        <w:fldChar w:fldCharType="separate"/>
      </w:r>
      <w:r w:rsidR="00B772CA">
        <w:rPr>
          <w:rFonts w:eastAsia="Batang"/>
        </w:rPr>
        <w:t>[109]</w:t>
      </w:r>
      <w:r w:rsidR="009E768B">
        <w:rPr>
          <w:rFonts w:eastAsia="Batang"/>
        </w:rPr>
        <w:fldChar w:fldCharType="end"/>
      </w:r>
      <w:r w:rsidR="004F0ED2">
        <w:rPr>
          <w:rFonts w:eastAsia="Batang"/>
        </w:rPr>
        <w:t xml:space="preserve">. The proposed threshold is therefore already reached if the inventory of one fuel rod is mobilized to a significant degree. </w:t>
      </w:r>
      <w:r w:rsidRPr="00313E82">
        <w:rPr>
          <w:rFonts w:eastAsia="Batang"/>
        </w:rPr>
        <w:t>For the mobilization of radionuclides it shall be assumed that all radionuclides affected by the loss of the barrier/confinement are mobilized unless they are clearly immobile</w:t>
      </w:r>
      <w:r w:rsidR="004C002C" w:rsidRPr="00313E82">
        <w:rPr>
          <w:rStyle w:val="Appelnotedebasdep"/>
          <w:rFonts w:eastAsia="Batang"/>
        </w:rPr>
        <w:footnoteReference w:id="13"/>
      </w:r>
      <w:r w:rsidRPr="00313E82">
        <w:rPr>
          <w:rFonts w:eastAsia="Batang"/>
        </w:rPr>
        <w:t>.</w:t>
      </w:r>
      <w:r w:rsidR="007B21A2">
        <w:rPr>
          <w:rFonts w:eastAsia="Batang"/>
        </w:rPr>
        <w:t xml:space="preserve"> </w:t>
      </w:r>
      <w:r w:rsidRPr="00313E82">
        <w:rPr>
          <w:rFonts w:eastAsia="Batang"/>
        </w:rPr>
        <w:t>Since this risk metric can also be used to examine short-term consequences e.g. to on-site personnel, it should be defined with I-131 as leading isotope. The loss of design basis confinement should be understood in terms of a fault or malfunction that allows radionuclides in significant amounts to get mobilized and be released from their designed location. This applies to significant damage to fuel rod cladding due to excessive cladding temperature and to cladding failures due to mechanical impact (cf. fuel damage frequency) but also to other potentially relevant scenarios like leakages from radioactive waste processing or storage systems, damages to waste storage casks, and other significant sources of radioactivity on a site.</w:t>
      </w:r>
    </w:p>
    <w:p w:rsidR="003324E4" w:rsidRPr="00313E82" w:rsidRDefault="003324E4">
      <w:pPr>
        <w:rPr>
          <w:rFonts w:eastAsia="Batang"/>
          <w:lang w:val="en-US"/>
        </w:rPr>
      </w:pPr>
      <w:r w:rsidRPr="00313E82">
        <w:rPr>
          <w:rFonts w:eastAsia="Batang"/>
          <w:u w:val="single"/>
          <w:lang w:val="en-US"/>
        </w:rPr>
        <w:t>Risk measure</w:t>
      </w:r>
    </w:p>
    <w:p w:rsidR="003324E4" w:rsidRPr="00313E82" w:rsidRDefault="003324E4">
      <w:pPr>
        <w:pStyle w:val="Corpsdetexte"/>
        <w:ind w:left="709"/>
        <w:rPr>
          <w:rFonts w:eastAsia="Batang"/>
        </w:rPr>
      </w:pPr>
      <w:r w:rsidRPr="00313E82">
        <w:rPr>
          <w:rFonts w:eastAsia="Batang"/>
        </w:rPr>
        <w:t xml:space="preserve">The quantification of the radionuclide mobilization frequency (RMF) is to be done by direct frequency (or probability) of the sequence in the risk model, i.e. it assigns </w:t>
      </w:r>
      <m:oMath>
        <m:r>
          <w:rPr>
            <w:rFonts w:ascii="Cambria Math" w:hAnsi="Cambria Math"/>
          </w:rPr>
          <m:t>φ(</m:t>
        </m:r>
        <m:sSub>
          <m:sSubPr>
            <m:ctrlPr>
              <w:rPr>
                <w:rFonts w:ascii="Cambria Math" w:hAnsi="Cambria Math"/>
                <w:i/>
              </w:rPr>
            </m:ctrlPr>
          </m:sSubPr>
          <m:e>
            <m:r>
              <w:rPr>
                <w:rFonts w:ascii="Cambria Math" w:hAnsi="Cambria Math"/>
              </w:rPr>
              <m:t>l</m:t>
            </m:r>
          </m:e>
          <m:sub>
            <m:r>
              <w:rPr>
                <w:rFonts w:ascii="Cambria Math" w:hAnsi="Cambria Math"/>
              </w:rPr>
              <m:t>ij</m:t>
            </m:r>
          </m:sub>
        </m:sSub>
        <m:r>
          <w:rPr>
            <w:rFonts w:ascii="Cambria Math" w:hAnsi="Cambria Math"/>
          </w:rPr>
          <m:t>)</m:t>
        </m:r>
      </m:oMath>
      <w:r w:rsidR="004C002C" w:rsidRPr="00313E82">
        <w:rPr>
          <w:rFonts w:eastAsia="Batang"/>
        </w:rPr>
        <w:t xml:space="preserve"> </w:t>
      </w:r>
      <w:r w:rsidR="005A5199" w:rsidRPr="00313E82">
        <w:rPr>
          <w:rFonts w:eastAsia="Batang"/>
        </w:rPr>
        <w:t xml:space="preserve">to the sequence </w:t>
      </w:r>
      <m:oMath>
        <m:sSub>
          <m:sSubPr>
            <m:ctrlPr>
              <w:rPr>
                <w:rFonts w:ascii="Cambria Math" w:hAnsi="Cambria Math"/>
                <w:i/>
              </w:rPr>
            </m:ctrlPr>
          </m:sSubPr>
          <m:e>
            <m:r>
              <w:rPr>
                <w:rFonts w:ascii="Cambria Math" w:hAnsi="Cambria Math"/>
              </w:rPr>
              <m:t>s</m:t>
            </m:r>
          </m:e>
          <m:sub>
            <m:r>
              <w:rPr>
                <w:rFonts w:ascii="Cambria Math" w:hAnsi="Cambria Math"/>
              </w:rPr>
              <m:t>i</m:t>
            </m:r>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φ(</m:t>
                </m:r>
                <m:sSub>
                  <m:sSubPr>
                    <m:ctrlPr>
                      <w:rPr>
                        <w:rFonts w:ascii="Cambria Math" w:hAnsi="Cambria Math"/>
                        <w:i/>
                      </w:rPr>
                    </m:ctrlPr>
                  </m:sSubPr>
                  <m:e>
                    <m:r>
                      <w:rPr>
                        <w:rFonts w:ascii="Cambria Math" w:hAnsi="Cambria Math"/>
                      </w:rPr>
                      <m:t>l</m:t>
                    </m:r>
                  </m:e>
                  <m:sub>
                    <m:r>
                      <w:rPr>
                        <w:rFonts w:ascii="Cambria Math" w:hAnsi="Cambria Math"/>
                      </w:rPr>
                      <m:t>ij</m:t>
                    </m:r>
                  </m:sub>
                </m:sSub>
                <m:r>
                  <w:rPr>
                    <w:rFonts w:ascii="Cambria Math" w:hAnsi="Cambria Math"/>
                  </w:rPr>
                  <m:t>)</m:t>
                </m:r>
              </m:e>
            </m:groupChr>
          </m:e>
        </m:box>
        <m:sSub>
          <m:sSubPr>
            <m:ctrlPr>
              <w:rPr>
                <w:rFonts w:ascii="Cambria Math" w:hAnsi="Cambria Math"/>
                <w:i/>
              </w:rPr>
            </m:ctrlPr>
          </m:sSubPr>
          <m:e>
            <m:r>
              <w:rPr>
                <w:rFonts w:ascii="Cambria Math" w:hAnsi="Cambria Math"/>
              </w:rPr>
              <m:t>c</m:t>
            </m:r>
          </m:e>
          <m:sub>
            <m:r>
              <w:rPr>
                <w:rFonts w:ascii="Cambria Math" w:hAnsi="Cambria Math"/>
              </w:rPr>
              <m:t>j</m:t>
            </m:r>
          </m:sub>
        </m:sSub>
      </m:oMath>
      <w:r w:rsidRPr="00313E82">
        <w:rPr>
          <w:rFonts w:eastAsia="Batang"/>
        </w:rPr>
        <w:t xml:space="preserve"> where the consequence c</w:t>
      </w:r>
      <w:r w:rsidRPr="00313E82">
        <w:rPr>
          <w:rFonts w:eastAsia="Batang"/>
          <w:vertAlign w:val="subscript"/>
        </w:rPr>
        <w:t>j</w:t>
      </w:r>
      <w:r w:rsidRPr="00313E82">
        <w:rPr>
          <w:rFonts w:eastAsia="Batang"/>
        </w:rPr>
        <w:t xml:space="preserve"> contributes to a radionuclide mobilization state.</w:t>
      </w:r>
    </w:p>
    <w:p w:rsidR="003324E4" w:rsidRPr="00313E82" w:rsidRDefault="003324E4">
      <w:pPr>
        <w:rPr>
          <w:rFonts w:eastAsia="Batang"/>
          <w:lang w:val="en-US"/>
        </w:rPr>
      </w:pPr>
      <w:r w:rsidRPr="00313E82">
        <w:rPr>
          <w:rFonts w:eastAsia="Batang"/>
          <w:u w:val="single"/>
          <w:lang w:val="en-US"/>
        </w:rPr>
        <w:t>Use of uncertainty distributions:</w:t>
      </w:r>
    </w:p>
    <w:p w:rsidR="003324E4" w:rsidRPr="00313E82" w:rsidRDefault="003324E4">
      <w:pPr>
        <w:pStyle w:val="Corpsdetexte"/>
        <w:ind w:left="709"/>
        <w:rPr>
          <w:rFonts w:eastAsia="Batang"/>
        </w:rPr>
      </w:pPr>
      <w:r w:rsidRPr="00313E82">
        <w:rPr>
          <w:rFonts w:eastAsia="Batang"/>
        </w:rPr>
        <w:t xml:space="preserve">There are no differences to the CDF risk measure already explained in sections </w:t>
      </w:r>
      <w:r w:rsidR="009E768B" w:rsidRPr="004D7C87">
        <w:rPr>
          <w:rFonts w:eastAsia="Batang"/>
        </w:rPr>
        <w:fldChar w:fldCharType="begin"/>
      </w:r>
      <w:r w:rsidR="005A5199" w:rsidRPr="00313E82">
        <w:rPr>
          <w:rFonts w:eastAsia="Batang"/>
        </w:rPr>
        <w:instrText xml:space="preserve"> REF _Ref418066270 \r \h </w:instrText>
      </w:r>
      <w:r w:rsidR="009E768B" w:rsidRPr="004D7C87">
        <w:rPr>
          <w:rFonts w:eastAsia="Batang"/>
        </w:rPr>
      </w:r>
      <w:r w:rsidR="009E768B" w:rsidRPr="004D7C87">
        <w:rPr>
          <w:rFonts w:eastAsia="Batang"/>
        </w:rPr>
        <w:fldChar w:fldCharType="separate"/>
      </w:r>
      <w:r w:rsidR="00B772CA">
        <w:rPr>
          <w:rFonts w:eastAsia="Batang"/>
        </w:rPr>
        <w:t>2.1</w:t>
      </w:r>
      <w:r w:rsidR="009E768B" w:rsidRPr="004D7C87">
        <w:rPr>
          <w:rFonts w:eastAsia="Batang"/>
        </w:rPr>
        <w:fldChar w:fldCharType="end"/>
      </w:r>
      <w:r w:rsidR="005A5199" w:rsidRPr="00313E82">
        <w:rPr>
          <w:rFonts w:eastAsia="Batang"/>
        </w:rPr>
        <w:t xml:space="preserve"> and </w:t>
      </w:r>
      <w:r w:rsidR="009E768B" w:rsidRPr="004D7C87">
        <w:rPr>
          <w:rFonts w:eastAsia="Batang"/>
        </w:rPr>
        <w:fldChar w:fldCharType="begin"/>
      </w:r>
      <w:r w:rsidR="005A5199" w:rsidRPr="00313E82">
        <w:rPr>
          <w:rFonts w:eastAsia="Batang"/>
        </w:rPr>
        <w:instrText xml:space="preserve"> REF _Ref414021020 \r \h </w:instrText>
      </w:r>
      <w:r w:rsidR="009E768B" w:rsidRPr="004D7C87">
        <w:rPr>
          <w:rFonts w:eastAsia="Batang"/>
        </w:rPr>
      </w:r>
      <w:r w:rsidR="009E768B" w:rsidRPr="004D7C87">
        <w:rPr>
          <w:rFonts w:eastAsia="Batang"/>
        </w:rPr>
        <w:fldChar w:fldCharType="separate"/>
      </w:r>
      <w:r w:rsidR="00B772CA">
        <w:rPr>
          <w:rFonts w:eastAsia="Batang"/>
        </w:rPr>
        <w:t>2.2</w:t>
      </w:r>
      <w:r w:rsidR="009E768B" w:rsidRPr="004D7C87">
        <w:rPr>
          <w:rFonts w:eastAsia="Batang"/>
        </w:rPr>
        <w:fldChar w:fldCharType="end"/>
      </w:r>
      <w:r w:rsidR="005A5199" w:rsidRPr="00313E82">
        <w:rPr>
          <w:rFonts w:eastAsia="Batang"/>
        </w:rPr>
        <w:t>.</w:t>
      </w:r>
    </w:p>
    <w:p w:rsidR="003324E4" w:rsidRPr="00C94556" w:rsidRDefault="005A5199" w:rsidP="00C94556">
      <w:pPr>
        <w:pStyle w:val="Titre3"/>
        <w:rPr>
          <w:rFonts w:eastAsia="Batang"/>
          <w:lang w:val="en-US"/>
        </w:rPr>
      </w:pPr>
      <w:bookmarkStart w:id="214" w:name="_Toc474430191"/>
      <w:r w:rsidRPr="00C94556">
        <w:rPr>
          <w:rFonts w:eastAsia="Batang"/>
          <w:iCs w:val="0"/>
          <w:lang w:val="en-US"/>
        </w:rPr>
        <w:t>Areas of application</w:t>
      </w:r>
      <w:bookmarkEnd w:id="214"/>
    </w:p>
    <w:p w:rsidR="003324E4" w:rsidRDefault="003324E4">
      <w:pPr>
        <w:pStyle w:val="Corpsdetexte"/>
        <w:rPr>
          <w:rFonts w:eastAsia="Batang"/>
        </w:rPr>
      </w:pPr>
      <w:r w:rsidRPr="00313E82">
        <w:rPr>
          <w:rFonts w:eastAsia="Batang"/>
        </w:rPr>
        <w:t>The RMF is a proposal discussed during the ASAMPSA_E project. Currently, no applications are known. However, the RMF generalizes the CDF and FDF risk measures to a comprehensive PSA Level 1 risk measure for a multi-source PSA.</w:t>
      </w:r>
    </w:p>
    <w:p w:rsidR="00190DA8" w:rsidRPr="00313E82" w:rsidRDefault="00190DA8">
      <w:pPr>
        <w:pStyle w:val="Corpsdetexte"/>
        <w:rPr>
          <w:rFonts w:eastAsia="Batang"/>
        </w:rPr>
      </w:pPr>
      <w:r>
        <w:rPr>
          <w:rFonts w:eastAsia="Batang"/>
        </w:rPr>
        <w:t>This risk measure can contribute to the verification of the low probability of events that would induce off-site protective measure without core melt. Such verification has been done for the EPR FA3 but with L2 PSA.</w:t>
      </w:r>
    </w:p>
    <w:p w:rsidR="003324E4" w:rsidRPr="00C94556" w:rsidRDefault="003324E4" w:rsidP="00C94556">
      <w:pPr>
        <w:pStyle w:val="Titre3"/>
        <w:rPr>
          <w:rFonts w:eastAsia="Batang"/>
          <w:lang w:val="en-US"/>
        </w:rPr>
      </w:pPr>
      <w:bookmarkStart w:id="215" w:name="_Toc474430192"/>
      <w:r w:rsidRPr="00C94556">
        <w:rPr>
          <w:rFonts w:eastAsia="Batang"/>
          <w:iCs w:val="0"/>
          <w:lang w:val="en-US"/>
        </w:rPr>
        <w:t>Discussion</w:t>
      </w:r>
      <w:bookmarkEnd w:id="215"/>
    </w:p>
    <w:p w:rsidR="005A5199" w:rsidRPr="00313E82" w:rsidRDefault="003324E4">
      <w:pPr>
        <w:rPr>
          <w:rFonts w:eastAsia="Batang"/>
          <w:u w:val="single"/>
          <w:lang w:val="en-US"/>
        </w:rPr>
      </w:pPr>
      <w:r w:rsidRPr="00313E82">
        <w:rPr>
          <w:rFonts w:eastAsia="Batang"/>
          <w:u w:val="single"/>
          <w:lang w:val="en-US"/>
        </w:rPr>
        <w:t xml:space="preserve">Validity: </w:t>
      </w:r>
    </w:p>
    <w:p w:rsidR="00C04787" w:rsidRDefault="003324E4">
      <w:pPr>
        <w:pStyle w:val="Corpsdetexte"/>
        <w:ind w:left="709"/>
        <w:rPr>
          <w:rFonts w:eastAsia="Batang"/>
        </w:rPr>
      </w:pPr>
      <w:r w:rsidRPr="00313E82">
        <w:rPr>
          <w:rFonts w:eastAsia="Batang"/>
        </w:rPr>
        <w:t xml:space="preserve">The RMF risk measure is clearly defined if a threshold value for a representative radionuclide has been set. Then, it can be associated with a well-defined state in the risk model. Moreover, radionuclides </w:t>
      </w:r>
      <w:r w:rsidR="00967803">
        <w:rPr>
          <w:rFonts w:eastAsia="Batang"/>
        </w:rPr>
        <w:t xml:space="preserve">that </w:t>
      </w:r>
      <w:r w:rsidR="00967803">
        <w:rPr>
          <w:rFonts w:eastAsia="Batang"/>
        </w:rPr>
        <w:lastRenderedPageBreak/>
        <w:t xml:space="preserve">are </w:t>
      </w:r>
      <w:r w:rsidRPr="00313E82">
        <w:rPr>
          <w:rFonts w:eastAsia="Batang"/>
        </w:rPr>
        <w:t xml:space="preserve">becoming potentially mobilized in an uncontrolled and unintended manner </w:t>
      </w:r>
      <w:r w:rsidR="00967803">
        <w:rPr>
          <w:rFonts w:eastAsia="Batang"/>
        </w:rPr>
        <w:t>are</w:t>
      </w:r>
      <w:r w:rsidRPr="00313E82">
        <w:rPr>
          <w:rFonts w:eastAsia="Batang"/>
        </w:rPr>
        <w:t xml:space="preserve"> a good leading indicator for the risk of accidental release. There needs to be a clear understanding, though, what is understood under a mobilization of radionuclide and which radionuclides are considered immobile. In order to increase the validity of the risk measure, radionuclides should be considered potentially mobilized unless they are immobile. The latter can be understood as that physical or chemical processes relevant to the respective scenario over the relevant analysis time (i.e. in the order of days or at most weeks for an extended PSA for NPP) will not lead to the transport of the respective radionuclides in relevant amounts from the current location and outside of the boundary of the designed confinement. Similar to CDF, these conditions might change if a sequence is further developed. The RMF metric allows for generalizing the CDF to other relevant radionuclide sources in a NPP in a consistent manner. Conversely, the RMF fundamentally aggregates quite diverse scenarios contributing to risk, from comparatively benign scenarios without a significant risk of on-site and off-site consequences to scenarios with a high probability for severe off-site consequences. This is a significant limitation of this risk measure. Assigning the likelihood (distribution) for the respective sequence(s) ending in a radionuclide mobilization state is a clear and traceable quantification procedure, as is risk averaging over time. </w:t>
      </w:r>
    </w:p>
    <w:p w:rsidR="00C04787" w:rsidRDefault="00C04787">
      <w:pPr>
        <w:pStyle w:val="Corpsdetexte"/>
        <w:ind w:left="709"/>
        <w:rPr>
          <w:rFonts w:eastAsia="Batang"/>
        </w:rPr>
      </w:pPr>
      <w:r>
        <w:rPr>
          <w:rFonts w:eastAsia="Batang"/>
        </w:rPr>
        <w:t xml:space="preserve">The main difference between the proposed RMF risk measure and the PSA Level 2 risk measures </w:t>
      </w:r>
      <w:r w:rsidR="00753A51">
        <w:rPr>
          <w:rFonts w:eastAsia="Batang"/>
        </w:rPr>
        <w:t>for accidental release is the following. PSA Level 2 risk measures like e.g. LRF are defined on the release of radionuclides to the environment of the plant (off-site release), i.e. at the relevant plant or site perimeter. F</w:t>
      </w:r>
      <w:r w:rsidR="00197FE9">
        <w:rPr>
          <w:rFonts w:eastAsia="Batang"/>
        </w:rPr>
        <w:t>or such a release to occur, several barriers for the confinement of radionuclides at a NPP (or other high-risk source) have to fail according to the Defense in Depth approach. Consequently, Level 2 risk measures address the risk of multiple barrier failure leading to a release. Conversely, the definition of the RMF risk metric addresses the failure of the first barrier design</w:t>
      </w:r>
      <w:r w:rsidR="00613751">
        <w:rPr>
          <w:rFonts w:eastAsia="Batang"/>
        </w:rPr>
        <w:t>ed</w:t>
      </w:r>
      <w:r w:rsidR="00197FE9">
        <w:rPr>
          <w:rFonts w:eastAsia="Batang"/>
        </w:rPr>
        <w:t xml:space="preserve"> to confine</w:t>
      </w:r>
      <w:r w:rsidR="00613751">
        <w:rPr>
          <w:rFonts w:eastAsia="Batang"/>
        </w:rPr>
        <w:t xml:space="preserve"> a relevant radionuclide source (like e.g. severe cladding failure for the FDF). Then, radionuclides get mobilized and are transported within the plant to locations not specified for the operation of the plant or facility. This leads to a challenge of the next barriers for the confinement (like e.g. the containment in a NPP). The lower radionuclide threshold proposed for the RMF metric ensures that </w:t>
      </w:r>
      <w:r w:rsidR="008C44DD">
        <w:rPr>
          <w:rFonts w:eastAsia="Batang"/>
        </w:rPr>
        <w:t>it</w:t>
      </w:r>
      <w:r w:rsidR="005C07A2">
        <w:rPr>
          <w:rFonts w:eastAsia="Batang"/>
        </w:rPr>
        <w:t xml:space="preserve"> </w:t>
      </w:r>
      <w:r w:rsidR="00613751">
        <w:rPr>
          <w:rFonts w:eastAsia="Batang"/>
        </w:rPr>
        <w:t xml:space="preserve">covers all significant accidental off-site releases as well as less severe releases. </w:t>
      </w:r>
      <w:r w:rsidR="00197FE9">
        <w:rPr>
          <w:rFonts w:eastAsia="Batang"/>
        </w:rPr>
        <w:t xml:space="preserve"> </w:t>
      </w:r>
    </w:p>
    <w:p w:rsidR="003324E4" w:rsidRPr="00313E82" w:rsidRDefault="003324E4">
      <w:pPr>
        <w:pStyle w:val="Corpsdetexte"/>
        <w:ind w:left="709"/>
        <w:rPr>
          <w:rFonts w:eastAsia="Batang"/>
        </w:rPr>
      </w:pPr>
      <w:r w:rsidRPr="00313E82">
        <w:rPr>
          <w:rFonts w:eastAsia="Batang"/>
        </w:rPr>
        <w:t>Overall, the RMF is a valid risk measure for a generalized, multi-source PSA Level 1.</w:t>
      </w:r>
    </w:p>
    <w:p w:rsidR="008C50A5" w:rsidRPr="00313E82" w:rsidRDefault="003324E4">
      <w:pPr>
        <w:rPr>
          <w:rFonts w:eastAsia="Batang"/>
          <w:u w:val="single"/>
          <w:lang w:val="en-US"/>
        </w:rPr>
      </w:pPr>
      <w:r w:rsidRPr="00313E82">
        <w:rPr>
          <w:rFonts w:eastAsia="Batang"/>
          <w:u w:val="single"/>
          <w:lang w:val="en-US"/>
        </w:rPr>
        <w:t xml:space="preserve">Reliability: </w:t>
      </w:r>
    </w:p>
    <w:p w:rsidR="003324E4" w:rsidRPr="00313E82" w:rsidRDefault="003324E4">
      <w:pPr>
        <w:pStyle w:val="Corpsdetexte"/>
        <w:ind w:left="709"/>
        <w:rPr>
          <w:rFonts w:eastAsia="Batang"/>
        </w:rPr>
      </w:pPr>
      <w:r w:rsidRPr="00313E82">
        <w:rPr>
          <w:rFonts w:eastAsia="Batang"/>
        </w:rPr>
        <w:t>The RMF can be clearly defined if recourse to a potential release quantity is made. In this way, it can be consistently applied to a large type of reactor designs and types of radionuclide sources. If the RMF measure has been established, it allows for a reproducible PSA modelling. It is therefore a suitable risk measure for a generalizing multi-source PSA.</w:t>
      </w:r>
    </w:p>
    <w:p w:rsidR="007E77E6" w:rsidRPr="00313E82" w:rsidRDefault="003324E4">
      <w:pPr>
        <w:rPr>
          <w:rFonts w:eastAsia="Batang"/>
          <w:u w:val="single"/>
          <w:lang w:val="en-US"/>
        </w:rPr>
      </w:pPr>
      <w:r w:rsidRPr="00313E82">
        <w:rPr>
          <w:rFonts w:eastAsia="Batang"/>
          <w:u w:val="single"/>
          <w:lang w:val="en-US"/>
        </w:rPr>
        <w:t xml:space="preserve">Consistency: </w:t>
      </w:r>
    </w:p>
    <w:p w:rsidR="003324E4" w:rsidRPr="00313E82" w:rsidRDefault="003324E4">
      <w:pPr>
        <w:pStyle w:val="Corpsdetexte"/>
        <w:ind w:left="709"/>
        <w:rPr>
          <w:rFonts w:eastAsia="Batang"/>
        </w:rPr>
      </w:pPr>
      <w:r w:rsidRPr="00313E82">
        <w:rPr>
          <w:rFonts w:eastAsia="Batang"/>
        </w:rPr>
        <w:t>The RMF induces an order relation satisfying rationality criteria, if risk aggregation properties are respected. This risk measure is basically consistent.</w:t>
      </w:r>
    </w:p>
    <w:p w:rsidR="005058CB" w:rsidRPr="004B6881" w:rsidRDefault="003324E4" w:rsidP="004B6881">
      <w:pPr>
        <w:rPr>
          <w:rFonts w:eastAsia="Batang"/>
          <w:u w:val="single"/>
          <w:lang w:val="en-US"/>
        </w:rPr>
      </w:pPr>
      <w:r w:rsidRPr="004B6881">
        <w:rPr>
          <w:rFonts w:eastAsia="Batang"/>
          <w:u w:val="single"/>
          <w:lang w:val="en-US"/>
        </w:rPr>
        <w:t xml:space="preserve">Risk aggregation properties: </w:t>
      </w:r>
    </w:p>
    <w:p w:rsidR="003324E4" w:rsidRPr="00313E82" w:rsidRDefault="003324E4" w:rsidP="00F778BE">
      <w:pPr>
        <w:pStyle w:val="Corpsdetexte"/>
        <w:ind w:left="709"/>
        <w:rPr>
          <w:rFonts w:eastAsia="Batang"/>
        </w:rPr>
      </w:pPr>
      <w:r w:rsidRPr="00313E82">
        <w:rPr>
          <w:rFonts w:eastAsia="Batang"/>
        </w:rPr>
        <w:t xml:space="preserve">Aggregating RMF values over multiple scenarios (i.e. frequency values) is a well-defined operation, if performed on a minimal cut set basis, resulting in a consistent risk measure. However, it is essential to bear in mind that scenarios assigned to the RMF metric represent widely different scenarios in terms of </w:t>
      </w:r>
      <w:r w:rsidRPr="00313E82">
        <w:rPr>
          <w:rFonts w:eastAsia="Batang"/>
        </w:rPr>
        <w:lastRenderedPageBreak/>
        <w:t xml:space="preserve">actual and potential consequences. The risk associated with a leakage in a liquid radwaste treatment system in the auxiliary systems building can be highly relevant to operating staff, but will at worst lead to limited off-site consequences. Conversely, a high pressure core melt during a prolonged SBO scenario might lead to unacceptable off-site contamination. So, while the RMF is suitable for aggregating those widely different risk aspects, it is </w:t>
      </w:r>
      <w:r w:rsidR="00F42E55">
        <w:rPr>
          <w:rFonts w:eastAsia="Batang"/>
        </w:rPr>
        <w:t>at the same time</w:t>
      </w:r>
      <w:r w:rsidR="003E60DA" w:rsidRPr="00313E82">
        <w:rPr>
          <w:rFonts w:eastAsia="Batang"/>
        </w:rPr>
        <w:t xml:space="preserve"> </w:t>
      </w:r>
      <w:r w:rsidRPr="00313E82">
        <w:rPr>
          <w:rFonts w:eastAsia="Batang"/>
        </w:rPr>
        <w:t xml:space="preserve">not well suited </w:t>
      </w:r>
      <w:r w:rsidR="00C32768">
        <w:rPr>
          <w:rFonts w:eastAsia="Batang"/>
        </w:rPr>
        <w:t>for</w:t>
      </w:r>
      <w:r w:rsidR="00C32768" w:rsidRPr="00313E82">
        <w:rPr>
          <w:rFonts w:eastAsia="Batang"/>
        </w:rPr>
        <w:t xml:space="preserve"> </w:t>
      </w:r>
      <w:r w:rsidRPr="00313E82">
        <w:rPr>
          <w:rFonts w:eastAsia="Batang"/>
        </w:rPr>
        <w:t>understand</w:t>
      </w:r>
      <w:r w:rsidR="00C32768">
        <w:rPr>
          <w:rFonts w:eastAsia="Batang"/>
        </w:rPr>
        <w:t>ing</w:t>
      </w:r>
      <w:r w:rsidRPr="00313E82">
        <w:rPr>
          <w:rFonts w:eastAsia="Batang"/>
        </w:rPr>
        <w:t xml:space="preserve"> the full risk profile of the plant with regard to the fundament safety objective.</w:t>
      </w:r>
      <w:r w:rsidR="00C32768">
        <w:rPr>
          <w:rFonts w:eastAsia="Batang"/>
        </w:rPr>
        <w:t xml:space="preserve"> </w:t>
      </w:r>
      <w:r w:rsidR="00C32768">
        <w:rPr>
          <w:rFonts w:eastAsia="Batang"/>
        </w:rPr>
        <w:tab/>
      </w:r>
      <w:r w:rsidR="00C32768">
        <w:rPr>
          <w:rFonts w:eastAsia="Batang"/>
        </w:rPr>
        <w:br/>
        <w:t xml:space="preserve">If a stronger discrimination </w:t>
      </w:r>
      <w:r w:rsidR="00B262ED">
        <w:rPr>
          <w:rFonts w:eastAsia="Batang"/>
        </w:rPr>
        <w:t xml:space="preserve">between scenarios with very severe consequences and more limited consequences based on the RMF measure is intended, then we recommend to define at least two variants of the RMF. In addition to the low threshold metric defined above a “severe radionuclide mobilization” metric (SRMF) could be defined with a radionuclide threshold of e.g. 1 PBq I-131 or even higher. </w:t>
      </w:r>
    </w:p>
    <w:p w:rsidR="005058CB" w:rsidRPr="004B6881" w:rsidRDefault="003324E4" w:rsidP="004B6881">
      <w:pPr>
        <w:rPr>
          <w:rFonts w:eastAsia="Batang"/>
          <w:u w:val="single"/>
          <w:lang w:val="en-US"/>
        </w:rPr>
      </w:pPr>
      <w:r w:rsidRPr="004B6881">
        <w:rPr>
          <w:rFonts w:eastAsia="Batang"/>
          <w:u w:val="single"/>
          <w:lang w:val="en-US"/>
        </w:rPr>
        <w:t xml:space="preserve">Understandability to the PSA community: </w:t>
      </w:r>
    </w:p>
    <w:p w:rsidR="003324E4" w:rsidRPr="00313E82" w:rsidRDefault="003324E4" w:rsidP="00F778BE">
      <w:pPr>
        <w:pStyle w:val="Corpsdetexte"/>
        <w:ind w:left="709"/>
        <w:rPr>
          <w:rFonts w:eastAsia="Batang"/>
        </w:rPr>
      </w:pPr>
      <w:r w:rsidRPr="00313E82">
        <w:rPr>
          <w:rFonts w:eastAsia="Batang"/>
        </w:rPr>
        <w:t xml:space="preserve">The RMF measure is currently only a proposed risk measure. It should be understandable to the PSA community, though. Ambiguities can arise from different threshold values or selecting a leading radioisotope other than I-131. Similarly, the issue of mobilized vs. immobile radionuclides can give raise to ambiguities. However, these types of ambiguities can be clearly described and understood. Moreover, due to the comparatively small threshold value proposed for this risk measures (e.g. 1 </w:t>
      </w:r>
      <w:r w:rsidR="004F0ED2">
        <w:rPr>
          <w:rFonts w:eastAsia="Batang"/>
        </w:rPr>
        <w:t>T</w:t>
      </w:r>
      <w:r w:rsidRPr="00313E82">
        <w:rPr>
          <w:rFonts w:eastAsia="Batang"/>
        </w:rPr>
        <w:t>Bq</w:t>
      </w:r>
      <w:r w:rsidR="00C04787">
        <w:rPr>
          <w:rFonts w:eastAsia="Batang"/>
        </w:rPr>
        <w:t xml:space="preserve"> I-131 (equivalent)</w:t>
      </w:r>
      <w:r w:rsidRPr="00313E82">
        <w:rPr>
          <w:rFonts w:eastAsia="Batang"/>
        </w:rPr>
        <w:t>), differences in these assumptions should have rather limited consequences for the results and also for the respective conclusions.  </w:t>
      </w:r>
    </w:p>
    <w:p w:rsidR="003324E4" w:rsidRPr="00C94556" w:rsidRDefault="003324E4" w:rsidP="00C94556">
      <w:pPr>
        <w:pStyle w:val="Titre3"/>
        <w:rPr>
          <w:rFonts w:eastAsia="Batang"/>
          <w:lang w:val="en-US"/>
        </w:rPr>
      </w:pPr>
      <w:bookmarkStart w:id="216" w:name="_Toc474430193"/>
      <w:r w:rsidRPr="00C94556">
        <w:rPr>
          <w:rFonts w:eastAsia="Batang"/>
          <w:iCs w:val="0"/>
          <w:lang w:val="en-US"/>
        </w:rPr>
        <w:t>Limitation</w:t>
      </w:r>
      <w:bookmarkEnd w:id="216"/>
    </w:p>
    <w:p w:rsidR="003324E4" w:rsidRPr="00313E82" w:rsidRDefault="003324E4">
      <w:pPr>
        <w:pStyle w:val="Corpsdetexte"/>
        <w:rPr>
          <w:rFonts w:eastAsia="Batang"/>
        </w:rPr>
      </w:pPr>
      <w:r w:rsidRPr="00313E82">
        <w:rPr>
          <w:rFonts w:eastAsia="Batang"/>
        </w:rPr>
        <w:t>As already mentioned above, the RMF conceptually aggregate</w:t>
      </w:r>
      <w:r w:rsidR="00663D6C">
        <w:rPr>
          <w:rFonts w:eastAsia="Batang"/>
        </w:rPr>
        <w:t>s</w:t>
      </w:r>
      <w:r w:rsidRPr="00313E82">
        <w:rPr>
          <w:rFonts w:eastAsia="Batang"/>
        </w:rPr>
        <w:t xml:space="preserve"> rather diverse sequences in terms of consequences into one common risk measures (figure of merit). While this is one of its advantages, it similarly limits its suitability for understanding the actual risk profile with regard to the fundamental safety objective. With this caveat, the RMF can cover for most conceivable scenarios leading to accidental releases. The most notable exception of cases not covered by the RMF risk measure is direct irradiation from the immobile source. These scenarios, however, are basically irrelevant for off-site consequences.</w:t>
      </w:r>
    </w:p>
    <w:p w:rsidR="003324E4" w:rsidRPr="00C94556" w:rsidRDefault="003324E4" w:rsidP="00C94556">
      <w:pPr>
        <w:pStyle w:val="Titre3"/>
        <w:rPr>
          <w:rFonts w:eastAsia="Batang"/>
          <w:lang w:val="en-US"/>
        </w:rPr>
      </w:pPr>
      <w:bookmarkStart w:id="217" w:name="_Toc474430194"/>
      <w:r w:rsidRPr="00C94556">
        <w:rPr>
          <w:rFonts w:eastAsia="Batang"/>
          <w:iCs w:val="0"/>
          <w:lang w:val="en-US"/>
        </w:rPr>
        <w:t xml:space="preserve">ASAMPSA_E recommendation on </w:t>
      </w:r>
      <w:r w:rsidR="003722F5" w:rsidRPr="00C94556">
        <w:rPr>
          <w:rFonts w:eastAsia="Batang"/>
          <w:lang w:val="en-US"/>
        </w:rPr>
        <w:t>RMF</w:t>
      </w:r>
      <w:bookmarkEnd w:id="217"/>
    </w:p>
    <w:p w:rsidR="00352469" w:rsidRDefault="00352469">
      <w:pPr>
        <w:pStyle w:val="Corpsdetexte"/>
        <w:rPr>
          <w:rFonts w:eastAsia="Batang"/>
        </w:rPr>
      </w:pPr>
      <w:r>
        <w:rPr>
          <w:rFonts w:eastAsia="Batang"/>
        </w:rPr>
        <w:t>The source term threshold for defining the RMF metric (e.g. 1 TBq I-131 (equiv</w:t>
      </w:r>
      <w:r w:rsidR="004D46FF">
        <w:rPr>
          <w:rFonts w:eastAsia="Batang"/>
        </w:rPr>
        <w:t>alent</w:t>
      </w:r>
      <w:r>
        <w:rPr>
          <w:rFonts w:eastAsia="Batang"/>
        </w:rPr>
        <w:t xml:space="preserve">)) needs to be consistent with release metrics selected for the PSA Level 2. Specifically, the </w:t>
      </w:r>
      <w:r w:rsidR="00E75FC9">
        <w:rPr>
          <w:rFonts w:eastAsia="Batang"/>
        </w:rPr>
        <w:t>source term threshold should not be larger than the threshold for the early release metric (</w:t>
      </w:r>
      <w:r w:rsidR="00EE7B22">
        <w:rPr>
          <w:rFonts w:eastAsia="Batang"/>
        </w:rPr>
        <w:t>see</w:t>
      </w:r>
      <w:r w:rsidR="00E75FC9">
        <w:rPr>
          <w:rFonts w:eastAsia="Batang"/>
        </w:rPr>
        <w:t xml:space="preserve"> section </w:t>
      </w:r>
      <w:r w:rsidR="009E768B">
        <w:rPr>
          <w:rFonts w:eastAsia="Batang"/>
        </w:rPr>
        <w:fldChar w:fldCharType="begin"/>
      </w:r>
      <w:r w:rsidR="00E75FC9">
        <w:rPr>
          <w:rFonts w:eastAsia="Batang"/>
        </w:rPr>
        <w:instrText xml:space="preserve"> REF _Ref306875514 \r \h </w:instrText>
      </w:r>
      <w:r w:rsidR="009E768B">
        <w:rPr>
          <w:rFonts w:eastAsia="Batang"/>
        </w:rPr>
      </w:r>
      <w:r w:rsidR="009E768B">
        <w:rPr>
          <w:rFonts w:eastAsia="Batang"/>
        </w:rPr>
        <w:fldChar w:fldCharType="separate"/>
      </w:r>
      <w:r w:rsidR="00B772CA">
        <w:rPr>
          <w:rFonts w:eastAsia="Batang"/>
        </w:rPr>
        <w:t>3.2</w:t>
      </w:r>
      <w:r w:rsidR="009E768B">
        <w:rPr>
          <w:rFonts w:eastAsia="Batang"/>
        </w:rPr>
        <w:fldChar w:fldCharType="end"/>
      </w:r>
      <w:r w:rsidR="00E75FC9">
        <w:rPr>
          <w:rFonts w:eastAsia="Batang"/>
        </w:rPr>
        <w:t>). Additionally, the PSA Level 2 will usually define specific release categories for filtered releases and other scenarios without failures of the containment function. Such releases might be in the ra</w:t>
      </w:r>
      <w:r w:rsidR="005C07A2">
        <w:rPr>
          <w:rFonts w:eastAsia="Batang"/>
        </w:rPr>
        <w:t>n</w:t>
      </w:r>
      <w:r w:rsidR="00E75FC9">
        <w:rPr>
          <w:rFonts w:eastAsia="Batang"/>
        </w:rPr>
        <w:t>ge of 10</w:t>
      </w:r>
      <w:r w:rsidR="00E75FC9" w:rsidRPr="00C94556">
        <w:rPr>
          <w:rFonts w:eastAsia="Batang"/>
          <w:vertAlign w:val="superscript"/>
        </w:rPr>
        <w:t>-6</w:t>
      </w:r>
      <w:r w:rsidR="00E75FC9">
        <w:rPr>
          <w:rFonts w:eastAsia="Batang"/>
        </w:rPr>
        <w:t xml:space="preserve"> of the total core inventory of volatiles, which </w:t>
      </w:r>
      <w:r w:rsidR="00441F11">
        <w:rPr>
          <w:rFonts w:eastAsia="Batang"/>
        </w:rPr>
        <w:t>is consistent with</w:t>
      </w:r>
      <w:r w:rsidR="00E75FC9">
        <w:rPr>
          <w:rFonts w:eastAsia="Batang"/>
        </w:rPr>
        <w:t xml:space="preserve"> 1 TBq I-131 (equiv.).</w:t>
      </w:r>
    </w:p>
    <w:p w:rsidR="003324E4" w:rsidRPr="00313E82" w:rsidRDefault="003324E4">
      <w:pPr>
        <w:pStyle w:val="Corpsdetexte"/>
        <w:rPr>
          <w:rFonts w:eastAsia="Batang"/>
        </w:rPr>
      </w:pPr>
      <w:r w:rsidRPr="00313E82">
        <w:rPr>
          <w:rFonts w:eastAsia="Batang"/>
        </w:rPr>
        <w:t>The RMF definition given above was developed during the ASAMPSA_E project. The RMF risk measure is recommended to be used for an extension and generalization of the established CDF and FDF risk measures to a multi-source PSA</w:t>
      </w:r>
      <w:r w:rsidR="00055F52">
        <w:rPr>
          <w:rFonts w:eastAsia="Batang"/>
        </w:rPr>
        <w:t xml:space="preserve"> (cf. section </w:t>
      </w:r>
      <w:r w:rsidR="009E768B">
        <w:rPr>
          <w:rFonts w:eastAsia="Batang"/>
        </w:rPr>
        <w:fldChar w:fldCharType="begin"/>
      </w:r>
      <w:r w:rsidR="00055F52">
        <w:rPr>
          <w:rFonts w:eastAsia="Batang"/>
        </w:rPr>
        <w:instrText xml:space="preserve"> REF _Ref444100755 \r \h </w:instrText>
      </w:r>
      <w:r w:rsidR="009E768B">
        <w:rPr>
          <w:rFonts w:eastAsia="Batang"/>
        </w:rPr>
      </w:r>
      <w:r w:rsidR="009E768B">
        <w:rPr>
          <w:rFonts w:eastAsia="Batang"/>
        </w:rPr>
        <w:fldChar w:fldCharType="separate"/>
      </w:r>
      <w:r w:rsidR="00B772CA">
        <w:rPr>
          <w:rFonts w:eastAsia="Batang"/>
        </w:rPr>
        <w:t>4</w:t>
      </w:r>
      <w:r w:rsidR="009E768B">
        <w:rPr>
          <w:rFonts w:eastAsia="Batang"/>
        </w:rPr>
        <w:fldChar w:fldCharType="end"/>
      </w:r>
      <w:r w:rsidR="00352469">
        <w:rPr>
          <w:rFonts w:eastAsia="Batang"/>
        </w:rPr>
        <w:t>)</w:t>
      </w:r>
      <w:r w:rsidRPr="00313E82">
        <w:rPr>
          <w:rFonts w:eastAsia="Batang"/>
        </w:rPr>
        <w:t>. It is therefore a suitable and above all complementary risk measure for an extended PSA that addresses potential sources on the site in addition to fuel in the reactor and spent fuel. </w:t>
      </w:r>
    </w:p>
    <w:p w:rsidR="003324E4" w:rsidRPr="00C94556" w:rsidRDefault="00D873A7">
      <w:pPr>
        <w:pStyle w:val="Corpsdetexte"/>
        <w:rPr>
          <w:rFonts w:eastAsia="Batang"/>
        </w:rPr>
      </w:pPr>
      <w:r>
        <w:rPr>
          <w:rFonts w:eastAsia="Batang"/>
        </w:rPr>
        <w:t xml:space="preserve">It must be </w:t>
      </w:r>
      <w:r w:rsidR="003324E4" w:rsidRPr="00313E82">
        <w:rPr>
          <w:rFonts w:eastAsia="Batang"/>
        </w:rPr>
        <w:t>point</w:t>
      </w:r>
      <w:r>
        <w:rPr>
          <w:rFonts w:eastAsia="Batang"/>
        </w:rPr>
        <w:t>ed</w:t>
      </w:r>
      <w:r w:rsidR="003324E4" w:rsidRPr="00313E82">
        <w:rPr>
          <w:rFonts w:eastAsia="Batang"/>
        </w:rPr>
        <w:t xml:space="preserve"> out, though, that the RMF risk measure is not well suited for understanding the risk profile of e.g. an NPP in operation. It should be complemented by e.g. CFD/FDF as a PSA Level 1 risk measure.</w:t>
      </w:r>
    </w:p>
    <w:p w:rsidR="00D042C6" w:rsidRPr="00313E82" w:rsidRDefault="0076680B" w:rsidP="00C94556">
      <w:pPr>
        <w:pStyle w:val="Titre1"/>
        <w:rPr>
          <w:rFonts w:eastAsia="Batang"/>
          <w:lang w:val="en-US"/>
        </w:rPr>
      </w:pPr>
      <w:bookmarkStart w:id="218" w:name="_Ref293303455"/>
      <w:bookmarkStart w:id="219" w:name="_Toc474430195"/>
      <w:r w:rsidRPr="00313E82">
        <w:rPr>
          <w:rFonts w:eastAsia="Batang"/>
          <w:lang w:val="en-US"/>
        </w:rPr>
        <w:lastRenderedPageBreak/>
        <w:t xml:space="preserve">Risk </w:t>
      </w:r>
      <w:r w:rsidR="00197EFE" w:rsidRPr="00313E82">
        <w:rPr>
          <w:rFonts w:eastAsia="Batang"/>
          <w:lang w:val="en-US"/>
        </w:rPr>
        <w:t>Metrics</w:t>
      </w:r>
      <w:r w:rsidR="00D042C6" w:rsidRPr="00313E82">
        <w:rPr>
          <w:rFonts w:eastAsia="Batang"/>
          <w:lang w:val="en-US"/>
        </w:rPr>
        <w:t xml:space="preserve"> </w:t>
      </w:r>
      <w:r w:rsidRPr="00313E82">
        <w:rPr>
          <w:rFonts w:eastAsia="Batang"/>
          <w:lang w:val="en-US"/>
        </w:rPr>
        <w:t>for Level 2 PSA</w:t>
      </w:r>
      <w:bookmarkEnd w:id="218"/>
      <w:bookmarkEnd w:id="219"/>
    </w:p>
    <w:p w:rsidR="00D11068" w:rsidRDefault="00EE30BD">
      <w:pPr>
        <w:rPr>
          <w:lang w:val="en-US"/>
        </w:rPr>
      </w:pPr>
      <w:r>
        <w:rPr>
          <w:lang w:val="en-US"/>
        </w:rPr>
        <w:t xml:space="preserve">Most direct </w:t>
      </w:r>
      <w:r w:rsidR="00354701">
        <w:rPr>
          <w:lang w:val="en-US"/>
        </w:rPr>
        <w:t>measures</w:t>
      </w:r>
      <w:r>
        <w:rPr>
          <w:lang w:val="en-US"/>
        </w:rPr>
        <w:t xml:space="preserve"> metrics defined for PSA Level 2 are related to the off-site release of radionuclides. </w:t>
      </w:r>
      <w:r w:rsidR="000D02B6">
        <w:rPr>
          <w:lang w:val="en-US"/>
        </w:rPr>
        <w:t xml:space="preserve">Release </w:t>
      </w:r>
      <w:r w:rsidR="00354701">
        <w:rPr>
          <w:lang w:val="en-US"/>
        </w:rPr>
        <w:t>measures</w:t>
      </w:r>
      <w:r w:rsidR="000D02B6">
        <w:rPr>
          <w:lang w:val="en-US"/>
        </w:rPr>
        <w:t xml:space="preserve"> are constitutive for </w:t>
      </w:r>
      <w:r w:rsidR="000D02B6" w:rsidRPr="00313E82">
        <w:rPr>
          <w:rFonts w:eastAsia="Batang"/>
          <w:lang w:val="en-US"/>
        </w:rPr>
        <w:t xml:space="preserve">the definition of PSA Level 2 </w:t>
      </w:r>
      <w:r w:rsidR="009E768B" w:rsidRPr="004D7C87">
        <w:rPr>
          <w:rFonts w:eastAsia="Batang"/>
          <w:lang w:val="en-US"/>
        </w:rPr>
        <w:fldChar w:fldCharType="begin"/>
      </w:r>
      <w:r w:rsidR="000D02B6" w:rsidRPr="00313E82">
        <w:rPr>
          <w:rFonts w:eastAsia="Batang"/>
          <w:lang w:val="en-US"/>
        </w:rPr>
        <w:instrText xml:space="preserve"> REF _Ref393115557 \r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[5]</w:t>
      </w:r>
      <w:r w:rsidR="009E768B" w:rsidRPr="004D7C87">
        <w:rPr>
          <w:rFonts w:eastAsia="Batang"/>
          <w:lang w:val="en-US"/>
        </w:rPr>
        <w:fldChar w:fldCharType="end"/>
      </w:r>
      <w:r w:rsidR="000D02B6" w:rsidRPr="00313E82">
        <w:rPr>
          <w:rFonts w:eastAsia="Batang"/>
          <w:lang w:val="en-US"/>
        </w:rPr>
        <w:t xml:space="preserve">, because the dividing line between Level 2 and Level 3 is put at accidental releases transgressing the plant boundary. </w:t>
      </w:r>
      <w:r>
        <w:rPr>
          <w:lang w:val="en-US"/>
        </w:rPr>
        <w:t xml:space="preserve">Thus, they are explicitly intended to address </w:t>
      </w:r>
      <w:r w:rsidR="000D02B6">
        <w:rPr>
          <w:lang w:val="en-US"/>
        </w:rPr>
        <w:t xml:space="preserve">potential </w:t>
      </w:r>
      <w:r>
        <w:rPr>
          <w:lang w:val="en-US"/>
        </w:rPr>
        <w:t xml:space="preserve">off-site consequences in the environment of the plant. They are therefore typically strong leading indicators for the risk of not meeting the fundamental safety objective (with respect to off-site consequences). The major differences in the release risk </w:t>
      </w:r>
      <w:r w:rsidR="00354701">
        <w:rPr>
          <w:lang w:val="en-US"/>
        </w:rPr>
        <w:t>measures</w:t>
      </w:r>
      <w:r>
        <w:rPr>
          <w:lang w:val="en-US"/>
        </w:rPr>
        <w:t xml:space="preserve"> discussed below lies in the classification with respect to the amount of radionuclides released, the leading (representative) isotope for that class, and in the consideration of (a set of) other attributes (like the timing of the release). </w:t>
      </w:r>
    </w:p>
    <w:p w:rsidR="004A00AB" w:rsidRDefault="00EE30BD">
      <w:pPr>
        <w:rPr>
          <w:lang w:val="en-US"/>
        </w:rPr>
      </w:pPr>
      <w:r>
        <w:rPr>
          <w:lang w:val="en-US"/>
        </w:rPr>
        <w:t>As with CDF, Level 2 release measures can be defined in both a time-averaged and time-depended version</w:t>
      </w:r>
      <w:r w:rsidR="00286AE4">
        <w:rPr>
          <w:lang w:val="en-US"/>
        </w:rPr>
        <w:t xml:space="preserve"> (see Section </w:t>
      </w:r>
      <w:r w:rsidR="009E768B">
        <w:rPr>
          <w:lang w:val="en-US"/>
        </w:rPr>
        <w:fldChar w:fldCharType="begin"/>
      </w:r>
      <w:r w:rsidR="00286AE4">
        <w:rPr>
          <w:lang w:val="en-US"/>
        </w:rPr>
        <w:instrText xml:space="preserve"> REF _Ref418001167 \r \h </w:instrText>
      </w:r>
      <w:r w:rsidR="009E768B">
        <w:rPr>
          <w:lang w:val="en-US"/>
        </w:rPr>
      </w:r>
      <w:r w:rsidR="009E768B">
        <w:rPr>
          <w:lang w:val="en-US"/>
        </w:rPr>
        <w:fldChar w:fldCharType="separate"/>
      </w:r>
      <w:r w:rsidR="00B772CA">
        <w:rPr>
          <w:lang w:val="en-US"/>
        </w:rPr>
        <w:t>3.1</w:t>
      </w:r>
      <w:r w:rsidR="009E768B">
        <w:rPr>
          <w:lang w:val="en-US"/>
        </w:rPr>
        <w:fldChar w:fldCharType="end"/>
      </w:r>
      <w:r w:rsidR="00286AE4">
        <w:rPr>
          <w:lang w:val="en-US"/>
        </w:rPr>
        <w:t xml:space="preserve"> and Appendix A for </w:t>
      </w:r>
      <w:r w:rsidR="00832204">
        <w:rPr>
          <w:lang w:val="en-US"/>
        </w:rPr>
        <w:t>more details</w:t>
      </w:r>
      <w:r w:rsidR="00286AE4">
        <w:rPr>
          <w:lang w:val="en-US"/>
        </w:rPr>
        <w:t>)</w:t>
      </w:r>
      <w:r>
        <w:rPr>
          <w:lang w:val="en-US"/>
        </w:rPr>
        <w:t xml:space="preserve">. The respective comments in sections </w:t>
      </w:r>
      <w:r w:rsidR="009E768B">
        <w:rPr>
          <w:lang w:val="en-US"/>
        </w:rPr>
        <w:fldChar w:fldCharType="begin"/>
      </w:r>
      <w:r>
        <w:rPr>
          <w:lang w:val="en-US"/>
        </w:rPr>
        <w:instrText xml:space="preserve"> REF _Ref418066270 \r \h </w:instrText>
      </w:r>
      <w:r w:rsidR="009E768B">
        <w:rPr>
          <w:lang w:val="en-US"/>
        </w:rPr>
      </w:r>
      <w:r w:rsidR="009E768B">
        <w:rPr>
          <w:lang w:val="en-US"/>
        </w:rPr>
        <w:fldChar w:fldCharType="separate"/>
      </w:r>
      <w:r w:rsidR="00B772CA">
        <w:rPr>
          <w:lang w:val="en-US"/>
        </w:rPr>
        <w:t>2.1</w:t>
      </w:r>
      <w:r w:rsidR="009E768B">
        <w:rPr>
          <w:lang w:val="en-US"/>
        </w:rPr>
        <w:fldChar w:fldCharType="end"/>
      </w:r>
      <w:r>
        <w:rPr>
          <w:lang w:val="en-US"/>
        </w:rPr>
        <w:t xml:space="preserve"> and </w:t>
      </w:r>
      <w:r w:rsidR="009E768B">
        <w:rPr>
          <w:lang w:val="en-US"/>
        </w:rPr>
        <w:fldChar w:fldCharType="begin"/>
      </w:r>
      <w:r>
        <w:rPr>
          <w:lang w:val="en-US"/>
        </w:rPr>
        <w:instrText xml:space="preserve"> REF _Ref414021020 \r \h </w:instrText>
      </w:r>
      <w:r w:rsidR="009E768B">
        <w:rPr>
          <w:lang w:val="en-US"/>
        </w:rPr>
      </w:r>
      <w:r w:rsidR="009E768B">
        <w:rPr>
          <w:lang w:val="en-US"/>
        </w:rPr>
        <w:fldChar w:fldCharType="separate"/>
      </w:r>
      <w:r w:rsidR="00B772CA">
        <w:rPr>
          <w:lang w:val="en-US"/>
        </w:rPr>
        <w:t>2.2</w:t>
      </w:r>
      <w:r w:rsidR="009E768B">
        <w:rPr>
          <w:lang w:val="en-US"/>
        </w:rPr>
        <w:fldChar w:fldCharType="end"/>
      </w:r>
      <w:r>
        <w:rPr>
          <w:lang w:val="en-US"/>
        </w:rPr>
        <w:t xml:space="preserve"> apply.</w:t>
      </w:r>
      <w:r w:rsidR="00D11068">
        <w:rPr>
          <w:lang w:val="en-US"/>
        </w:rPr>
        <w:t xml:space="preserve"> </w:t>
      </w:r>
      <w:r>
        <w:rPr>
          <w:lang w:val="en-US"/>
        </w:rPr>
        <w:t xml:space="preserve">Moreover, the secondary risk measures presented in sections </w:t>
      </w:r>
      <w:r w:rsidR="009E768B">
        <w:rPr>
          <w:lang w:val="en-US"/>
        </w:rPr>
        <w:fldChar w:fldCharType="begin"/>
      </w:r>
      <w:r>
        <w:rPr>
          <w:lang w:val="en-US"/>
        </w:rPr>
        <w:instrText xml:space="preserve"> REF _Ref444101180 \r \h </w:instrText>
      </w:r>
      <w:r w:rsidR="009E768B">
        <w:rPr>
          <w:lang w:val="en-US"/>
        </w:rPr>
      </w:r>
      <w:r w:rsidR="009E768B">
        <w:rPr>
          <w:lang w:val="en-US"/>
        </w:rPr>
        <w:fldChar w:fldCharType="separate"/>
      </w:r>
      <w:r w:rsidR="00B772CA">
        <w:rPr>
          <w:lang w:val="en-US"/>
        </w:rPr>
        <w:t>2.3</w:t>
      </w:r>
      <w:r w:rsidR="009E768B">
        <w:rPr>
          <w:lang w:val="en-US"/>
        </w:rPr>
        <w:fldChar w:fldCharType="end"/>
      </w:r>
      <w:r>
        <w:rPr>
          <w:lang w:val="en-US"/>
        </w:rPr>
        <w:t xml:space="preserve"> to </w:t>
      </w:r>
      <w:r w:rsidR="009E768B">
        <w:rPr>
          <w:lang w:val="en-US"/>
        </w:rPr>
        <w:fldChar w:fldCharType="begin"/>
      </w:r>
      <w:r>
        <w:rPr>
          <w:lang w:val="en-US"/>
        </w:rPr>
        <w:instrText xml:space="preserve"> REF _Ref306634958 \r \h </w:instrText>
      </w:r>
      <w:r w:rsidR="009E768B">
        <w:rPr>
          <w:lang w:val="en-US"/>
        </w:rPr>
      </w:r>
      <w:r w:rsidR="009E768B">
        <w:rPr>
          <w:lang w:val="en-US"/>
        </w:rPr>
        <w:fldChar w:fldCharType="separate"/>
      </w:r>
      <w:r w:rsidR="00B772CA">
        <w:rPr>
          <w:lang w:val="en-US"/>
        </w:rPr>
        <w:t>2.10</w:t>
      </w:r>
      <w:r w:rsidR="009E768B">
        <w:rPr>
          <w:lang w:val="en-US"/>
        </w:rPr>
        <w:fldChar w:fldCharType="end"/>
      </w:r>
      <w:r>
        <w:rPr>
          <w:lang w:val="en-US"/>
        </w:rPr>
        <w:t xml:space="preserve"> </w:t>
      </w:r>
      <w:r w:rsidR="00354701">
        <w:rPr>
          <w:lang w:val="en-US"/>
        </w:rPr>
        <w:t xml:space="preserve">above </w:t>
      </w:r>
      <w:r>
        <w:rPr>
          <w:lang w:val="en-US"/>
        </w:rPr>
        <w:t xml:space="preserve">can be also applied to Level 2 risk measures. Therefore, no additional discussion is provided </w:t>
      </w:r>
      <w:r w:rsidR="000D02B6">
        <w:rPr>
          <w:lang w:val="en-US"/>
        </w:rPr>
        <w:t>in this section</w:t>
      </w:r>
      <w:r>
        <w:rPr>
          <w:lang w:val="en-US"/>
        </w:rPr>
        <w:t>.</w:t>
      </w:r>
    </w:p>
    <w:p w:rsidR="00932BC8" w:rsidRPr="00313E82" w:rsidRDefault="00932BC8" w:rsidP="00932BC8">
      <w:pPr>
        <w:rPr>
          <w:lang w:val="en-US"/>
        </w:rPr>
      </w:pPr>
      <w:r>
        <w:rPr>
          <w:lang w:val="en-US"/>
        </w:rPr>
        <w:t>T</w:t>
      </w:r>
      <w:r w:rsidRPr="00BF36DA">
        <w:rPr>
          <w:lang w:val="en-US"/>
        </w:rPr>
        <w:t xml:space="preserve">he combined evaluation of accidents for the reactor core and for SFP is appropriate </w:t>
      </w:r>
      <w:r w:rsidR="00141B41">
        <w:rPr>
          <w:lang w:val="en-US"/>
        </w:rPr>
        <w:t xml:space="preserve">in order to take into account the complete risk in the sense of an extended PSA. </w:t>
      </w:r>
      <w:r>
        <w:rPr>
          <w:lang w:val="en-US"/>
        </w:rPr>
        <w:t>This does not affect the following discussion of risk metrics</w:t>
      </w:r>
      <w:r w:rsidR="00141B41" w:rsidRPr="00141B41">
        <w:rPr>
          <w:lang w:val="en-US"/>
        </w:rPr>
        <w:t xml:space="preserve"> </w:t>
      </w:r>
      <w:r w:rsidR="00141B41">
        <w:rPr>
          <w:lang w:val="en-US"/>
        </w:rPr>
        <w:t>in principle</w:t>
      </w:r>
      <w:r>
        <w:rPr>
          <w:lang w:val="en-US"/>
        </w:rPr>
        <w:t xml:space="preserve">, but practical questions </w:t>
      </w:r>
      <w:r w:rsidR="00141B41">
        <w:rPr>
          <w:lang w:val="en-US"/>
        </w:rPr>
        <w:t>will</w:t>
      </w:r>
      <w:r>
        <w:rPr>
          <w:lang w:val="en-US"/>
        </w:rPr>
        <w:t xml:space="preserve"> arise when releases f</w:t>
      </w:r>
      <w:r w:rsidR="00141B41">
        <w:rPr>
          <w:lang w:val="en-US"/>
        </w:rPr>
        <w:t>r</w:t>
      </w:r>
      <w:r>
        <w:rPr>
          <w:lang w:val="en-US"/>
        </w:rPr>
        <w:t>om the core and the SPF occur in different quantity and time scale.</w:t>
      </w:r>
      <w:r w:rsidR="005F40B7">
        <w:rPr>
          <w:lang w:val="en-US"/>
        </w:rPr>
        <w:t xml:space="preserve"> Pertinent comments to this issue are provided in section </w:t>
      </w:r>
      <w:r w:rsidR="009E768B">
        <w:rPr>
          <w:lang w:val="en-US"/>
        </w:rPr>
        <w:fldChar w:fldCharType="begin"/>
      </w:r>
      <w:r w:rsidR="007B4A25">
        <w:rPr>
          <w:lang w:val="en-US"/>
        </w:rPr>
        <w:instrText xml:space="preserve"> REF _Ref413933830 \w \h </w:instrText>
      </w:r>
      <w:r w:rsidR="009E768B">
        <w:rPr>
          <w:lang w:val="en-US"/>
        </w:rPr>
      </w:r>
      <w:r w:rsidR="009E768B">
        <w:rPr>
          <w:lang w:val="en-US"/>
        </w:rPr>
        <w:fldChar w:fldCharType="separate"/>
      </w:r>
      <w:r w:rsidR="00B772CA">
        <w:rPr>
          <w:lang w:val="en-US"/>
        </w:rPr>
        <w:t>5</w:t>
      </w:r>
      <w:r w:rsidR="009E768B">
        <w:rPr>
          <w:lang w:val="en-US"/>
        </w:rPr>
        <w:fldChar w:fldCharType="end"/>
      </w:r>
      <w:r w:rsidR="00876F69">
        <w:rPr>
          <w:lang w:val="en-US"/>
        </w:rPr>
        <w:t>.</w:t>
      </w:r>
      <w:r w:rsidR="00617F9D">
        <w:rPr>
          <w:lang w:val="en-US"/>
        </w:rPr>
        <w:t xml:space="preserve"> </w:t>
      </w:r>
    </w:p>
    <w:p w:rsidR="004A00AB" w:rsidRPr="00313E82" w:rsidRDefault="004A00AB" w:rsidP="00C94556">
      <w:pPr>
        <w:pStyle w:val="Titre2"/>
        <w:rPr>
          <w:lang w:val="en-US"/>
        </w:rPr>
      </w:pPr>
      <w:bookmarkStart w:id="220" w:name="_Ref418001167"/>
      <w:bookmarkStart w:id="221" w:name="_Toc474430196"/>
      <w:r w:rsidRPr="00313E82">
        <w:rPr>
          <w:lang w:val="en-US"/>
        </w:rPr>
        <w:t>Large</w:t>
      </w:r>
      <w:r w:rsidR="00EA2F25" w:rsidRPr="00313E82">
        <w:rPr>
          <w:lang w:val="en-US"/>
        </w:rPr>
        <w:t xml:space="preserve"> </w:t>
      </w:r>
      <w:r w:rsidRPr="00313E82">
        <w:rPr>
          <w:lang w:val="en-US"/>
        </w:rPr>
        <w:t>R</w:t>
      </w:r>
      <w:r w:rsidR="00864F47" w:rsidRPr="00313E82">
        <w:rPr>
          <w:lang w:val="en-US"/>
        </w:rPr>
        <w:t>e</w:t>
      </w:r>
      <w:r w:rsidRPr="00313E82">
        <w:rPr>
          <w:lang w:val="en-US"/>
        </w:rPr>
        <w:t>lease Frequency</w:t>
      </w:r>
      <w:bookmarkEnd w:id="220"/>
      <w:r w:rsidR="00354701">
        <w:rPr>
          <w:lang w:val="en-US"/>
        </w:rPr>
        <w:t xml:space="preserve"> (LRF)</w:t>
      </w:r>
      <w:bookmarkEnd w:id="221"/>
    </w:p>
    <w:p w:rsidR="00A551AB" w:rsidRPr="00313E82" w:rsidRDefault="00A551AB" w:rsidP="00C94556">
      <w:pPr>
        <w:pStyle w:val="Titre3"/>
        <w:rPr>
          <w:rFonts w:eastAsia="Batang"/>
          <w:lang w:val="en-US"/>
        </w:rPr>
      </w:pPr>
      <w:bookmarkStart w:id="222" w:name="_Toc474430197"/>
      <w:r w:rsidRPr="00313E82">
        <w:rPr>
          <w:rFonts w:eastAsia="Batang"/>
          <w:lang w:val="en-US"/>
        </w:rPr>
        <w:t>Definition of Risk Measure</w:t>
      </w:r>
      <w:bookmarkEnd w:id="222"/>
    </w:p>
    <w:p w:rsidR="00A551AB" w:rsidRPr="00313E82" w:rsidRDefault="00A551AB">
      <w:pPr>
        <w:rPr>
          <w:rFonts w:eastAsia="Batang"/>
          <w:b/>
          <w:lang w:val="en-US"/>
        </w:rPr>
      </w:pPr>
    </w:p>
    <w:p w:rsidR="00A551AB" w:rsidRPr="00313E82" w:rsidRDefault="00A551AB">
      <w:pPr>
        <w:rPr>
          <w:rFonts w:eastAsia="Batang"/>
          <w:lang w:val="en-US"/>
        </w:rPr>
      </w:pPr>
      <w:r w:rsidRPr="00313E82">
        <w:rPr>
          <w:rFonts w:eastAsia="Batang"/>
          <w:u w:val="single"/>
          <w:lang w:val="en-US"/>
        </w:rPr>
        <w:t>Risk metric</w:t>
      </w:r>
      <w:r w:rsidRPr="00313E82">
        <w:rPr>
          <w:rFonts w:eastAsia="Batang"/>
          <w:lang w:val="en-US"/>
        </w:rPr>
        <w:t xml:space="preserve">: </w:t>
      </w:r>
    </w:p>
    <w:p w:rsidR="00603165" w:rsidRPr="00313E82" w:rsidRDefault="00C9608E" w:rsidP="00C94556">
      <w:pPr>
        <w:pStyle w:val="Corpsdetexte"/>
        <w:rPr>
          <w:rFonts w:eastAsia="Batang"/>
        </w:rPr>
      </w:pPr>
      <w:r w:rsidRPr="00313E82">
        <w:rPr>
          <w:rFonts w:eastAsia="Batang"/>
        </w:rPr>
        <w:t xml:space="preserve">A large release </w:t>
      </w:r>
      <w:r w:rsidR="00A551AB" w:rsidRPr="00313E82">
        <w:rPr>
          <w:rFonts w:eastAsia="Batang"/>
        </w:rPr>
        <w:t xml:space="preserve">is commonly understood to </w:t>
      </w:r>
      <w:r w:rsidRPr="00313E82">
        <w:rPr>
          <w:rFonts w:eastAsia="Batang"/>
        </w:rPr>
        <w:t xml:space="preserve">be an unacceptable release of radionuclides </w:t>
      </w:r>
      <w:r w:rsidR="00DA6E8A">
        <w:rPr>
          <w:rFonts w:eastAsia="Batang"/>
        </w:rPr>
        <w:t>from</w:t>
      </w:r>
      <w:r w:rsidR="00DA6E8A" w:rsidRPr="00313E82">
        <w:rPr>
          <w:rFonts w:eastAsia="Batang"/>
        </w:rPr>
        <w:t xml:space="preserve"> </w:t>
      </w:r>
      <w:r w:rsidRPr="00313E82">
        <w:rPr>
          <w:rFonts w:eastAsia="Batang"/>
        </w:rPr>
        <w:t>the plant into the environment of the plant</w:t>
      </w:r>
      <w:r w:rsidR="00A551AB" w:rsidRPr="00313E82">
        <w:rPr>
          <w:rFonts w:eastAsia="Batang"/>
        </w:rPr>
        <w:t xml:space="preserve">. </w:t>
      </w:r>
    </w:p>
    <w:p w:rsidR="00C55C09" w:rsidRPr="00C94556" w:rsidRDefault="00C55C09" w:rsidP="00C94556">
      <w:pPr>
        <w:pStyle w:val="Corpsdetexte"/>
        <w:rPr>
          <w:rFonts w:eastAsia="Batang"/>
        </w:rPr>
      </w:pPr>
      <w:r w:rsidRPr="00C94556">
        <w:rPr>
          <w:rFonts w:eastAsia="Batang"/>
        </w:rPr>
        <w:t xml:space="preserve">SSG-4 </w:t>
      </w:r>
      <w:r w:rsidR="00CD0CBE">
        <w:fldChar w:fldCharType="begin"/>
      </w:r>
      <w:r w:rsidR="00CD0CBE">
        <w:instrText xml:space="preserve"> REF _Ref393115557 \r \h  \* MERGEFORMAT </w:instrText>
      </w:r>
      <w:r w:rsidR="00CD0CBE">
        <w:fldChar w:fldCharType="separate"/>
      </w:r>
      <w:r w:rsidR="00B772CA" w:rsidRPr="00B772CA">
        <w:rPr>
          <w:rFonts w:eastAsia="Batang"/>
        </w:rPr>
        <w:t>[5]</w:t>
      </w:r>
      <w:r w:rsidR="00CD0CBE">
        <w:fldChar w:fldCharType="end"/>
      </w:r>
      <w:r w:rsidRPr="00313E82">
        <w:rPr>
          <w:rFonts w:eastAsia="Batang"/>
        </w:rPr>
        <w:t xml:space="preserve"> </w:t>
      </w:r>
      <w:r w:rsidR="00BB2717">
        <w:rPr>
          <w:rFonts w:eastAsia="Batang"/>
        </w:rPr>
        <w:t xml:space="preserve">(cf. also </w:t>
      </w:r>
      <w:r w:rsidR="009E768B">
        <w:rPr>
          <w:rFonts w:eastAsia="Batang"/>
        </w:rPr>
        <w:fldChar w:fldCharType="begin"/>
      </w:r>
      <w:r w:rsidR="00BB2717">
        <w:rPr>
          <w:rFonts w:eastAsia="Batang"/>
        </w:rPr>
        <w:instrText xml:space="preserve"> REF _Ref444680058 \r \h </w:instrText>
      </w:r>
      <w:r w:rsidR="009E768B">
        <w:rPr>
          <w:rFonts w:eastAsia="Batang"/>
        </w:rPr>
      </w:r>
      <w:r w:rsidR="009E768B">
        <w:rPr>
          <w:rFonts w:eastAsia="Batang"/>
        </w:rPr>
        <w:fldChar w:fldCharType="separate"/>
      </w:r>
      <w:r w:rsidR="00B772CA">
        <w:rPr>
          <w:rFonts w:eastAsia="Batang"/>
        </w:rPr>
        <w:t>[111]</w:t>
      </w:r>
      <w:r w:rsidR="009E768B">
        <w:rPr>
          <w:rFonts w:eastAsia="Batang"/>
        </w:rPr>
        <w:fldChar w:fldCharType="end"/>
      </w:r>
      <w:r w:rsidR="00BB2717">
        <w:rPr>
          <w:rFonts w:eastAsia="Batang"/>
        </w:rPr>
        <w:t xml:space="preserve">, </w:t>
      </w:r>
      <w:r w:rsidR="009E768B">
        <w:rPr>
          <w:rFonts w:eastAsia="Batang"/>
        </w:rPr>
        <w:fldChar w:fldCharType="begin"/>
      </w:r>
      <w:r w:rsidR="00BB2717">
        <w:rPr>
          <w:rFonts w:eastAsia="Batang"/>
        </w:rPr>
        <w:instrText xml:space="preserve"> REF _Ref444680472 \r \h </w:instrText>
      </w:r>
      <w:r w:rsidR="009E768B">
        <w:rPr>
          <w:rFonts w:eastAsia="Batang"/>
        </w:rPr>
      </w:r>
      <w:r w:rsidR="009E768B">
        <w:rPr>
          <w:rFonts w:eastAsia="Batang"/>
        </w:rPr>
        <w:fldChar w:fldCharType="separate"/>
      </w:r>
      <w:r w:rsidR="00B772CA">
        <w:rPr>
          <w:rFonts w:eastAsia="Batang"/>
        </w:rPr>
        <w:t>[112]</w:t>
      </w:r>
      <w:r w:rsidR="009E768B">
        <w:rPr>
          <w:rFonts w:eastAsia="Batang"/>
        </w:rPr>
        <w:fldChar w:fldCharType="end"/>
      </w:r>
      <w:r w:rsidR="00BB2717">
        <w:rPr>
          <w:rFonts w:eastAsia="Batang"/>
        </w:rPr>
        <w:t xml:space="preserve">) </w:t>
      </w:r>
      <w:r w:rsidRPr="00313E82">
        <w:rPr>
          <w:rFonts w:eastAsia="Batang"/>
        </w:rPr>
        <w:t>defines a</w:t>
      </w:r>
      <w:r w:rsidRPr="00C94556">
        <w:rPr>
          <w:rFonts w:eastAsia="Batang"/>
        </w:rPr>
        <w:t xml:space="preserve"> </w:t>
      </w:r>
      <w:r w:rsidR="000848A7" w:rsidRPr="00C94556">
        <w:rPr>
          <w:rFonts w:eastAsia="Batang"/>
        </w:rPr>
        <w:t>“</w:t>
      </w:r>
      <w:r w:rsidRPr="00C94556">
        <w:rPr>
          <w:rFonts w:eastAsia="Batang"/>
        </w:rPr>
        <w:t xml:space="preserve">large release </w:t>
      </w:r>
      <w:r w:rsidR="000848A7">
        <w:rPr>
          <w:rFonts w:eastAsia="Batang"/>
        </w:rPr>
        <w:t>[</w:t>
      </w:r>
      <w:r w:rsidRPr="00C94556">
        <w:rPr>
          <w:rFonts w:eastAsia="Batang"/>
        </w:rPr>
        <w:t>as</w:t>
      </w:r>
      <w:r w:rsidR="000848A7">
        <w:rPr>
          <w:rFonts w:eastAsia="Batang"/>
        </w:rPr>
        <w:t>]</w:t>
      </w:r>
      <w:r w:rsidRPr="00C94556">
        <w:rPr>
          <w:rFonts w:eastAsia="Batang"/>
        </w:rPr>
        <w:t xml:space="preserve"> a release of radioactive material from the plant </w:t>
      </w:r>
      <w:r w:rsidR="00DA6E8A">
        <w:rPr>
          <w:rFonts w:eastAsia="Batang"/>
        </w:rPr>
        <w:t xml:space="preserve">to the environment </w:t>
      </w:r>
      <w:r w:rsidRPr="00C94556">
        <w:rPr>
          <w:rFonts w:eastAsia="Batang"/>
        </w:rPr>
        <w:t>that would require off-site emergency arrangements to be implemented. The release can be specified in a number of ways including the following:</w:t>
      </w:r>
    </w:p>
    <w:p w:rsidR="00C55C09" w:rsidRPr="00C94556" w:rsidRDefault="00BE6ACE" w:rsidP="00C94556">
      <w:pPr>
        <w:pStyle w:val="Paragraphedeliste"/>
        <w:numPr>
          <w:ilvl w:val="0"/>
          <w:numId w:val="30"/>
        </w:numPr>
        <w:autoSpaceDE w:val="0"/>
        <w:autoSpaceDN w:val="0"/>
        <w:adjustRightInd w:val="0"/>
        <w:spacing w:line="360" w:lineRule="auto"/>
        <w:jc w:val="left"/>
        <w:rPr>
          <w:rFonts w:cs="Arial"/>
          <w:szCs w:val="22"/>
          <w:lang w:val="en-US" w:eastAsia="de-DE"/>
        </w:rPr>
      </w:pPr>
      <w:r>
        <w:rPr>
          <w:rFonts w:cs="Arial"/>
          <w:szCs w:val="22"/>
          <w:lang w:val="en-US" w:eastAsia="de-DE"/>
        </w:rPr>
        <w:t>a</w:t>
      </w:r>
      <w:r w:rsidRPr="00C94556">
        <w:rPr>
          <w:rFonts w:cs="Arial"/>
          <w:szCs w:val="22"/>
          <w:lang w:val="en-US" w:eastAsia="de-DE"/>
        </w:rPr>
        <w:t xml:space="preserve">s </w:t>
      </w:r>
      <w:r w:rsidR="00C55C09" w:rsidRPr="00C94556">
        <w:rPr>
          <w:rFonts w:cs="Arial"/>
          <w:szCs w:val="22"/>
          <w:lang w:val="en-US" w:eastAsia="de-DE"/>
        </w:rPr>
        <w:t xml:space="preserve">absolute quantities (in </w:t>
      </w:r>
      <w:r w:rsidR="00283506">
        <w:rPr>
          <w:rFonts w:cs="Arial"/>
          <w:szCs w:val="22"/>
          <w:lang w:val="en-US" w:eastAsia="de-DE"/>
        </w:rPr>
        <w:t>B</w:t>
      </w:r>
      <w:r w:rsidR="00C55C09" w:rsidRPr="00C94556">
        <w:rPr>
          <w:rFonts w:cs="Arial"/>
          <w:szCs w:val="22"/>
          <w:lang w:val="en-US" w:eastAsia="de-DE"/>
        </w:rPr>
        <w:t>ecquerel) of the most significant radionuclides released;</w:t>
      </w:r>
    </w:p>
    <w:p w:rsidR="00C55C09" w:rsidRPr="00C94556" w:rsidRDefault="00BE6ACE" w:rsidP="00C94556">
      <w:pPr>
        <w:pStyle w:val="Paragraphedeliste"/>
        <w:numPr>
          <w:ilvl w:val="0"/>
          <w:numId w:val="30"/>
        </w:numPr>
        <w:autoSpaceDE w:val="0"/>
        <w:autoSpaceDN w:val="0"/>
        <w:adjustRightInd w:val="0"/>
        <w:spacing w:line="360" w:lineRule="auto"/>
        <w:jc w:val="left"/>
        <w:rPr>
          <w:rFonts w:cs="Arial"/>
          <w:szCs w:val="22"/>
          <w:lang w:val="en-US" w:eastAsia="de-DE"/>
        </w:rPr>
      </w:pPr>
      <w:r>
        <w:rPr>
          <w:rFonts w:cs="Arial"/>
          <w:szCs w:val="22"/>
          <w:lang w:val="en-US" w:eastAsia="de-DE"/>
        </w:rPr>
        <w:t>a</w:t>
      </w:r>
      <w:r w:rsidRPr="00C94556">
        <w:rPr>
          <w:rFonts w:cs="Arial"/>
          <w:szCs w:val="22"/>
          <w:lang w:val="en-US" w:eastAsia="de-DE"/>
        </w:rPr>
        <w:t xml:space="preserve">s </w:t>
      </w:r>
      <w:r w:rsidR="00C55C09" w:rsidRPr="00C94556">
        <w:rPr>
          <w:rFonts w:cs="Arial"/>
          <w:szCs w:val="22"/>
          <w:lang w:val="en-US" w:eastAsia="de-DE"/>
        </w:rPr>
        <w:t>a fraction of the inventory of the core;</w:t>
      </w:r>
    </w:p>
    <w:p w:rsidR="00C55C09" w:rsidRPr="00C94556" w:rsidRDefault="00BE6ACE" w:rsidP="00C94556">
      <w:pPr>
        <w:pStyle w:val="Paragraphedeliste"/>
        <w:numPr>
          <w:ilvl w:val="0"/>
          <w:numId w:val="30"/>
        </w:numPr>
        <w:autoSpaceDE w:val="0"/>
        <w:autoSpaceDN w:val="0"/>
        <w:adjustRightInd w:val="0"/>
        <w:spacing w:line="360" w:lineRule="auto"/>
        <w:jc w:val="left"/>
        <w:rPr>
          <w:rFonts w:cs="Arial"/>
          <w:szCs w:val="22"/>
          <w:lang w:val="en-US" w:eastAsia="de-DE"/>
        </w:rPr>
      </w:pPr>
      <w:r>
        <w:rPr>
          <w:rFonts w:cs="Arial"/>
          <w:szCs w:val="22"/>
          <w:lang w:val="en-US" w:eastAsia="de-DE"/>
        </w:rPr>
        <w:t>a</w:t>
      </w:r>
      <w:r w:rsidRPr="00C94556">
        <w:rPr>
          <w:rFonts w:cs="Arial"/>
          <w:szCs w:val="22"/>
          <w:lang w:val="en-US" w:eastAsia="de-DE"/>
        </w:rPr>
        <w:t xml:space="preserve">s </w:t>
      </w:r>
      <w:r w:rsidR="00C55C09" w:rsidRPr="00C94556">
        <w:rPr>
          <w:rFonts w:cs="Arial"/>
          <w:szCs w:val="22"/>
          <w:lang w:val="en-US" w:eastAsia="de-DE"/>
        </w:rPr>
        <w:t>a specified dose to the most exposed person off the site;</w:t>
      </w:r>
    </w:p>
    <w:p w:rsidR="00C55C09" w:rsidRPr="00C94556" w:rsidRDefault="00BE6ACE" w:rsidP="00C94556">
      <w:pPr>
        <w:pStyle w:val="Paragraphedeliste"/>
        <w:numPr>
          <w:ilvl w:val="0"/>
          <w:numId w:val="30"/>
        </w:numPr>
        <w:autoSpaceDE w:val="0"/>
        <w:autoSpaceDN w:val="0"/>
        <w:adjustRightInd w:val="0"/>
        <w:spacing w:line="360" w:lineRule="auto"/>
        <w:jc w:val="left"/>
        <w:rPr>
          <w:rFonts w:ascii="TimesNewRoman" w:hAnsi="TimesNewRoman" w:cs="TimesNewRoman"/>
          <w:sz w:val="21"/>
          <w:szCs w:val="21"/>
          <w:lang w:val="en-US" w:eastAsia="de-DE"/>
        </w:rPr>
      </w:pPr>
      <w:r>
        <w:rPr>
          <w:rFonts w:cs="Arial"/>
          <w:szCs w:val="22"/>
          <w:lang w:val="en-US" w:eastAsia="de-DE"/>
        </w:rPr>
        <w:t>a</w:t>
      </w:r>
      <w:r w:rsidRPr="00C94556">
        <w:rPr>
          <w:rFonts w:cs="Arial"/>
          <w:szCs w:val="22"/>
          <w:lang w:val="en-US" w:eastAsia="de-DE"/>
        </w:rPr>
        <w:t xml:space="preserve">s </w:t>
      </w:r>
      <w:r w:rsidR="00C55C09" w:rsidRPr="00C94556">
        <w:rPr>
          <w:rFonts w:cs="Arial"/>
          <w:szCs w:val="22"/>
          <w:lang w:val="en-US" w:eastAsia="de-DE"/>
        </w:rPr>
        <w:t>a release resulting in ‘unacceptable consequences’</w:t>
      </w:r>
      <w:r w:rsidR="00603165" w:rsidRPr="00C94556">
        <w:rPr>
          <w:rFonts w:ascii="TimesNewRoman" w:hAnsi="TimesNewRoman" w:cs="TimesNewRoman"/>
          <w:sz w:val="21"/>
          <w:szCs w:val="21"/>
          <w:lang w:val="en-US" w:eastAsia="de-DE"/>
        </w:rPr>
        <w:t>.</w:t>
      </w:r>
      <w:r w:rsidR="000848A7" w:rsidRPr="008C44DD">
        <w:rPr>
          <w:rFonts w:cs="TimesNewRoman"/>
          <w:szCs w:val="18"/>
          <w:lang w:val="en-US" w:eastAsia="de-DE"/>
        </w:rPr>
        <w:t>”</w:t>
      </w:r>
    </w:p>
    <w:p w:rsidR="008A42D3" w:rsidRPr="00313E82" w:rsidRDefault="008A42D3">
      <w:pPr>
        <w:rPr>
          <w:rFonts w:eastAsia="Batang"/>
          <w:lang w:val="en-US"/>
        </w:rPr>
      </w:pPr>
      <w:r w:rsidRPr="00C94556">
        <w:rPr>
          <w:rFonts w:eastAsia="Batang"/>
          <w:lang w:val="en-US"/>
        </w:rPr>
        <w:t xml:space="preserve">NEA </w:t>
      </w:r>
      <w:r w:rsidR="009E768B">
        <w:rPr>
          <w:rFonts w:eastAsia="Batang"/>
          <w:lang w:val="en-US"/>
        </w:rPr>
        <w:fldChar w:fldCharType="begin"/>
      </w:r>
      <w:r w:rsidR="00B726A4">
        <w:rPr>
          <w:rFonts w:eastAsia="Batang"/>
          <w:lang w:val="en-US"/>
        </w:rPr>
        <w:instrText xml:space="preserve"> REF _Ref414016455 \r \h </w:instrText>
      </w:r>
      <w:r w:rsidR="009E768B">
        <w:rPr>
          <w:rFonts w:eastAsia="Batang"/>
          <w:lang w:val="en-US"/>
        </w:rPr>
      </w:r>
      <w:r w:rsidR="009E768B">
        <w:rPr>
          <w:rFonts w:eastAsia="Batang"/>
          <w:lang w:val="en-US"/>
        </w:rPr>
        <w:fldChar w:fldCharType="separate"/>
      </w:r>
      <w:r w:rsidR="00B772CA">
        <w:rPr>
          <w:rFonts w:eastAsia="Batang"/>
          <w:lang w:val="en-US"/>
        </w:rPr>
        <w:t>[69]</w:t>
      </w:r>
      <w:r w:rsidR="009E768B">
        <w:rPr>
          <w:rFonts w:eastAsia="Batang"/>
          <w:lang w:val="en-US"/>
        </w:rPr>
        <w:fldChar w:fldCharType="end"/>
      </w:r>
      <w:r w:rsidR="00B726A4">
        <w:rPr>
          <w:rFonts w:eastAsia="Batang"/>
          <w:lang w:val="en-US"/>
        </w:rPr>
        <w:t xml:space="preserve"> </w:t>
      </w:r>
      <w:r w:rsidRPr="00313E82">
        <w:rPr>
          <w:rFonts w:eastAsia="Batang"/>
          <w:lang w:val="en-US"/>
        </w:rPr>
        <w:t>provides the following general definition: large release frequency (LRF) is expressed in terms of the quantity of radioactive elements such as I</w:t>
      </w:r>
      <w:r w:rsidR="00372FCE">
        <w:rPr>
          <w:rFonts w:eastAsia="Batang"/>
          <w:lang w:val="en-US"/>
        </w:rPr>
        <w:t>-</w:t>
      </w:r>
      <w:r w:rsidRPr="00313E82">
        <w:rPr>
          <w:rFonts w:eastAsia="Batang"/>
          <w:lang w:val="en-US"/>
        </w:rPr>
        <w:t>131 and Cs</w:t>
      </w:r>
      <w:r w:rsidR="00372FCE">
        <w:rPr>
          <w:rFonts w:eastAsia="Batang"/>
          <w:lang w:val="en-US"/>
        </w:rPr>
        <w:t>-</w:t>
      </w:r>
      <w:r w:rsidRPr="00313E82">
        <w:rPr>
          <w:rFonts w:eastAsia="Batang"/>
          <w:lang w:val="en-US"/>
        </w:rPr>
        <w:t>137 released to the atmosphere.</w:t>
      </w:r>
    </w:p>
    <w:p w:rsidR="00603165" w:rsidRPr="00C94556" w:rsidRDefault="00603165">
      <w:pPr>
        <w:autoSpaceDE w:val="0"/>
        <w:autoSpaceDN w:val="0"/>
        <w:adjustRightInd w:val="0"/>
        <w:spacing w:line="240" w:lineRule="auto"/>
        <w:jc w:val="left"/>
        <w:rPr>
          <w:rFonts w:ascii="TimesNewRoman" w:hAnsi="TimesNewRoman" w:cs="TimesNewRoman"/>
          <w:sz w:val="21"/>
          <w:szCs w:val="21"/>
          <w:lang w:val="en-US" w:eastAsia="de-DE"/>
        </w:rPr>
      </w:pPr>
    </w:p>
    <w:p w:rsidR="00603165" w:rsidRPr="00313E82" w:rsidRDefault="00A551AB" w:rsidP="00C94556">
      <w:pPr>
        <w:spacing w:line="360" w:lineRule="auto"/>
        <w:rPr>
          <w:rFonts w:eastAsia="Batang"/>
          <w:lang w:val="en-US"/>
        </w:rPr>
      </w:pPr>
      <w:r w:rsidRPr="00313E82">
        <w:rPr>
          <w:rFonts w:eastAsia="Batang"/>
          <w:lang w:val="en-US"/>
        </w:rPr>
        <w:t xml:space="preserve">There is a wide range of specific definitions for the </w:t>
      </w:r>
      <w:r w:rsidR="00C9608E" w:rsidRPr="00313E82">
        <w:rPr>
          <w:rFonts w:eastAsia="Batang"/>
          <w:lang w:val="en-US"/>
        </w:rPr>
        <w:t>large release</w:t>
      </w:r>
      <w:r w:rsidRPr="00313E82">
        <w:rPr>
          <w:rFonts w:eastAsia="Batang"/>
          <w:lang w:val="en-US"/>
        </w:rPr>
        <w:t xml:space="preserve"> metric</w:t>
      </w:r>
      <w:r w:rsidR="00603165" w:rsidRPr="00313E82">
        <w:rPr>
          <w:rFonts w:eastAsia="Batang"/>
          <w:lang w:val="en-US"/>
        </w:rPr>
        <w:t>,</w:t>
      </w:r>
      <w:r w:rsidRPr="00313E82">
        <w:rPr>
          <w:rFonts w:eastAsia="Batang"/>
          <w:lang w:val="en-US"/>
        </w:rPr>
        <w:t xml:space="preserve"> e.g.</w:t>
      </w:r>
      <w:r w:rsidR="00C55C09" w:rsidRPr="00313E82" w:rsidDel="00C55C09">
        <w:rPr>
          <w:rFonts w:eastAsia="Batang"/>
          <w:lang w:val="en-US"/>
        </w:rPr>
        <w:t xml:space="preserve"> </w:t>
      </w:r>
    </w:p>
    <w:p w:rsidR="00DA0682"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t xml:space="preserve">AREVA: </w:t>
      </w:r>
      <w:r w:rsidR="00D76940" w:rsidRPr="00313E82">
        <w:rPr>
          <w:rFonts w:eastAsia="Batang"/>
          <w:lang w:val="en-US"/>
        </w:rPr>
        <w:t>More tha</w:t>
      </w:r>
      <w:r w:rsidRPr="00313E82">
        <w:rPr>
          <w:rFonts w:eastAsia="Batang"/>
          <w:lang w:val="en-US"/>
        </w:rPr>
        <w:t xml:space="preserve">n 100 TBq of </w:t>
      </w:r>
      <w:r w:rsidR="00993B7F" w:rsidRPr="00313E82">
        <w:rPr>
          <w:rFonts w:eastAsia="Batang"/>
          <w:lang w:val="en-US"/>
        </w:rPr>
        <w:t>Cs</w:t>
      </w:r>
      <w:r w:rsidR="00372FCE">
        <w:rPr>
          <w:rFonts w:eastAsia="Batang"/>
          <w:lang w:val="en-US"/>
        </w:rPr>
        <w:t>-</w:t>
      </w:r>
      <w:r w:rsidR="00993B7F" w:rsidRPr="00313E82">
        <w:rPr>
          <w:rFonts w:eastAsia="Batang"/>
          <w:lang w:val="en-US"/>
        </w:rPr>
        <w:t>137</w:t>
      </w:r>
      <w:r w:rsidRPr="00313E82">
        <w:rPr>
          <w:rFonts w:eastAsia="Batang"/>
          <w:lang w:val="en-US"/>
        </w:rPr>
        <w:t xml:space="preserve"> including dose weighted</w:t>
      </w:r>
      <w:r w:rsidR="00DA0682" w:rsidRPr="00313E82">
        <w:rPr>
          <w:rFonts w:eastAsia="Batang"/>
          <w:lang w:val="en-US"/>
        </w:rPr>
        <w:t xml:space="preserve"> contribution of other elements,</w:t>
      </w:r>
    </w:p>
    <w:p w:rsidR="0025176E"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t>LEI</w:t>
      </w:r>
      <w:r w:rsidR="00DA0682" w:rsidRPr="00313E82">
        <w:rPr>
          <w:rFonts w:eastAsia="Batang"/>
          <w:lang w:val="en-US"/>
        </w:rPr>
        <w:t xml:space="preserve">: </w:t>
      </w:r>
      <w:r w:rsidR="00D76940" w:rsidRPr="00313E82">
        <w:rPr>
          <w:rFonts w:eastAsia="Batang"/>
          <w:lang w:val="en-US"/>
        </w:rPr>
        <w:t>More tha</w:t>
      </w:r>
      <w:r w:rsidRPr="00313E82">
        <w:rPr>
          <w:rFonts w:eastAsia="Batang"/>
          <w:lang w:val="en-US"/>
        </w:rPr>
        <w:t>n 5% of iodine and caesium</w:t>
      </w:r>
      <w:r w:rsidR="00DA0682" w:rsidRPr="00313E82">
        <w:rPr>
          <w:rFonts w:eastAsia="Batang"/>
          <w:lang w:val="en-US"/>
        </w:rPr>
        <w:t>,</w:t>
      </w:r>
    </w:p>
    <w:p w:rsidR="0025176E"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lastRenderedPageBreak/>
        <w:t>Dukovany NPP (UJV</w:t>
      </w:r>
      <w:r w:rsidR="00DA0682" w:rsidRPr="00313E82">
        <w:rPr>
          <w:rFonts w:eastAsia="Batang"/>
          <w:lang w:val="en-US"/>
        </w:rPr>
        <w:t>, Czech Republic</w:t>
      </w:r>
      <w:r w:rsidRPr="00313E82">
        <w:rPr>
          <w:rFonts w:eastAsia="Batang"/>
          <w:lang w:val="en-US"/>
        </w:rPr>
        <w:t>): &gt;1% of Cs</w:t>
      </w:r>
      <w:r w:rsidR="00372FCE">
        <w:rPr>
          <w:rFonts w:eastAsia="Batang"/>
          <w:lang w:val="en-US"/>
        </w:rPr>
        <w:t>-</w:t>
      </w:r>
      <w:r w:rsidRPr="00313E82">
        <w:rPr>
          <w:rFonts w:eastAsia="Batang"/>
          <w:lang w:val="en-US"/>
        </w:rPr>
        <w:t xml:space="preserve">137 of the core inventory </w:t>
      </w:r>
      <w:r w:rsidR="00DA0682" w:rsidRPr="00313E82">
        <w:rPr>
          <w:rFonts w:eastAsia="Batang"/>
          <w:lang w:val="en-US"/>
        </w:rPr>
        <w:t xml:space="preserve">(responding approximately to 10 000 TBq) </w:t>
      </w:r>
      <w:r w:rsidRPr="00313E82">
        <w:rPr>
          <w:rFonts w:eastAsia="Batang"/>
          <w:lang w:val="en-US"/>
        </w:rPr>
        <w:t>released to the environm</w:t>
      </w:r>
      <w:r w:rsidR="00DA0682" w:rsidRPr="00313E82">
        <w:rPr>
          <w:rFonts w:eastAsia="Batang"/>
          <w:lang w:val="en-US"/>
        </w:rPr>
        <w:t>ent,</w:t>
      </w:r>
    </w:p>
    <w:p w:rsidR="0025176E"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t>Temelin NPP</w:t>
      </w:r>
      <w:r w:rsidR="00DA0682" w:rsidRPr="00313E82">
        <w:rPr>
          <w:rFonts w:eastAsia="Batang"/>
          <w:lang w:val="en-US"/>
        </w:rPr>
        <w:t xml:space="preserve"> (Czech Republic)</w:t>
      </w:r>
      <w:r w:rsidRPr="00313E82">
        <w:rPr>
          <w:rFonts w:eastAsia="Batang"/>
          <w:lang w:val="en-US"/>
        </w:rPr>
        <w:t xml:space="preserve">: fission product fraction released through large opening in the </w:t>
      </w:r>
      <w:r w:rsidR="00DA0682" w:rsidRPr="00313E82">
        <w:rPr>
          <w:rFonts w:eastAsia="Batang"/>
          <w:lang w:val="en-US"/>
        </w:rPr>
        <w:t>containment to the environment,</w:t>
      </w:r>
    </w:p>
    <w:p w:rsidR="00DA0682"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t>Mochovce NPP (VUJE</w:t>
      </w:r>
      <w:r w:rsidR="00DA0682" w:rsidRPr="00313E82">
        <w:rPr>
          <w:rFonts w:eastAsia="Batang"/>
          <w:lang w:val="en-US"/>
        </w:rPr>
        <w:t>, Slovak Republic</w:t>
      </w:r>
      <w:r w:rsidRPr="00313E82">
        <w:rPr>
          <w:rFonts w:eastAsia="Batang"/>
          <w:lang w:val="en-US"/>
        </w:rPr>
        <w:t>): &gt; 3% of volatiles released to the environment</w:t>
      </w:r>
      <w:r w:rsidR="00DA0682" w:rsidRPr="00313E82">
        <w:rPr>
          <w:rFonts w:eastAsia="Batang"/>
          <w:lang w:val="en-US"/>
        </w:rPr>
        <w:t>,</w:t>
      </w:r>
    </w:p>
    <w:p w:rsidR="0025176E"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t>Bohunice NPP (Relko</w:t>
      </w:r>
      <w:r w:rsidR="00DA0682" w:rsidRPr="00313E82">
        <w:rPr>
          <w:rFonts w:eastAsia="Batang"/>
          <w:lang w:val="en-US"/>
        </w:rPr>
        <w:t>, Slovak Republic</w:t>
      </w:r>
      <w:r w:rsidRPr="00313E82">
        <w:rPr>
          <w:rFonts w:eastAsia="Batang"/>
          <w:lang w:val="en-US"/>
        </w:rPr>
        <w:t>): &gt; 1% of Cs</w:t>
      </w:r>
      <w:r w:rsidR="00372FCE">
        <w:rPr>
          <w:rFonts w:eastAsia="Batang"/>
          <w:lang w:val="en-US"/>
        </w:rPr>
        <w:t>-</w:t>
      </w:r>
      <w:r w:rsidRPr="00313E82">
        <w:rPr>
          <w:rFonts w:eastAsia="Batang"/>
          <w:lang w:val="en-US"/>
        </w:rPr>
        <w:t>137 released from the core inventory to the environment</w:t>
      </w:r>
      <w:r w:rsidR="00271E5C">
        <w:rPr>
          <w:rFonts w:eastAsia="Batang"/>
          <w:lang w:val="en-US"/>
        </w:rPr>
        <w:t>,</w:t>
      </w:r>
    </w:p>
    <w:p w:rsidR="00A551AB" w:rsidRPr="00313E82" w:rsidRDefault="0025176E" w:rsidP="00C94556">
      <w:pPr>
        <w:pStyle w:val="Paragraphedeliste"/>
        <w:numPr>
          <w:ilvl w:val="0"/>
          <w:numId w:val="22"/>
        </w:numPr>
        <w:spacing w:line="360" w:lineRule="auto"/>
        <w:rPr>
          <w:rFonts w:eastAsia="Batang"/>
          <w:lang w:val="en-US"/>
        </w:rPr>
      </w:pPr>
      <w:r w:rsidRPr="00313E82">
        <w:rPr>
          <w:rFonts w:eastAsia="Batang"/>
          <w:lang w:val="en-US"/>
        </w:rPr>
        <w:t>Paks NPP (VEIKI</w:t>
      </w:r>
      <w:r w:rsidR="00DA0682" w:rsidRPr="00313E82">
        <w:rPr>
          <w:rFonts w:eastAsia="Batang"/>
          <w:lang w:val="en-US"/>
        </w:rPr>
        <w:t>, Hungary</w:t>
      </w:r>
      <w:r w:rsidRPr="00313E82">
        <w:rPr>
          <w:rFonts w:eastAsia="Batang"/>
          <w:lang w:val="en-US"/>
        </w:rPr>
        <w:t>): Large</w:t>
      </w:r>
      <w:r w:rsidR="00DA0682" w:rsidRPr="00313E82">
        <w:rPr>
          <w:rFonts w:eastAsia="Batang"/>
          <w:lang w:val="en-US"/>
        </w:rPr>
        <w:t xml:space="preserve"> release</w:t>
      </w:r>
      <w:r w:rsidRPr="00313E82">
        <w:rPr>
          <w:rFonts w:eastAsia="Batang"/>
          <w:lang w:val="en-US"/>
        </w:rPr>
        <w:t xml:space="preserve"> &gt;10000 TBq</w:t>
      </w:r>
      <w:r w:rsidR="00A551AB" w:rsidRPr="00313E82">
        <w:rPr>
          <w:rFonts w:eastAsia="Batang"/>
          <w:lang w:val="en-US"/>
        </w:rPr>
        <w:t>,</w:t>
      </w:r>
    </w:p>
    <w:p w:rsidR="00832204" w:rsidRDefault="00832204" w:rsidP="00832204">
      <w:pPr>
        <w:pStyle w:val="Paragraphedeliste"/>
        <w:numPr>
          <w:ilvl w:val="0"/>
          <w:numId w:val="22"/>
        </w:numPr>
        <w:spacing w:line="360" w:lineRule="auto"/>
        <w:rPr>
          <w:rFonts w:eastAsia="Batang"/>
          <w:lang w:val="en-US"/>
        </w:rPr>
      </w:pPr>
      <w:r>
        <w:rPr>
          <w:rFonts w:eastAsia="Batang"/>
          <w:lang w:val="en-US"/>
        </w:rPr>
        <w:t xml:space="preserve">French 900, 1300, 1450 MWe PWRs before </w:t>
      </w:r>
      <w:r w:rsidR="002B7C55">
        <w:rPr>
          <w:rFonts w:eastAsia="Batang"/>
          <w:lang w:val="en-US"/>
        </w:rPr>
        <w:t>Long Term Operation (</w:t>
      </w:r>
      <w:r>
        <w:rPr>
          <w:rFonts w:eastAsia="Batang"/>
          <w:lang w:val="en-US"/>
        </w:rPr>
        <w:t>LTO</w:t>
      </w:r>
      <w:r w:rsidR="002B7C55">
        <w:rPr>
          <w:rFonts w:eastAsia="Batang"/>
          <w:lang w:val="en-US"/>
        </w:rPr>
        <w:t>)</w:t>
      </w:r>
      <w:r>
        <w:rPr>
          <w:rFonts w:eastAsia="Batang"/>
          <w:lang w:val="en-US"/>
        </w:rPr>
        <w:t xml:space="preserve"> upgrade: release amount exceeding those induced by a late containment filtered venting during a severe accident,</w:t>
      </w:r>
    </w:p>
    <w:p w:rsidR="00932BC8" w:rsidRPr="00472CBD" w:rsidRDefault="00932BC8" w:rsidP="00932BC8">
      <w:pPr>
        <w:pStyle w:val="Paragraphedeliste"/>
        <w:numPr>
          <w:ilvl w:val="0"/>
          <w:numId w:val="22"/>
        </w:numPr>
        <w:spacing w:line="360" w:lineRule="auto"/>
        <w:rPr>
          <w:rFonts w:eastAsia="Batang"/>
          <w:lang w:val="en-US"/>
        </w:rPr>
      </w:pPr>
      <w:r w:rsidRPr="00472CBD">
        <w:rPr>
          <w:rFonts w:eastAsia="Batang"/>
          <w:lang w:val="en-US"/>
        </w:rPr>
        <w:t>In Ukraine, large release is defined as requiring public evacuation at the boundary of the protection area.</w:t>
      </w:r>
    </w:p>
    <w:p w:rsidR="00A551AB" w:rsidRPr="003B4CC1" w:rsidRDefault="00A551AB" w:rsidP="00C94556">
      <w:pPr>
        <w:pStyle w:val="Paragraphedeliste"/>
        <w:spacing w:line="360" w:lineRule="auto"/>
        <w:ind w:left="360"/>
        <w:rPr>
          <w:rFonts w:eastAsia="Batang"/>
          <w:lang w:val="en-US"/>
        </w:rPr>
      </w:pPr>
    </w:p>
    <w:p w:rsidR="003B4CC1" w:rsidRDefault="002D3561" w:rsidP="003B4CC1">
      <w:pPr>
        <w:spacing w:line="360" w:lineRule="auto"/>
        <w:rPr>
          <w:rFonts w:eastAsia="Batang"/>
          <w:lang w:val="en-US"/>
        </w:rPr>
      </w:pPr>
      <w:r>
        <w:rPr>
          <w:rFonts w:eastAsia="Batang"/>
          <w:lang w:val="en-US"/>
        </w:rPr>
        <w:t>The specific threshold for a large release depends on two judgments: First, on what constitutes an unacceptable accidental release, and second on what would necessitate (relevant) off-site emergency measures</w:t>
      </w:r>
      <w:r w:rsidR="003B4CC1">
        <w:rPr>
          <w:rFonts w:eastAsia="Batang"/>
          <w:lang w:val="en-US"/>
        </w:rPr>
        <w:t xml:space="preserve"> more specifically the following statements can be proposed:</w:t>
      </w:r>
    </w:p>
    <w:p w:rsidR="003B4CC1" w:rsidRDefault="003B4CC1" w:rsidP="003B4CC1">
      <w:pPr>
        <w:pStyle w:val="Paragraphedeliste"/>
        <w:numPr>
          <w:ilvl w:val="0"/>
          <w:numId w:val="86"/>
        </w:numPr>
        <w:spacing w:line="360" w:lineRule="auto"/>
        <w:rPr>
          <w:rFonts w:eastAsia="Batang"/>
          <w:lang w:val="en-US"/>
        </w:rPr>
      </w:pPr>
      <w:r>
        <w:rPr>
          <w:rFonts w:eastAsia="Batang"/>
          <w:lang w:val="en-US"/>
        </w:rPr>
        <w:t>the specific threshold for large release for one NPP shall be consistent with the general safety objectives defined for this NPP,</w:t>
      </w:r>
    </w:p>
    <w:p w:rsidR="003B4CC1" w:rsidRDefault="003B4CC1" w:rsidP="003B4CC1">
      <w:pPr>
        <w:pStyle w:val="Paragraphedeliste"/>
        <w:numPr>
          <w:ilvl w:val="0"/>
          <w:numId w:val="86"/>
        </w:numPr>
        <w:spacing w:line="360" w:lineRule="auto"/>
        <w:rPr>
          <w:rFonts w:eastAsia="Batang"/>
          <w:lang w:val="en-US"/>
        </w:rPr>
      </w:pPr>
      <w:r>
        <w:rPr>
          <w:rFonts w:eastAsia="Batang"/>
          <w:lang w:val="en-US"/>
        </w:rPr>
        <w:t>for each NPP, the general safety objectives associated to severe accident management shall include an objective of limitation in space and time of off-site protective measures (this is the main objective of severe accident management strategies),</w:t>
      </w:r>
    </w:p>
    <w:p w:rsidR="003B4CC1" w:rsidRDefault="003B4CC1" w:rsidP="003B4CC1">
      <w:pPr>
        <w:pStyle w:val="Paragraphedeliste"/>
        <w:numPr>
          <w:ilvl w:val="0"/>
          <w:numId w:val="86"/>
        </w:numPr>
        <w:spacing w:line="360" w:lineRule="auto"/>
        <w:rPr>
          <w:rFonts w:eastAsia="Batang"/>
          <w:lang w:val="en-US"/>
        </w:rPr>
      </w:pPr>
      <w:r>
        <w:rPr>
          <w:rFonts w:eastAsia="Batang"/>
          <w:lang w:val="en-US"/>
        </w:rPr>
        <w:t>the specific threshold for large release is in general lower for the more recent NPPs (typically Gen III NPP) or for the Gen II NPP which have been specifically upgraded for severe accident management</w:t>
      </w:r>
      <w:r w:rsidR="00975372">
        <w:rPr>
          <w:rFonts w:eastAsia="Batang"/>
          <w:lang w:val="en-US"/>
        </w:rPr>
        <w:t>.</w:t>
      </w:r>
    </w:p>
    <w:p w:rsidR="003B4CC1" w:rsidRPr="00975372" w:rsidRDefault="00975372" w:rsidP="00B76953">
      <w:pPr>
        <w:spacing w:line="360" w:lineRule="auto"/>
        <w:rPr>
          <w:rFonts w:eastAsia="Batang"/>
          <w:lang w:val="en-US"/>
        </w:rPr>
      </w:pPr>
      <w:r>
        <w:rPr>
          <w:rFonts w:eastAsia="Batang"/>
          <w:lang w:val="en-US"/>
        </w:rPr>
        <w:t>H</w:t>
      </w:r>
      <w:r w:rsidR="003B4CC1" w:rsidRPr="00975372">
        <w:rPr>
          <w:rFonts w:eastAsia="Batang"/>
          <w:lang w:val="en-US"/>
        </w:rPr>
        <w:t xml:space="preserve">armonization of </w:t>
      </w:r>
      <w:r>
        <w:rPr>
          <w:rFonts w:eastAsia="Batang"/>
          <w:lang w:val="en-US"/>
        </w:rPr>
        <w:t>a</w:t>
      </w:r>
      <w:r w:rsidRPr="00975372">
        <w:rPr>
          <w:rFonts w:eastAsia="Batang"/>
          <w:lang w:val="en-US"/>
        </w:rPr>
        <w:t xml:space="preserve"> </w:t>
      </w:r>
      <w:r w:rsidR="003B4CC1" w:rsidRPr="00975372">
        <w:rPr>
          <w:rFonts w:eastAsia="Batang"/>
          <w:lang w:val="en-US"/>
        </w:rPr>
        <w:t xml:space="preserve">specific threshold of large release (numerical values) </w:t>
      </w:r>
      <w:r w:rsidR="004E2014" w:rsidRPr="00975372">
        <w:rPr>
          <w:rFonts w:eastAsia="Batang"/>
          <w:lang w:val="en-US"/>
        </w:rPr>
        <w:t>does not exist</w:t>
      </w:r>
      <w:r w:rsidR="003B4CC1" w:rsidRPr="00975372">
        <w:rPr>
          <w:rFonts w:eastAsia="Batang"/>
          <w:lang w:val="en-US"/>
        </w:rPr>
        <w:t>.</w:t>
      </w:r>
    </w:p>
    <w:p w:rsidR="00A551AB" w:rsidRPr="00313E82" w:rsidRDefault="00A551AB" w:rsidP="00C94556">
      <w:pPr>
        <w:spacing w:line="360" w:lineRule="auto"/>
        <w:rPr>
          <w:rFonts w:eastAsia="Batang"/>
          <w:lang w:val="en-US"/>
        </w:rPr>
      </w:pPr>
      <w:r w:rsidRPr="00313E82">
        <w:rPr>
          <w:rFonts w:eastAsia="Batang"/>
          <w:lang w:val="en-US"/>
        </w:rPr>
        <w:t xml:space="preserve">The risk </w:t>
      </w:r>
      <w:r w:rsidR="004E2014">
        <w:rPr>
          <w:rFonts w:eastAsia="Batang"/>
          <w:lang w:val="en-US"/>
        </w:rPr>
        <w:t>measure</w:t>
      </w:r>
      <w:r w:rsidR="004E2014" w:rsidRPr="00313E82">
        <w:rPr>
          <w:rFonts w:eastAsia="Batang"/>
          <w:lang w:val="en-US"/>
        </w:rPr>
        <w:t xml:space="preserve"> </w:t>
      </w:r>
      <w:r w:rsidRPr="00313E82">
        <w:rPr>
          <w:rFonts w:eastAsia="Batang"/>
          <w:lang w:val="en-US"/>
        </w:rPr>
        <w:t xml:space="preserve">is usually applied to (end-) states in the </w:t>
      </w:r>
      <w:r w:rsidR="001F55EF">
        <w:rPr>
          <w:rFonts w:eastAsia="Batang"/>
          <w:lang w:val="en-US"/>
        </w:rPr>
        <w:t xml:space="preserve">PSA Level 2 </w:t>
      </w:r>
      <w:r w:rsidRPr="00313E82">
        <w:rPr>
          <w:rFonts w:eastAsia="Batang"/>
          <w:lang w:val="en-US"/>
        </w:rPr>
        <w:t xml:space="preserve">risk model (i.e. a consequence). </w:t>
      </w:r>
    </w:p>
    <w:p w:rsidR="006E2DFF" w:rsidRPr="00313E82" w:rsidRDefault="006E2DFF" w:rsidP="00C94556">
      <w:pPr>
        <w:spacing w:line="360" w:lineRule="auto"/>
        <w:rPr>
          <w:rFonts w:eastAsia="Batang"/>
          <w:lang w:val="en-US"/>
        </w:rPr>
      </w:pPr>
      <w:r w:rsidRPr="00313E82">
        <w:rPr>
          <w:rFonts w:eastAsia="Batang"/>
          <w:lang w:val="en-US"/>
        </w:rPr>
        <w:t xml:space="preserve">Iodine 131 is usually selected as a representative </w:t>
      </w:r>
      <w:r w:rsidR="001F55EF">
        <w:rPr>
          <w:rFonts w:eastAsia="Batang"/>
          <w:lang w:val="en-US"/>
        </w:rPr>
        <w:t>isotop</w:t>
      </w:r>
      <w:r w:rsidR="00967803">
        <w:rPr>
          <w:rFonts w:eastAsia="Batang"/>
          <w:lang w:val="en-US"/>
        </w:rPr>
        <w:t>e</w:t>
      </w:r>
      <w:r w:rsidR="001F55EF">
        <w:rPr>
          <w:rFonts w:eastAsia="Batang"/>
          <w:lang w:val="en-US"/>
        </w:rPr>
        <w:t xml:space="preserve"> for</w:t>
      </w:r>
      <w:r w:rsidRPr="00313E82">
        <w:rPr>
          <w:rFonts w:eastAsia="Batang"/>
          <w:lang w:val="en-US"/>
        </w:rPr>
        <w:t xml:space="preserve"> early </w:t>
      </w:r>
      <w:r w:rsidR="002F4128">
        <w:rPr>
          <w:rFonts w:eastAsia="Batang"/>
          <w:lang w:val="en-US"/>
        </w:rPr>
        <w:t>consequences</w:t>
      </w:r>
      <w:r w:rsidR="002F4128" w:rsidRPr="00313E82">
        <w:rPr>
          <w:rFonts w:eastAsia="Batang"/>
          <w:lang w:val="en-US"/>
        </w:rPr>
        <w:t xml:space="preserve"> </w:t>
      </w:r>
      <w:r w:rsidRPr="00313E82">
        <w:rPr>
          <w:rFonts w:eastAsia="Batang"/>
          <w:lang w:val="en-US"/>
        </w:rPr>
        <w:t xml:space="preserve">due to </w:t>
      </w:r>
      <w:r w:rsidR="001F55EF">
        <w:rPr>
          <w:rFonts w:eastAsia="Batang"/>
          <w:lang w:val="en-US"/>
        </w:rPr>
        <w:t xml:space="preserve">its </w:t>
      </w:r>
      <w:r w:rsidRPr="00313E82">
        <w:rPr>
          <w:rFonts w:eastAsia="Batang"/>
          <w:lang w:val="en-US"/>
        </w:rPr>
        <w:t>8-day half-life and serious health impact</w:t>
      </w:r>
      <w:r w:rsidR="001F55EF">
        <w:rPr>
          <w:rFonts w:eastAsia="Batang"/>
          <w:lang w:val="en-US"/>
        </w:rPr>
        <w:t xml:space="preserve"> if </w:t>
      </w:r>
      <w:r w:rsidR="00F17408">
        <w:rPr>
          <w:rFonts w:eastAsia="Batang"/>
          <w:lang w:val="en-US"/>
        </w:rPr>
        <w:t>digested</w:t>
      </w:r>
      <w:r w:rsidR="001F55EF">
        <w:rPr>
          <w:rFonts w:eastAsia="Batang"/>
          <w:lang w:val="en-US"/>
        </w:rPr>
        <w:t>.</w:t>
      </w:r>
    </w:p>
    <w:p w:rsidR="00A551AB" w:rsidRPr="00313E82" w:rsidRDefault="006E2DFF">
      <w:pPr>
        <w:rPr>
          <w:rFonts w:eastAsia="Batang"/>
          <w:lang w:val="en-US"/>
        </w:rPr>
      </w:pPr>
      <w:r w:rsidRPr="00313E82">
        <w:rPr>
          <w:rFonts w:eastAsia="Batang"/>
          <w:lang w:val="en-US"/>
        </w:rPr>
        <w:t xml:space="preserve">Caesium 137 is usually selected as a representative of total long-term </w:t>
      </w:r>
      <w:r w:rsidR="002F4128">
        <w:rPr>
          <w:rFonts w:eastAsia="Batang"/>
          <w:lang w:val="en-US"/>
        </w:rPr>
        <w:t>consequences</w:t>
      </w:r>
      <w:r w:rsidR="002F4128" w:rsidRPr="00313E82">
        <w:rPr>
          <w:rFonts w:eastAsia="Batang"/>
          <w:lang w:val="en-US"/>
        </w:rPr>
        <w:t xml:space="preserve"> </w:t>
      </w:r>
      <w:r w:rsidRPr="00313E82">
        <w:rPr>
          <w:rFonts w:eastAsia="Batang"/>
          <w:lang w:val="en-US"/>
        </w:rPr>
        <w:t>due to 30-year half-life and serious environmental impact (soil contamination).</w:t>
      </w:r>
    </w:p>
    <w:p w:rsidR="00D11068" w:rsidRDefault="001F55EF">
      <w:pPr>
        <w:rPr>
          <w:rFonts w:eastAsia="Batang"/>
          <w:lang w:val="en-US"/>
        </w:rPr>
      </w:pPr>
      <w:r>
        <w:rPr>
          <w:rFonts w:eastAsia="Batang"/>
          <w:lang w:val="en-US"/>
        </w:rPr>
        <w:t xml:space="preserve">Both I-131 and Cs-137 (as CsI) are significant contributors to the group of volatiles (beyond noble gases) for enriched uranium as well as mixed oxide (U/Pu) based reactor fuels. </w:t>
      </w:r>
    </w:p>
    <w:p w:rsidR="004942AC" w:rsidRDefault="004942AC">
      <w:pPr>
        <w:rPr>
          <w:rFonts w:eastAsia="Batang"/>
          <w:lang w:val="en-US"/>
        </w:rPr>
      </w:pPr>
      <w:r>
        <w:rPr>
          <w:rFonts w:eastAsia="Batang"/>
          <w:lang w:val="en-US"/>
        </w:rPr>
        <w:t xml:space="preserve">For severe accident scenarios, there will typically be a high initial release in the first hours, days, or even weeks of the accident, c.f. e.g. </w:t>
      </w:r>
      <w:r w:rsidR="009E768B">
        <w:rPr>
          <w:rFonts w:eastAsia="Batang"/>
          <w:lang w:val="en-US"/>
        </w:rPr>
        <w:fldChar w:fldCharType="begin"/>
      </w:r>
      <w:r>
        <w:rPr>
          <w:rFonts w:eastAsia="Batang"/>
          <w:lang w:val="en-US"/>
        </w:rPr>
        <w:instrText xml:space="preserve"> REF _Ref444589991 \r \h </w:instrText>
      </w:r>
      <w:r w:rsidR="009E768B">
        <w:rPr>
          <w:rFonts w:eastAsia="Batang"/>
          <w:lang w:val="en-US"/>
        </w:rPr>
      </w:r>
      <w:r w:rsidR="009E768B">
        <w:rPr>
          <w:rFonts w:eastAsia="Batang"/>
          <w:lang w:val="en-US"/>
        </w:rPr>
        <w:fldChar w:fldCharType="separate"/>
      </w:r>
      <w:r w:rsidR="00B772CA">
        <w:rPr>
          <w:rFonts w:eastAsia="Batang"/>
          <w:lang w:val="en-US"/>
        </w:rPr>
        <w:t>[109]</w:t>
      </w:r>
      <w:r w:rsidR="009E768B">
        <w:rPr>
          <w:rFonts w:eastAsia="Batang"/>
          <w:lang w:val="en-US"/>
        </w:rPr>
        <w:fldChar w:fldCharType="end"/>
      </w:r>
      <w:r>
        <w:rPr>
          <w:rFonts w:eastAsia="Batang"/>
          <w:lang w:val="en-US"/>
        </w:rPr>
        <w:t>. On a long time scale, there will typically still be releases, but these will usually be irrelevant for the total amount of releases. It is therefore justified to define a reference time T</w:t>
      </w:r>
      <w:r w:rsidRPr="00C94556">
        <w:rPr>
          <w:rFonts w:eastAsia="Batang"/>
          <w:vertAlign w:val="subscript"/>
          <w:lang w:val="en-US"/>
        </w:rPr>
        <w:t>ref</w:t>
      </w:r>
      <w:r>
        <w:rPr>
          <w:rFonts w:eastAsia="Batang"/>
          <w:lang w:val="en-US"/>
        </w:rPr>
        <w:t xml:space="preserve">, at which further releases </w:t>
      </w:r>
      <w:r w:rsidR="002F4128">
        <w:rPr>
          <w:rFonts w:eastAsia="Batang"/>
          <w:lang w:val="en-US"/>
        </w:rPr>
        <w:t>from</w:t>
      </w:r>
      <w:r>
        <w:rPr>
          <w:rFonts w:eastAsia="Batang"/>
          <w:lang w:val="en-US"/>
        </w:rPr>
        <w:t xml:space="preserve"> the site is </w:t>
      </w:r>
      <w:r w:rsidR="004068E9">
        <w:rPr>
          <w:rFonts w:eastAsia="Batang"/>
          <w:lang w:val="en-US"/>
        </w:rPr>
        <w:t>in</w:t>
      </w:r>
      <w:r>
        <w:rPr>
          <w:rFonts w:eastAsia="Batang"/>
          <w:lang w:val="en-US"/>
        </w:rPr>
        <w:t xml:space="preserve">effective. </w:t>
      </w:r>
      <w:r w:rsidR="00DE39F4">
        <w:rPr>
          <w:rFonts w:eastAsia="Batang"/>
          <w:lang w:val="en-US"/>
        </w:rPr>
        <w:t>Assuming a representative source term is assigned to a sequence and that this is independent of the time of the initiating event, then this source term can be integrated over this reference time (see also Appendix A).</w:t>
      </w:r>
    </w:p>
    <w:p w:rsidR="006E2DFF" w:rsidRPr="006459B3" w:rsidRDefault="0043746A">
      <w:pPr>
        <w:rPr>
          <w:rFonts w:eastAsia="Batang"/>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eastAsia="Batang" w:hAnsi="Cambria Math"/>
              <w:lang w:val="en-US"/>
            </w:rPr>
            <m:t>=</m:t>
          </m:r>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ref</m:t>
                  </m:r>
                </m:sub>
              </m:s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0,τ</m:t>
                  </m:r>
                </m:e>
              </m:d>
              <m:r>
                <w:rPr>
                  <w:rFonts w:ascii="Cambria Math" w:hAnsi="Cambria Math"/>
                  <w:lang w:val="en-US"/>
                </w:rPr>
                <m:t>dτ</m:t>
              </m:r>
            </m:e>
          </m:nary>
        </m:oMath>
      </m:oMathPara>
    </w:p>
    <w:p w:rsidR="006459B3" w:rsidRDefault="00E77655">
      <w:pPr>
        <w:rPr>
          <w:rFonts w:eastAsia="Batang"/>
          <w:lang w:val="en-US"/>
        </w:rPr>
      </w:pPr>
      <w:r>
        <w:rPr>
          <w:rFonts w:eastAsia="Batang"/>
          <w:lang w:val="en-US"/>
        </w:rPr>
        <w:t>T</w:t>
      </w:r>
      <w:r w:rsidR="006459B3">
        <w:rPr>
          <w:rFonts w:eastAsia="Batang"/>
          <w:lang w:val="en-US"/>
        </w:rPr>
        <w:t>he value of T</w:t>
      </w:r>
      <w:r w:rsidR="006459B3" w:rsidRPr="007D7B2D">
        <w:rPr>
          <w:rFonts w:eastAsia="Batang"/>
          <w:vertAlign w:val="subscript"/>
          <w:lang w:val="en-US"/>
        </w:rPr>
        <w:t>ref</w:t>
      </w:r>
      <w:r w:rsidR="006459B3">
        <w:rPr>
          <w:rFonts w:eastAsia="Batang"/>
          <w:vertAlign w:val="subscript"/>
          <w:lang w:val="en-US"/>
        </w:rPr>
        <w:t xml:space="preserve"> </w:t>
      </w:r>
      <w:r w:rsidR="006459B3">
        <w:rPr>
          <w:rFonts w:eastAsia="Batang"/>
          <w:lang w:val="en-US"/>
        </w:rPr>
        <w:t>needs to be chosen in such a way that the significant part of the release has already happene</w:t>
      </w:r>
      <w:r w:rsidR="00884179">
        <w:rPr>
          <w:rFonts w:eastAsia="Batang"/>
          <w:lang w:val="en-US"/>
        </w:rPr>
        <w:t>d (e.g.</w:t>
      </w:r>
      <w:r w:rsidR="006459B3">
        <w:rPr>
          <w:rFonts w:eastAsia="Batang"/>
          <w:lang w:val="en-US"/>
        </w:rPr>
        <w:t xml:space="preserve"> 99%).</w:t>
      </w:r>
    </w:p>
    <w:p w:rsidR="00A551AB" w:rsidRPr="00313E82" w:rsidRDefault="00A551AB" w:rsidP="00C94556">
      <w:pPr>
        <w:pStyle w:val="Titre3"/>
        <w:rPr>
          <w:rFonts w:eastAsia="Batang"/>
          <w:lang w:val="en-US"/>
        </w:rPr>
      </w:pPr>
      <w:bookmarkStart w:id="223" w:name="_Toc452561373"/>
      <w:bookmarkStart w:id="224" w:name="_Toc452561589"/>
      <w:bookmarkStart w:id="225" w:name="_Toc474430198"/>
      <w:bookmarkEnd w:id="223"/>
      <w:bookmarkEnd w:id="224"/>
      <w:r w:rsidRPr="00313E82">
        <w:rPr>
          <w:rFonts w:eastAsia="Batang"/>
          <w:lang w:val="en-US"/>
        </w:rPr>
        <w:lastRenderedPageBreak/>
        <w:t>Discussion</w:t>
      </w:r>
      <w:bookmarkEnd w:id="225"/>
    </w:p>
    <w:p w:rsidR="00EF3ACD" w:rsidRDefault="00D11068">
      <w:pPr>
        <w:ind w:left="284" w:hanging="284"/>
        <w:rPr>
          <w:rFonts w:eastAsia="Batang"/>
          <w:lang w:val="en-US"/>
        </w:rPr>
      </w:pPr>
      <w:r w:rsidRPr="00552F4E">
        <w:rPr>
          <w:rFonts w:eastAsia="Batang"/>
          <w:u w:val="single"/>
          <w:lang w:val="en-US"/>
        </w:rPr>
        <w:t>Validity</w:t>
      </w:r>
      <w:r w:rsidRPr="00313E82">
        <w:rPr>
          <w:rFonts w:eastAsia="Batang"/>
          <w:lang w:val="en-US"/>
        </w:rPr>
        <w:t xml:space="preserve">: </w:t>
      </w:r>
      <w:r>
        <w:rPr>
          <w:rFonts w:eastAsia="Batang"/>
          <w:lang w:val="en-US"/>
        </w:rPr>
        <w:t>Large release</w:t>
      </w:r>
      <w:r w:rsidRPr="00313E82">
        <w:rPr>
          <w:rFonts w:eastAsia="Batang"/>
          <w:lang w:val="en-US"/>
        </w:rPr>
        <w:t xml:space="preserve"> </w:t>
      </w:r>
      <w:r w:rsidR="00245A36">
        <w:rPr>
          <w:rFonts w:eastAsia="Batang"/>
          <w:lang w:val="en-US"/>
        </w:rPr>
        <w:t xml:space="preserve">is </w:t>
      </w:r>
      <w:r w:rsidRPr="00313E82">
        <w:rPr>
          <w:rFonts w:eastAsia="Batang"/>
          <w:lang w:val="en-US"/>
        </w:rPr>
        <w:t xml:space="preserve">– once defined – a clearly described state in the risk model. </w:t>
      </w:r>
      <w:r>
        <w:rPr>
          <w:rFonts w:eastAsia="Batang"/>
          <w:lang w:val="en-US"/>
        </w:rPr>
        <w:t xml:space="preserve">Moreover, a large release to the environment is a good leading indicator for failing to meet </w:t>
      </w:r>
      <w:r w:rsidR="00BD5D5B">
        <w:rPr>
          <w:rFonts w:eastAsia="Batang"/>
          <w:lang w:val="en-US"/>
        </w:rPr>
        <w:t>a</w:t>
      </w:r>
      <w:r>
        <w:rPr>
          <w:rFonts w:eastAsia="Batang"/>
          <w:lang w:val="en-US"/>
        </w:rPr>
        <w:t xml:space="preserve"> </w:t>
      </w:r>
      <w:r w:rsidRPr="00313E82">
        <w:rPr>
          <w:rFonts w:eastAsia="Batang"/>
          <w:lang w:val="en-US"/>
        </w:rPr>
        <w:t>fundamental safety objective.</w:t>
      </w:r>
      <w:r>
        <w:rPr>
          <w:rFonts w:eastAsia="Batang"/>
          <w:lang w:val="en-US"/>
        </w:rPr>
        <w:tab/>
      </w:r>
      <w:r>
        <w:rPr>
          <w:rFonts w:eastAsia="Batang"/>
          <w:lang w:val="en-US"/>
        </w:rPr>
        <w:br/>
        <w:t>LRF is providing important information on the risk of</w:t>
      </w:r>
      <w:r w:rsidR="004942AC">
        <w:rPr>
          <w:rFonts w:eastAsia="Batang"/>
          <w:lang w:val="en-US"/>
        </w:rPr>
        <w:t xml:space="preserve"> the plant, aggregat</w:t>
      </w:r>
      <w:r w:rsidR="00EF3ACD">
        <w:rPr>
          <w:rFonts w:eastAsia="Batang"/>
          <w:lang w:val="en-US"/>
        </w:rPr>
        <w:t>ed</w:t>
      </w:r>
      <w:r w:rsidR="004942AC">
        <w:rPr>
          <w:rFonts w:eastAsia="Batang"/>
          <w:lang w:val="en-US"/>
        </w:rPr>
        <w:t xml:space="preserve"> over </w:t>
      </w:r>
      <w:r>
        <w:rPr>
          <w:rFonts w:eastAsia="Batang"/>
          <w:lang w:val="en-US"/>
        </w:rPr>
        <w:t xml:space="preserve">sequences with relevant off-site consequences. </w:t>
      </w:r>
      <w:r w:rsidR="004942AC">
        <w:rPr>
          <w:rFonts w:eastAsia="Batang"/>
          <w:lang w:val="en-US"/>
        </w:rPr>
        <w:t>LRF is a particularly good leading indicator</w:t>
      </w:r>
      <w:r w:rsidR="00764062">
        <w:rPr>
          <w:rFonts w:eastAsia="Batang"/>
          <w:lang w:val="en-US"/>
        </w:rPr>
        <w:t xml:space="preserve"> for </w:t>
      </w:r>
      <w:r w:rsidR="00EF3ACD">
        <w:rPr>
          <w:rFonts w:eastAsia="Batang"/>
          <w:lang w:val="en-US"/>
        </w:rPr>
        <w:t xml:space="preserve">potential </w:t>
      </w:r>
      <w:r w:rsidR="00764062">
        <w:rPr>
          <w:rFonts w:eastAsia="Batang"/>
          <w:lang w:val="en-US"/>
        </w:rPr>
        <w:t xml:space="preserve">long-term loss of land (soil contamination) and other area effects, if defined </w:t>
      </w:r>
      <w:r w:rsidR="00E63285">
        <w:rPr>
          <w:rFonts w:eastAsia="Batang"/>
          <w:lang w:val="en-US"/>
        </w:rPr>
        <w:t>based on (volatile) radioisotope</w:t>
      </w:r>
      <w:r w:rsidR="00F37EC2">
        <w:rPr>
          <w:rFonts w:eastAsia="Batang"/>
          <w:lang w:val="en-US"/>
        </w:rPr>
        <w:t>s with medium to long half-l</w:t>
      </w:r>
      <w:r w:rsidR="00E63285">
        <w:rPr>
          <w:rFonts w:eastAsia="Batang"/>
          <w:lang w:val="en-US"/>
        </w:rPr>
        <w:t>ife times like e.g. Cs-137.</w:t>
      </w:r>
      <w:r w:rsidR="004942AC">
        <w:rPr>
          <w:rFonts w:eastAsia="Batang"/>
          <w:lang w:val="en-US"/>
        </w:rPr>
        <w:t xml:space="preserve"> </w:t>
      </w:r>
      <w:r w:rsidR="00EF3ACD">
        <w:rPr>
          <w:rFonts w:eastAsia="Batang"/>
          <w:lang w:val="en-US"/>
        </w:rPr>
        <w:t>Nevertheless</w:t>
      </w:r>
      <w:r w:rsidR="000A2D07">
        <w:rPr>
          <w:rFonts w:eastAsia="Batang"/>
          <w:lang w:val="en-US"/>
        </w:rPr>
        <w:t>, depending on the definition of large release,</w:t>
      </w:r>
      <w:r w:rsidR="00EF3ACD">
        <w:rPr>
          <w:rFonts w:eastAsia="Batang"/>
          <w:lang w:val="en-US"/>
        </w:rPr>
        <w:t xml:space="preserve"> all scenarios that contribute to LRF will not necessarily lead to large land contamination. This is an important limitation of LRF risk measure. It cannot replace a more precise L2 PSA release categorization in function of the amplitude of release for the identification of the more dangerous accidents.</w:t>
      </w:r>
      <w:r w:rsidR="007B7974">
        <w:rPr>
          <w:rFonts w:eastAsia="Batang"/>
          <w:lang w:val="en-US"/>
        </w:rPr>
        <w:tab/>
      </w:r>
      <w:r w:rsidR="007B7974">
        <w:rPr>
          <w:rFonts w:eastAsia="Batang"/>
          <w:lang w:val="en-US"/>
        </w:rPr>
        <w:br/>
      </w:r>
    </w:p>
    <w:p w:rsidR="00D11068" w:rsidRDefault="007B7974" w:rsidP="00C94556">
      <w:pPr>
        <w:ind w:left="284"/>
        <w:rPr>
          <w:rFonts w:eastAsia="Batang"/>
          <w:lang w:val="en-US"/>
        </w:rPr>
      </w:pPr>
      <w:r>
        <w:rPr>
          <w:rFonts w:eastAsia="Batang"/>
          <w:lang w:val="en-US"/>
        </w:rPr>
        <w:t>LRF addresses risk objectives stated in SSR</w:t>
      </w:r>
      <w:r w:rsidR="00355F26">
        <w:rPr>
          <w:rFonts w:eastAsia="Batang"/>
          <w:lang w:val="en-US"/>
        </w:rPr>
        <w:t>-</w:t>
      </w:r>
      <w:r>
        <w:rPr>
          <w:rFonts w:eastAsia="Batang"/>
          <w:lang w:val="en-US"/>
        </w:rPr>
        <w:t>2</w:t>
      </w:r>
      <w:r w:rsidR="00355F26">
        <w:rPr>
          <w:rFonts w:eastAsia="Batang"/>
          <w:lang w:val="en-US"/>
        </w:rPr>
        <w:t>/</w:t>
      </w:r>
      <w:r>
        <w:rPr>
          <w:rFonts w:eastAsia="Batang"/>
          <w:lang w:val="en-US"/>
        </w:rPr>
        <w:t>1</w:t>
      </w:r>
      <w:r w:rsidR="00BB2717">
        <w:rPr>
          <w:rFonts w:eastAsia="Batang"/>
          <w:lang w:val="en-US"/>
        </w:rPr>
        <w:t xml:space="preserve"> </w:t>
      </w:r>
      <w:r w:rsidR="009E768B">
        <w:rPr>
          <w:rFonts w:eastAsia="Batang"/>
          <w:lang w:val="en-US"/>
        </w:rPr>
        <w:fldChar w:fldCharType="begin"/>
      </w:r>
      <w:r w:rsidR="00BB2717">
        <w:rPr>
          <w:rFonts w:eastAsia="Batang"/>
          <w:lang w:val="en-US"/>
        </w:rPr>
        <w:instrText xml:space="preserve"> REF _Ref444680248 \r \h </w:instrText>
      </w:r>
      <w:r w:rsidR="009E768B">
        <w:rPr>
          <w:rFonts w:eastAsia="Batang"/>
          <w:lang w:val="en-US"/>
        </w:rPr>
      </w:r>
      <w:r w:rsidR="009E768B">
        <w:rPr>
          <w:rFonts w:eastAsia="Batang"/>
          <w:lang w:val="en-US"/>
        </w:rPr>
        <w:fldChar w:fldCharType="separate"/>
      </w:r>
      <w:r w:rsidR="00B772CA">
        <w:rPr>
          <w:rFonts w:eastAsia="Batang"/>
          <w:lang w:val="en-US"/>
        </w:rPr>
        <w:t>[112]</w:t>
      </w:r>
      <w:r w:rsidR="009E768B">
        <w:rPr>
          <w:rFonts w:eastAsia="Batang"/>
          <w:lang w:val="en-US"/>
        </w:rPr>
        <w:fldChar w:fldCharType="end"/>
      </w:r>
      <w:r>
        <w:rPr>
          <w:rFonts w:eastAsia="Batang"/>
          <w:lang w:val="en-US"/>
        </w:rPr>
        <w:t xml:space="preserve"> for the practical elimination of </w:t>
      </w:r>
      <w:r w:rsidR="003439A8">
        <w:rPr>
          <w:rFonts w:eastAsia="Batang"/>
          <w:lang w:val="en-US"/>
        </w:rPr>
        <w:t xml:space="preserve">large radioactive releases </w:t>
      </w:r>
      <w:r w:rsidR="00BB2717">
        <w:rPr>
          <w:rFonts w:eastAsia="Batang"/>
          <w:lang w:val="en-US"/>
        </w:rPr>
        <w:t xml:space="preserve">and WENRA’s objective O3 in Ref. </w:t>
      </w:r>
      <w:r w:rsidR="009E768B">
        <w:rPr>
          <w:rFonts w:eastAsia="Batang"/>
          <w:lang w:val="en-US"/>
        </w:rPr>
        <w:fldChar w:fldCharType="begin"/>
      </w:r>
      <w:r w:rsidR="00BB2717">
        <w:rPr>
          <w:rFonts w:eastAsia="Batang"/>
          <w:lang w:val="en-US"/>
        </w:rPr>
        <w:instrText xml:space="preserve"> REF _Ref444680058 \r \h </w:instrText>
      </w:r>
      <w:r w:rsidR="009E768B">
        <w:rPr>
          <w:rFonts w:eastAsia="Batang"/>
          <w:lang w:val="en-US"/>
        </w:rPr>
      </w:r>
      <w:r w:rsidR="009E768B">
        <w:rPr>
          <w:rFonts w:eastAsia="Batang"/>
          <w:lang w:val="en-US"/>
        </w:rPr>
        <w:fldChar w:fldCharType="separate"/>
      </w:r>
      <w:r w:rsidR="00B772CA">
        <w:rPr>
          <w:rFonts w:eastAsia="Batang"/>
          <w:lang w:val="en-US"/>
        </w:rPr>
        <w:t>[111]</w:t>
      </w:r>
      <w:r w:rsidR="009E768B">
        <w:rPr>
          <w:rFonts w:eastAsia="Batang"/>
          <w:lang w:val="en-US"/>
        </w:rPr>
        <w:fldChar w:fldCharType="end"/>
      </w:r>
      <w:r w:rsidR="00BB2717">
        <w:rPr>
          <w:rFonts w:eastAsia="Batang"/>
          <w:lang w:val="en-US"/>
        </w:rPr>
        <w:t>.</w:t>
      </w:r>
      <w:r w:rsidR="00BB2717">
        <w:rPr>
          <w:rFonts w:eastAsia="Batang"/>
          <w:lang w:val="en-US"/>
        </w:rPr>
        <w:tab/>
      </w:r>
      <w:r w:rsidR="004942AC">
        <w:rPr>
          <w:rFonts w:eastAsia="Batang"/>
          <w:lang w:val="en-US"/>
        </w:rPr>
        <w:br/>
      </w:r>
      <w:r w:rsidR="004942AC" w:rsidRPr="00313E82">
        <w:rPr>
          <w:rFonts w:eastAsia="Batang"/>
          <w:lang w:val="en-US"/>
        </w:rPr>
        <w:t xml:space="preserve">Assigning the likelihood (distribution) to the sequence(s) ending in </w:t>
      </w:r>
      <w:r w:rsidR="004942AC">
        <w:rPr>
          <w:rFonts w:eastAsia="Batang"/>
          <w:lang w:val="en-US"/>
        </w:rPr>
        <w:t>a large release</w:t>
      </w:r>
      <w:r w:rsidR="004942AC" w:rsidRPr="00313E82">
        <w:rPr>
          <w:rFonts w:eastAsia="Batang"/>
          <w:lang w:val="en-US"/>
        </w:rPr>
        <w:t xml:space="preserve"> is a clear and traceable quantification procedure. Averaging risk model results over time is a sensible and consistent way of defining a </w:t>
      </w:r>
      <w:r w:rsidR="004942AC">
        <w:rPr>
          <w:rFonts w:eastAsia="Batang"/>
          <w:lang w:val="en-US"/>
        </w:rPr>
        <w:t>risk measure. In this regard, LR</w:t>
      </w:r>
      <w:r w:rsidR="004942AC" w:rsidRPr="00313E82">
        <w:rPr>
          <w:rFonts w:eastAsia="Batang"/>
          <w:lang w:val="en-US"/>
        </w:rPr>
        <w:t xml:space="preserve">F is a valid </w:t>
      </w:r>
      <w:r w:rsidR="00F37EC2">
        <w:rPr>
          <w:rFonts w:eastAsia="Batang"/>
          <w:lang w:val="en-US"/>
        </w:rPr>
        <w:t>risk measure.</w:t>
      </w:r>
      <w:r w:rsidR="00D11068" w:rsidRPr="00313E82">
        <w:rPr>
          <w:rFonts w:eastAsia="Batang"/>
          <w:lang w:val="en-US"/>
        </w:rPr>
        <w:t xml:space="preserve"> </w:t>
      </w:r>
    </w:p>
    <w:p w:rsidR="00EF3ACD" w:rsidRPr="00313E82" w:rsidRDefault="00EF3ACD" w:rsidP="00C94556">
      <w:pPr>
        <w:ind w:left="284"/>
        <w:rPr>
          <w:rFonts w:eastAsia="Batang"/>
          <w:lang w:val="en-US"/>
        </w:rPr>
      </w:pPr>
    </w:p>
    <w:p w:rsidR="00F37EC2" w:rsidRDefault="00D11068">
      <w:pPr>
        <w:ind w:left="284" w:hanging="284"/>
        <w:rPr>
          <w:rFonts w:eastAsia="Batang"/>
          <w:lang w:val="en-US"/>
        </w:rPr>
      </w:pPr>
      <w:r w:rsidRPr="00552F4E">
        <w:rPr>
          <w:rFonts w:eastAsia="Batang"/>
          <w:u w:val="single"/>
          <w:lang w:val="en-US"/>
        </w:rPr>
        <w:t>Reliability</w:t>
      </w:r>
      <w:r w:rsidRPr="00313E82">
        <w:rPr>
          <w:rFonts w:eastAsia="Batang"/>
          <w:lang w:val="en-US"/>
        </w:rPr>
        <w:t>: There is no u</w:t>
      </w:r>
      <w:r w:rsidR="00F37EC2">
        <w:rPr>
          <w:rFonts w:eastAsia="Batang"/>
          <w:lang w:val="en-US"/>
        </w:rPr>
        <w:t>nique definition available for the</w:t>
      </w:r>
      <w:r w:rsidRPr="00313E82">
        <w:rPr>
          <w:rFonts w:eastAsia="Batang"/>
          <w:lang w:val="en-US"/>
        </w:rPr>
        <w:t xml:space="preserve"> </w:t>
      </w:r>
      <w:r w:rsidR="00F37EC2">
        <w:rPr>
          <w:rFonts w:eastAsia="Batang"/>
          <w:lang w:val="en-US"/>
        </w:rPr>
        <w:t>large release metric</w:t>
      </w:r>
      <w:r w:rsidR="005908CE">
        <w:rPr>
          <w:rFonts w:eastAsia="Batang"/>
          <w:lang w:val="en-US"/>
        </w:rPr>
        <w:t xml:space="preserve"> but the current practice is to define a threshold (either on I-131 or Cs-137) that can be used to identify all scenarios that would need off-site protective measures (with more or less extension depending on the NPP)</w:t>
      </w:r>
      <w:r w:rsidRPr="00313E82">
        <w:rPr>
          <w:rFonts w:eastAsia="Batang"/>
          <w:lang w:val="en-US"/>
        </w:rPr>
        <w:t xml:space="preserve">. </w:t>
      </w:r>
      <w:r w:rsidR="005908CE">
        <w:rPr>
          <w:rFonts w:eastAsia="Batang"/>
          <w:lang w:val="en-US"/>
        </w:rPr>
        <w:t>So, w</w:t>
      </w:r>
      <w:r w:rsidR="00F37EC2">
        <w:rPr>
          <w:rFonts w:eastAsia="Batang"/>
          <w:lang w:val="en-US"/>
        </w:rPr>
        <w:t>hile there is common agreement to base the LRF metric either on I-131 or Cs-137, there is no agreement on the following</w:t>
      </w:r>
      <w:r w:rsidR="005908CE">
        <w:rPr>
          <w:rFonts w:eastAsia="Batang"/>
          <w:lang w:val="en-US"/>
        </w:rPr>
        <w:t>:</w:t>
      </w:r>
    </w:p>
    <w:p w:rsidR="00F37EC2" w:rsidRDefault="00F37EC2" w:rsidP="00C94556">
      <w:pPr>
        <w:pStyle w:val="Paragraphedeliste"/>
        <w:numPr>
          <w:ilvl w:val="0"/>
          <w:numId w:val="76"/>
        </w:numPr>
        <w:rPr>
          <w:rFonts w:eastAsia="Batang"/>
          <w:lang w:val="en-US"/>
        </w:rPr>
      </w:pPr>
      <w:r>
        <w:rPr>
          <w:rFonts w:eastAsia="Batang"/>
          <w:lang w:val="en-US"/>
        </w:rPr>
        <w:t>If the risk metric should be declared based on one isotope only or if contributions from other isotopes from the release vector should be weighted by their radiological importance in relation to the representative isotope.</w:t>
      </w:r>
    </w:p>
    <w:p w:rsidR="00F37EC2" w:rsidRDefault="00F37EC2" w:rsidP="00C94556">
      <w:pPr>
        <w:pStyle w:val="Paragraphedeliste"/>
        <w:numPr>
          <w:ilvl w:val="0"/>
          <w:numId w:val="76"/>
        </w:numPr>
        <w:rPr>
          <w:rFonts w:eastAsia="Batang"/>
          <w:lang w:val="en-US"/>
        </w:rPr>
      </w:pPr>
      <w:r>
        <w:rPr>
          <w:rFonts w:eastAsia="Batang"/>
          <w:lang w:val="en-US"/>
        </w:rPr>
        <w:t>The specific quantitative value of the threshold for a large release.</w:t>
      </w:r>
    </w:p>
    <w:p w:rsidR="00B72BFC" w:rsidRDefault="00B72BFC" w:rsidP="00C94556">
      <w:pPr>
        <w:pStyle w:val="Paragraphedeliste"/>
        <w:numPr>
          <w:ilvl w:val="0"/>
          <w:numId w:val="76"/>
        </w:numPr>
        <w:rPr>
          <w:rFonts w:eastAsia="Batang"/>
          <w:lang w:val="en-US"/>
        </w:rPr>
      </w:pPr>
      <w:r>
        <w:rPr>
          <w:rFonts w:eastAsia="Batang"/>
          <w:lang w:val="en-US"/>
        </w:rPr>
        <w:t xml:space="preserve">There is also not necessarily agreement on the time scale for the integration for the large release. While there is agreement that the release needs to be integrated over more than 24 hours, </w:t>
      </w:r>
      <w:r w:rsidR="00E54D4C">
        <w:rPr>
          <w:rFonts w:eastAsia="Batang"/>
          <w:lang w:val="en-US"/>
        </w:rPr>
        <w:t xml:space="preserve">there is no agreement </w:t>
      </w:r>
      <w:r>
        <w:rPr>
          <w:rFonts w:eastAsia="Batang"/>
          <w:lang w:val="en-US"/>
        </w:rPr>
        <w:t xml:space="preserve">what an appropriate cut-off time would be. </w:t>
      </w:r>
    </w:p>
    <w:p w:rsidR="005908CE" w:rsidRPr="00A16015" w:rsidRDefault="005908CE" w:rsidP="005908CE">
      <w:pPr>
        <w:ind w:left="284"/>
        <w:rPr>
          <w:rFonts w:eastAsia="Batang"/>
          <w:lang w:val="en-US"/>
        </w:rPr>
      </w:pPr>
      <w:r w:rsidRPr="000A2D07">
        <w:rPr>
          <w:rFonts w:eastAsia="Batang"/>
          <w:lang w:val="en-US"/>
        </w:rPr>
        <w:t>Nev</w:t>
      </w:r>
      <w:r w:rsidR="0062004C">
        <w:rPr>
          <w:rFonts w:eastAsia="Batang"/>
          <w:lang w:val="en-US"/>
        </w:rPr>
        <w:t>e</w:t>
      </w:r>
      <w:r w:rsidRPr="000A2D07">
        <w:rPr>
          <w:rFonts w:eastAsia="Batang"/>
          <w:lang w:val="en-US"/>
        </w:rPr>
        <w:t>rtheless</w:t>
      </w:r>
      <w:r w:rsidR="00D11068" w:rsidRPr="000A2D07">
        <w:rPr>
          <w:rFonts w:eastAsia="Batang"/>
          <w:lang w:val="en-US"/>
        </w:rPr>
        <w:t xml:space="preserve">, if the </w:t>
      </w:r>
      <w:r w:rsidR="00A16015" w:rsidRPr="000A2D07">
        <w:rPr>
          <w:rFonts w:eastAsia="Batang"/>
          <w:lang w:val="en-US"/>
        </w:rPr>
        <w:t>large release</w:t>
      </w:r>
      <w:r w:rsidR="00D11068" w:rsidRPr="000A2D07">
        <w:rPr>
          <w:rFonts w:eastAsia="Batang"/>
          <w:lang w:val="en-US"/>
        </w:rPr>
        <w:t xml:space="preserve"> metric has been clearly established, it allows for – in principle – reproducible PSA modeling of the accident sequence analysis. </w:t>
      </w:r>
      <w:r w:rsidR="00A16015" w:rsidRPr="000A2D07">
        <w:rPr>
          <w:rFonts w:eastAsia="Batang"/>
          <w:lang w:val="en-US"/>
        </w:rPr>
        <w:t>In that sense, LR</w:t>
      </w:r>
      <w:r w:rsidR="00D11068" w:rsidRPr="000A2D07">
        <w:rPr>
          <w:rFonts w:eastAsia="Batang"/>
          <w:lang w:val="en-US"/>
        </w:rPr>
        <w:t>F is a reliable measure</w:t>
      </w:r>
      <w:r w:rsidRPr="000A2D07">
        <w:rPr>
          <w:rFonts w:eastAsia="Batang"/>
          <w:lang w:val="en-US"/>
        </w:rPr>
        <w:t xml:space="preserve"> even though the large release metrics are not sufficient to identify the scenario that would induce the more serious consequences or to identify situation with short term release for which emergency measures (evacuation) will not be effective. This is an important limitation and LRF, as defined above, cannot be used </w:t>
      </w:r>
      <w:r w:rsidR="000A2D07" w:rsidRPr="00C94556">
        <w:rPr>
          <w:rFonts w:eastAsia="Batang"/>
          <w:lang w:val="en-US"/>
        </w:rPr>
        <w:t xml:space="preserve">exclusively </w:t>
      </w:r>
      <w:r w:rsidRPr="000A2D07">
        <w:rPr>
          <w:rFonts w:eastAsia="Batang"/>
          <w:lang w:val="en-US"/>
        </w:rPr>
        <w:t>for risk ranking.</w:t>
      </w:r>
    </w:p>
    <w:p w:rsidR="005908CE" w:rsidRPr="00A16015" w:rsidRDefault="005908CE">
      <w:pPr>
        <w:ind w:left="284"/>
        <w:rPr>
          <w:rFonts w:eastAsia="Batang"/>
          <w:lang w:val="en-US"/>
        </w:rPr>
      </w:pPr>
    </w:p>
    <w:p w:rsidR="00D11068" w:rsidRPr="00313E82" w:rsidRDefault="00D11068">
      <w:pPr>
        <w:ind w:left="284" w:hanging="284"/>
        <w:rPr>
          <w:rFonts w:eastAsia="Batang"/>
          <w:lang w:val="en-US"/>
        </w:rPr>
      </w:pPr>
      <w:r w:rsidRPr="00552F4E">
        <w:rPr>
          <w:rFonts w:eastAsia="Batang"/>
          <w:u w:val="single"/>
          <w:lang w:val="en-US"/>
        </w:rPr>
        <w:t>Consistency</w:t>
      </w:r>
      <w:r w:rsidRPr="00313E82">
        <w:rPr>
          <w:rFonts w:eastAsia="Batang"/>
          <w:lang w:val="en-US"/>
        </w:rPr>
        <w:t xml:space="preserve">: </w:t>
      </w:r>
      <w:r w:rsidR="00A16015">
        <w:rPr>
          <w:rFonts w:eastAsia="Batang"/>
          <w:lang w:val="en-US"/>
        </w:rPr>
        <w:t>Large release</w:t>
      </w:r>
      <w:r w:rsidRPr="00313E82">
        <w:rPr>
          <w:rFonts w:eastAsia="Batang"/>
          <w:lang w:val="en-US"/>
        </w:rPr>
        <w:t xml:space="preserve"> frequency induces an order relation satisfying rationality criteria, if risk aggregation properties are properly considered. Basically, the measure is consistent. However, the issues related to reliability and risk aggregation properties should not be overlooked.</w:t>
      </w:r>
    </w:p>
    <w:p w:rsidR="000A2D07" w:rsidRDefault="00D11068">
      <w:pPr>
        <w:ind w:left="284" w:hanging="284"/>
        <w:rPr>
          <w:rFonts w:eastAsia="Batang"/>
          <w:lang w:val="en-US"/>
        </w:rPr>
      </w:pPr>
      <w:r w:rsidRPr="00552F4E">
        <w:rPr>
          <w:rFonts w:eastAsia="Batang"/>
          <w:u w:val="single"/>
          <w:lang w:val="en-US"/>
        </w:rPr>
        <w:lastRenderedPageBreak/>
        <w:t>Risk aggregation properties</w:t>
      </w:r>
      <w:r w:rsidRPr="00313E82">
        <w:rPr>
          <w:rFonts w:eastAsia="Batang"/>
          <w:lang w:val="en-US"/>
        </w:rPr>
        <w:t xml:space="preserve">: Aggregating </w:t>
      </w:r>
      <w:r w:rsidR="003911F0">
        <w:rPr>
          <w:rFonts w:eastAsia="Batang"/>
          <w:lang w:val="en-US"/>
        </w:rPr>
        <w:t>LRF</w:t>
      </w:r>
      <w:r w:rsidRPr="00313E82">
        <w:rPr>
          <w:rFonts w:eastAsia="Batang"/>
          <w:lang w:val="en-US"/>
        </w:rPr>
        <w:t xml:space="preserve"> values over multiple scenarios (i.e. frequency values) is a well-defined operation, if performed on a minimal cut set basis</w:t>
      </w:r>
      <w:r w:rsidR="003911F0">
        <w:rPr>
          <w:rFonts w:eastAsia="Batang"/>
          <w:lang w:val="en-US"/>
        </w:rPr>
        <w:t xml:space="preserve"> (or disjunctive sequences)</w:t>
      </w:r>
      <w:r w:rsidRPr="00313E82">
        <w:rPr>
          <w:rFonts w:eastAsia="Batang"/>
          <w:lang w:val="en-US"/>
        </w:rPr>
        <w:t xml:space="preserve">, resulting in a consistent risk measure. </w:t>
      </w:r>
      <w:r w:rsidR="00CF171C">
        <w:rPr>
          <w:rFonts w:eastAsia="Batang"/>
          <w:lang w:val="en-US"/>
        </w:rPr>
        <w:tab/>
      </w:r>
      <w:r w:rsidR="00CF171C">
        <w:rPr>
          <w:rFonts w:eastAsia="Batang"/>
          <w:lang w:val="en-US"/>
        </w:rPr>
        <w:br/>
      </w:r>
      <w:r w:rsidRPr="00313E82">
        <w:rPr>
          <w:rFonts w:eastAsia="Batang"/>
          <w:lang w:val="en-US"/>
        </w:rPr>
        <w:t>With respect to risk aggregation, PSA specialists and decision makers have to ackno</w:t>
      </w:r>
      <w:r w:rsidR="003911F0">
        <w:rPr>
          <w:rFonts w:eastAsia="Batang"/>
          <w:lang w:val="en-US"/>
        </w:rPr>
        <w:t>wledge the limitations of the LR</w:t>
      </w:r>
      <w:r w:rsidRPr="00313E82">
        <w:rPr>
          <w:rFonts w:eastAsia="Batang"/>
          <w:lang w:val="en-US"/>
        </w:rPr>
        <w:t>F measure</w:t>
      </w:r>
      <w:r w:rsidR="000A2D07">
        <w:rPr>
          <w:rFonts w:eastAsia="Batang"/>
          <w:lang w:val="en-US"/>
        </w:rPr>
        <w:t>:</w:t>
      </w:r>
    </w:p>
    <w:p w:rsidR="000A2D07" w:rsidRDefault="00D11068" w:rsidP="00C94556">
      <w:pPr>
        <w:pStyle w:val="Paragraphedeliste"/>
        <w:numPr>
          <w:ilvl w:val="0"/>
          <w:numId w:val="101"/>
        </w:numPr>
        <w:rPr>
          <w:rFonts w:eastAsia="Batang"/>
          <w:lang w:val="en-US"/>
        </w:rPr>
      </w:pPr>
      <w:r w:rsidRPr="000A2D07">
        <w:rPr>
          <w:rFonts w:eastAsia="Batang"/>
          <w:lang w:val="en-US"/>
        </w:rPr>
        <w:t xml:space="preserve"> </w:t>
      </w:r>
      <w:r w:rsidR="00CF171C" w:rsidRPr="000A2D07">
        <w:rPr>
          <w:rFonts w:eastAsia="Batang"/>
          <w:lang w:val="en-US"/>
        </w:rPr>
        <w:t>LRF does not identify</w:t>
      </w:r>
      <w:r w:rsidRPr="000A2D07">
        <w:rPr>
          <w:rFonts w:eastAsia="Batang"/>
          <w:lang w:val="en-US"/>
        </w:rPr>
        <w:t xml:space="preserve"> </w:t>
      </w:r>
      <w:r w:rsidR="00CF171C" w:rsidRPr="000A2D07">
        <w:rPr>
          <w:rFonts w:eastAsia="Batang"/>
          <w:lang w:val="en-US"/>
        </w:rPr>
        <w:t xml:space="preserve">release scenarios </w:t>
      </w:r>
      <w:r w:rsidRPr="000A2D07">
        <w:rPr>
          <w:rFonts w:eastAsia="Batang"/>
          <w:lang w:val="en-US"/>
        </w:rPr>
        <w:t xml:space="preserve">that </w:t>
      </w:r>
      <w:r w:rsidR="00CF171C" w:rsidRPr="000A2D07">
        <w:rPr>
          <w:rFonts w:eastAsia="Batang"/>
          <w:lang w:val="en-US"/>
        </w:rPr>
        <w:t xml:space="preserve">develop in a short time and for which off-site emergency measures (evacuation) will not be effective. </w:t>
      </w:r>
    </w:p>
    <w:p w:rsidR="00D11068" w:rsidRPr="000A2D07" w:rsidRDefault="00083EB7" w:rsidP="00C94556">
      <w:pPr>
        <w:pStyle w:val="Paragraphedeliste"/>
        <w:numPr>
          <w:ilvl w:val="0"/>
          <w:numId w:val="101"/>
        </w:numPr>
        <w:rPr>
          <w:rFonts w:eastAsia="Batang"/>
          <w:lang w:val="en-US"/>
        </w:rPr>
      </w:pPr>
      <w:r w:rsidRPr="000A2D07">
        <w:rPr>
          <w:rFonts w:eastAsia="Batang"/>
          <w:lang w:val="en-US"/>
        </w:rPr>
        <w:t>LRF is particularly suited to assess likely effects to the environment of the plant</w:t>
      </w:r>
      <w:r w:rsidR="000A2D07">
        <w:rPr>
          <w:rFonts w:eastAsia="Batang"/>
          <w:lang w:val="en-US"/>
        </w:rPr>
        <w:t xml:space="preserve"> </w:t>
      </w:r>
      <w:r w:rsidR="000A2D07" w:rsidRPr="00312527">
        <w:rPr>
          <w:rFonts w:eastAsia="Batang"/>
          <w:lang w:val="en-US"/>
        </w:rPr>
        <w:t xml:space="preserve">but it does not to discriminate in function of the </w:t>
      </w:r>
      <w:r w:rsidR="00E54D4C">
        <w:rPr>
          <w:rFonts w:eastAsia="Batang"/>
          <w:lang w:val="en-US"/>
        </w:rPr>
        <w:t>severity</w:t>
      </w:r>
      <w:r w:rsidR="00E54D4C" w:rsidRPr="00312527">
        <w:rPr>
          <w:rFonts w:eastAsia="Batang"/>
          <w:lang w:val="en-US"/>
        </w:rPr>
        <w:t xml:space="preserve"> </w:t>
      </w:r>
      <w:r w:rsidR="000A2D07" w:rsidRPr="00312527">
        <w:rPr>
          <w:rFonts w:eastAsia="Batang"/>
          <w:lang w:val="en-US"/>
        </w:rPr>
        <w:t xml:space="preserve">of the accident and cannot be used </w:t>
      </w:r>
      <w:r w:rsidR="000A2D07">
        <w:rPr>
          <w:rFonts w:eastAsia="Batang"/>
          <w:lang w:val="en-US"/>
        </w:rPr>
        <w:t xml:space="preserve">exclusively </w:t>
      </w:r>
      <w:r w:rsidR="000A2D07" w:rsidRPr="00312527">
        <w:rPr>
          <w:rFonts w:eastAsia="Batang"/>
          <w:lang w:val="en-US"/>
        </w:rPr>
        <w:t>for risk ranking</w:t>
      </w:r>
      <w:r w:rsidRPr="000A2D07">
        <w:rPr>
          <w:rFonts w:eastAsia="Batang"/>
          <w:lang w:val="en-US"/>
        </w:rPr>
        <w:t xml:space="preserve">. </w:t>
      </w:r>
      <w:r w:rsidR="00E23210" w:rsidRPr="000A2D07">
        <w:rPr>
          <w:rFonts w:eastAsia="Batang"/>
          <w:lang w:val="en-US"/>
        </w:rPr>
        <w:t>If the LRF source term threshold is rather small (</w:t>
      </w:r>
      <w:r w:rsidR="000A2D07">
        <w:rPr>
          <w:rFonts w:eastAsia="Batang"/>
          <w:lang w:val="en-US"/>
        </w:rPr>
        <w:t xml:space="preserve">e.g. </w:t>
      </w:r>
      <w:r w:rsidR="00E23210" w:rsidRPr="000A2D07">
        <w:rPr>
          <w:rFonts w:eastAsia="Batang"/>
          <w:lang w:val="en-US"/>
        </w:rPr>
        <w:t>100 TBq I-131 equiv.), then LRF aggregates the risk over accidents with comparatively limited consequences as well as manifestly severe releases as for the Fukushima Daiichi and Chernobyl accidents. This might obfuscate the risk profile of the plant to some extent. PSA analysts and decision makers need to be aware of this issue.</w:t>
      </w:r>
    </w:p>
    <w:p w:rsidR="000A2D07" w:rsidRDefault="000A2D07">
      <w:pPr>
        <w:ind w:left="284" w:hanging="284"/>
        <w:rPr>
          <w:rFonts w:eastAsia="Batang"/>
          <w:lang w:val="en-US"/>
        </w:rPr>
      </w:pPr>
    </w:p>
    <w:p w:rsidR="00D11068" w:rsidRDefault="00D11068">
      <w:pPr>
        <w:ind w:left="284" w:hanging="284"/>
        <w:rPr>
          <w:rFonts w:eastAsia="Batang"/>
          <w:lang w:val="en-US"/>
        </w:rPr>
      </w:pPr>
      <w:r w:rsidRPr="00552F4E">
        <w:rPr>
          <w:rFonts w:eastAsia="Batang"/>
          <w:u w:val="single"/>
          <w:lang w:val="en-US"/>
        </w:rPr>
        <w:t>Understand</w:t>
      </w:r>
      <w:r w:rsidR="00846A11" w:rsidRPr="00552F4E">
        <w:rPr>
          <w:rFonts w:eastAsia="Batang"/>
          <w:u w:val="single"/>
          <w:lang w:val="en-US"/>
        </w:rPr>
        <w:t>ability to the PSA community</w:t>
      </w:r>
      <w:r w:rsidR="00846A11">
        <w:rPr>
          <w:rFonts w:eastAsia="Batang"/>
          <w:lang w:val="en-US"/>
        </w:rPr>
        <w:t>: LRF is a commonly</w:t>
      </w:r>
      <w:r w:rsidRPr="00313E82">
        <w:rPr>
          <w:rFonts w:eastAsia="Batang"/>
          <w:lang w:val="en-US"/>
        </w:rPr>
        <w:t xml:space="preserve"> used risk measure. It is well understood in the PSA community as </w:t>
      </w:r>
      <w:r w:rsidR="00846A11">
        <w:rPr>
          <w:rFonts w:eastAsia="Batang"/>
          <w:lang w:val="en-US"/>
        </w:rPr>
        <w:t>one important release category at the end of a PSA Level 2</w:t>
      </w:r>
      <w:r w:rsidRPr="00313E82">
        <w:rPr>
          <w:rFonts w:eastAsia="Batang"/>
          <w:lang w:val="en-US"/>
        </w:rPr>
        <w:t xml:space="preserve">. </w:t>
      </w:r>
      <w:r w:rsidR="004156D9">
        <w:rPr>
          <w:rFonts w:eastAsia="Batang"/>
          <w:lang w:val="en-US"/>
        </w:rPr>
        <w:t>However, there are variations in the exact definitions of the LRF metric in function of NPPs and countries.</w:t>
      </w:r>
      <w:r w:rsidR="004A2F3D">
        <w:rPr>
          <w:rFonts w:eastAsia="Batang"/>
          <w:lang w:val="en-US"/>
        </w:rPr>
        <w:tab/>
        <w:t xml:space="preserve"> </w:t>
      </w:r>
      <w:r w:rsidR="00846A11">
        <w:rPr>
          <w:rFonts w:eastAsia="Batang"/>
          <w:lang w:val="en-US"/>
        </w:rPr>
        <w:br/>
      </w:r>
      <w:r w:rsidR="000A2D07">
        <w:rPr>
          <w:rFonts w:eastAsia="Batang"/>
          <w:lang w:val="en-US"/>
        </w:rPr>
        <w:t>In principle</w:t>
      </w:r>
      <w:r w:rsidR="004A2F3D">
        <w:rPr>
          <w:rFonts w:eastAsia="Batang"/>
          <w:lang w:val="en-US"/>
        </w:rPr>
        <w:t>, the LRF metric can be defined in a consistent manner for relevant types of reactors and other sources on a NPP site</w:t>
      </w:r>
      <w:r w:rsidRPr="00313E82">
        <w:rPr>
          <w:rFonts w:eastAsia="Batang"/>
          <w:lang w:val="en-US"/>
        </w:rPr>
        <w:t>.</w:t>
      </w:r>
    </w:p>
    <w:p w:rsidR="00A551AB" w:rsidRPr="00313E82" w:rsidRDefault="00A551AB" w:rsidP="00C94556">
      <w:pPr>
        <w:pStyle w:val="Titre3"/>
        <w:rPr>
          <w:rFonts w:eastAsia="Batang"/>
          <w:lang w:val="en-US"/>
        </w:rPr>
      </w:pPr>
      <w:bookmarkStart w:id="226" w:name="_Toc474430199"/>
      <w:r w:rsidRPr="00313E82">
        <w:rPr>
          <w:rFonts w:eastAsia="Batang"/>
          <w:lang w:val="en-US"/>
        </w:rPr>
        <w:t>Limitation</w:t>
      </w:r>
      <w:bookmarkEnd w:id="226"/>
    </w:p>
    <w:p w:rsidR="00A551AB" w:rsidRDefault="004A2F3D">
      <w:pPr>
        <w:rPr>
          <w:rFonts w:eastAsia="Batang"/>
          <w:lang w:val="en-US"/>
        </w:rPr>
      </w:pPr>
      <w:r>
        <w:rPr>
          <w:rFonts w:eastAsia="Batang"/>
          <w:lang w:val="en-US"/>
        </w:rPr>
        <w:t>As already mentioned above, the LRF metric does not identify those sequences, for which the off-site emergency measures (especially evacuation) are not effective. It is therefore not a suitable leading indicator for the risk of acute irradiation of the popula</w:t>
      </w:r>
      <w:r w:rsidR="000A2D07">
        <w:rPr>
          <w:rFonts w:eastAsia="Batang"/>
          <w:lang w:val="en-US"/>
        </w:rPr>
        <w:t>tion</w:t>
      </w:r>
      <w:r>
        <w:rPr>
          <w:rFonts w:eastAsia="Batang"/>
          <w:lang w:val="en-US"/>
        </w:rPr>
        <w:t xml:space="preserve"> in the vicinity of the plant</w:t>
      </w:r>
      <w:r w:rsidR="00A551AB" w:rsidRPr="00313E82">
        <w:rPr>
          <w:rFonts w:eastAsia="Batang"/>
          <w:lang w:val="en-US"/>
        </w:rPr>
        <w:t xml:space="preserve">. </w:t>
      </w:r>
    </w:p>
    <w:p w:rsidR="000105CC" w:rsidRPr="00313E82" w:rsidRDefault="002D3561">
      <w:pPr>
        <w:rPr>
          <w:rFonts w:eastAsia="Batang"/>
          <w:lang w:val="en-US"/>
        </w:rPr>
      </w:pPr>
      <w:r>
        <w:rPr>
          <w:rFonts w:eastAsia="Batang"/>
          <w:lang w:val="en-US"/>
        </w:rPr>
        <w:t xml:space="preserve">Depending on the specific threshold set for the </w:t>
      </w:r>
      <w:r w:rsidR="00E23210">
        <w:rPr>
          <w:rFonts w:eastAsia="Batang"/>
          <w:lang w:val="en-US"/>
        </w:rPr>
        <w:t xml:space="preserve">LRF, this risk measure might aggregate scenarios corresponding to INES Level 5 (an accident with limited consequences) and INES Level 7 (an accident with </w:t>
      </w:r>
      <w:r w:rsidR="00CE1762">
        <w:rPr>
          <w:rFonts w:eastAsia="Batang"/>
          <w:lang w:val="en-US"/>
        </w:rPr>
        <w:t>major</w:t>
      </w:r>
      <w:r w:rsidR="00E23210">
        <w:rPr>
          <w:rFonts w:eastAsia="Batang"/>
          <w:lang w:val="en-US"/>
        </w:rPr>
        <w:t xml:space="preserve"> off-site consequences). In these cases, the LRF can obfuscate the risk profile of the plant relevant to decision makers and stakeholders to a certain degree. It might be necessary to complement the LRF risk measure with a dedicated risk measure capturing such very severe scenarios</w:t>
      </w:r>
      <w:r w:rsidR="00CE1762">
        <w:rPr>
          <w:rFonts w:eastAsia="Batang"/>
          <w:lang w:val="en-US"/>
        </w:rPr>
        <w:t xml:space="preserve"> (e.g. a more precise release categorization from L2 PSA)</w:t>
      </w:r>
      <w:r w:rsidR="00E23210">
        <w:rPr>
          <w:rFonts w:eastAsia="Batang"/>
          <w:lang w:val="en-US"/>
        </w:rPr>
        <w:t xml:space="preserve">. </w:t>
      </w:r>
    </w:p>
    <w:p w:rsidR="00A551AB" w:rsidRPr="00313E82" w:rsidRDefault="00A551AB" w:rsidP="00C94556">
      <w:pPr>
        <w:pStyle w:val="Titre3"/>
        <w:rPr>
          <w:rFonts w:eastAsia="Batang"/>
          <w:lang w:val="en-US"/>
        </w:rPr>
      </w:pPr>
      <w:bookmarkStart w:id="227" w:name="_Toc452560438"/>
      <w:bookmarkStart w:id="228" w:name="_Toc452561376"/>
      <w:bookmarkStart w:id="229" w:name="_Toc452561592"/>
      <w:bookmarkStart w:id="230" w:name="_Ref319427814"/>
      <w:bookmarkStart w:id="231" w:name="_Toc474430200"/>
      <w:bookmarkEnd w:id="227"/>
      <w:bookmarkEnd w:id="228"/>
      <w:bookmarkEnd w:id="229"/>
      <w:r w:rsidRPr="00313E82">
        <w:rPr>
          <w:rFonts w:eastAsia="Batang"/>
          <w:lang w:val="en-US"/>
        </w:rPr>
        <w:t xml:space="preserve">ASAMPSA_E recommendation </w:t>
      </w:r>
      <w:r w:rsidR="000A2D07">
        <w:rPr>
          <w:rFonts w:eastAsia="Batang"/>
          <w:lang w:val="en-US"/>
        </w:rPr>
        <w:t>on large release measure</w:t>
      </w:r>
      <w:bookmarkEnd w:id="230"/>
      <w:bookmarkEnd w:id="231"/>
    </w:p>
    <w:p w:rsidR="00DE30F6" w:rsidRDefault="00DE30F6" w:rsidP="00DE30F6">
      <w:pPr>
        <w:rPr>
          <w:rFonts w:eastAsia="Batang"/>
          <w:lang w:val="en-US"/>
        </w:rPr>
      </w:pPr>
      <w:r>
        <w:rPr>
          <w:rFonts w:eastAsia="Batang"/>
          <w:lang w:val="en-US"/>
        </w:rPr>
        <w:t xml:space="preserve">The main objective of NPPs severe accident strategies is to limit in time and space the off-site protective measures in case of severe accident. The LRF is a metric that can be used to obtain a measure of the probability of occurrence of severe accidents which would need off-site protective measures not limited in time and space. This is a main result of a L2 PSA and should be part of the NPP safety report. </w:t>
      </w:r>
    </w:p>
    <w:p w:rsidR="00DE30F6" w:rsidRDefault="00DE30F6" w:rsidP="00DE30F6">
      <w:pPr>
        <w:rPr>
          <w:rFonts w:eastAsia="Batang"/>
          <w:lang w:val="en-US"/>
        </w:rPr>
      </w:pPr>
    </w:p>
    <w:p w:rsidR="00DE30F6" w:rsidRDefault="00DE30F6" w:rsidP="00DE30F6">
      <w:pPr>
        <w:rPr>
          <w:rFonts w:eastAsia="Batang"/>
          <w:lang w:val="en-US"/>
        </w:rPr>
      </w:pPr>
      <w:r>
        <w:rPr>
          <w:rFonts w:eastAsia="Batang"/>
          <w:lang w:val="en-US"/>
        </w:rPr>
        <w:t xml:space="preserve">The use of LRF metrics need to define one or several numerical </w:t>
      </w:r>
      <w:r w:rsidR="00803E6C">
        <w:rPr>
          <w:rFonts w:eastAsia="Batang"/>
          <w:lang w:val="en-US"/>
        </w:rPr>
        <w:t xml:space="preserve">measures </w:t>
      </w:r>
      <w:r>
        <w:rPr>
          <w:rFonts w:eastAsia="Batang"/>
          <w:lang w:val="en-US"/>
        </w:rPr>
        <w:t xml:space="preserve">that allows identifying accident corresponding to “large release”. These numerical values have to be defined by the utility or by the regulator. </w:t>
      </w:r>
    </w:p>
    <w:p w:rsidR="00DE30F6" w:rsidRDefault="00DE30F6" w:rsidP="00DE30F6">
      <w:pPr>
        <w:rPr>
          <w:rFonts w:eastAsia="Batang"/>
          <w:lang w:val="en-US"/>
        </w:rPr>
      </w:pPr>
    </w:p>
    <w:p w:rsidR="00DE30F6" w:rsidRDefault="00DE30F6" w:rsidP="00DE30F6">
      <w:pPr>
        <w:rPr>
          <w:rFonts w:eastAsia="Batang"/>
          <w:lang w:val="en-US"/>
        </w:rPr>
      </w:pPr>
      <w:r>
        <w:rPr>
          <w:rFonts w:eastAsia="Batang"/>
          <w:lang w:val="en-US"/>
        </w:rPr>
        <w:t xml:space="preserve">Such specific threshold for a large release should be </w:t>
      </w:r>
      <w:r w:rsidR="00CF3FB9">
        <w:rPr>
          <w:rFonts w:eastAsia="Batang"/>
          <w:lang w:val="en-US"/>
        </w:rPr>
        <w:t xml:space="preserve">consistent with </w:t>
      </w:r>
      <w:r>
        <w:rPr>
          <w:rFonts w:eastAsia="Batang"/>
          <w:lang w:val="en-US"/>
        </w:rPr>
        <w:t>the protection of population and environment. This should be an objective discussed during the NPP design and plant upgrades after the start of operation (especially during PSR).</w:t>
      </w:r>
    </w:p>
    <w:p w:rsidR="00DE30F6" w:rsidRDefault="00DE30F6">
      <w:pPr>
        <w:rPr>
          <w:rFonts w:eastAsia="Batang"/>
          <w:lang w:val="en-US"/>
        </w:rPr>
      </w:pPr>
    </w:p>
    <w:p w:rsidR="00E23210" w:rsidRDefault="00DE30F6">
      <w:pPr>
        <w:rPr>
          <w:rFonts w:eastAsia="Batang"/>
          <w:lang w:val="en-US"/>
        </w:rPr>
      </w:pPr>
      <w:r>
        <w:rPr>
          <w:rFonts w:eastAsia="Batang"/>
          <w:lang w:val="en-US"/>
        </w:rPr>
        <w:t>Moreover, the following best practices are recommended in applying</w:t>
      </w:r>
      <w:r w:rsidR="00E23210">
        <w:rPr>
          <w:rFonts w:eastAsia="Batang"/>
          <w:lang w:val="en-US"/>
        </w:rPr>
        <w:t xml:space="preserve"> a (more) harmonized definition for the LRF</w:t>
      </w:r>
      <w:r>
        <w:rPr>
          <w:rFonts w:eastAsia="Batang"/>
          <w:lang w:val="en-US"/>
        </w:rPr>
        <w:t>:</w:t>
      </w:r>
    </w:p>
    <w:p w:rsidR="00E23210" w:rsidRDefault="00B36B31" w:rsidP="00C94556">
      <w:pPr>
        <w:pStyle w:val="Paragraphedeliste"/>
        <w:numPr>
          <w:ilvl w:val="0"/>
          <w:numId w:val="77"/>
        </w:numPr>
        <w:rPr>
          <w:rFonts w:eastAsia="Batang"/>
          <w:lang w:val="en-US"/>
        </w:rPr>
      </w:pPr>
      <w:r>
        <w:rPr>
          <w:rFonts w:eastAsia="Batang"/>
          <w:lang w:val="en-US"/>
        </w:rPr>
        <w:t>t</w:t>
      </w:r>
      <w:r w:rsidR="00E23210">
        <w:rPr>
          <w:rFonts w:eastAsia="Batang"/>
          <w:lang w:val="en-US"/>
        </w:rPr>
        <w:t xml:space="preserve">he (representative) source term for determining the amount of release for the scenario should be integrated until </w:t>
      </w:r>
      <w:r w:rsidR="006B7CBD">
        <w:rPr>
          <w:rFonts w:eastAsia="Batang"/>
          <w:lang w:val="en-US"/>
        </w:rPr>
        <w:t>no significant further contributions to the (total) release will happen (cf. also</w:t>
      </w:r>
      <w:r w:rsidR="000B7888">
        <w:rPr>
          <w:rFonts w:eastAsia="Batang"/>
          <w:lang w:val="en-US"/>
        </w:rPr>
        <w:t xml:space="preserve"> ASAMPSA_E </w:t>
      </w:r>
      <w:r w:rsidR="009E768B">
        <w:rPr>
          <w:rFonts w:eastAsia="Batang"/>
          <w:lang w:val="en-US"/>
        </w:rPr>
        <w:fldChar w:fldCharType="begin"/>
      </w:r>
      <w:r w:rsidR="000B7888">
        <w:rPr>
          <w:rFonts w:eastAsia="Batang"/>
          <w:lang w:val="en-US"/>
        </w:rPr>
        <w:instrText xml:space="preserve"> REF _Ref422842679 \r \h </w:instrText>
      </w:r>
      <w:r w:rsidR="009E768B">
        <w:rPr>
          <w:rFonts w:eastAsia="Batang"/>
          <w:lang w:val="en-US"/>
        </w:rPr>
      </w:r>
      <w:r w:rsidR="009E768B">
        <w:rPr>
          <w:rFonts w:eastAsia="Batang"/>
          <w:lang w:val="en-US"/>
        </w:rPr>
        <w:fldChar w:fldCharType="separate"/>
      </w:r>
      <w:r w:rsidR="00B772CA">
        <w:rPr>
          <w:rFonts w:eastAsia="Batang"/>
          <w:lang w:val="en-US"/>
        </w:rPr>
        <w:t>[110]</w:t>
      </w:r>
      <w:r w:rsidR="009E768B">
        <w:rPr>
          <w:rFonts w:eastAsia="Batang"/>
          <w:lang w:val="en-US"/>
        </w:rPr>
        <w:fldChar w:fldCharType="end"/>
      </w:r>
      <w:r w:rsidR="000B7888">
        <w:rPr>
          <w:rFonts w:eastAsia="Batang"/>
          <w:lang w:val="en-US"/>
        </w:rPr>
        <w:t xml:space="preserve">). </w:t>
      </w:r>
      <w:r w:rsidR="00DE30F6">
        <w:rPr>
          <w:rFonts w:eastAsia="Batang"/>
          <w:lang w:val="en-US"/>
        </w:rPr>
        <w:t xml:space="preserve">It is thus </w:t>
      </w:r>
      <w:r w:rsidR="000B7888">
        <w:rPr>
          <w:rFonts w:eastAsia="Batang"/>
          <w:lang w:val="en-US"/>
        </w:rPr>
        <w:t>recommend</w:t>
      </w:r>
      <w:r w:rsidR="00DE30F6">
        <w:rPr>
          <w:rFonts w:eastAsia="Batang"/>
          <w:lang w:val="en-US"/>
        </w:rPr>
        <w:t>ed</w:t>
      </w:r>
      <w:r w:rsidR="000B7888">
        <w:rPr>
          <w:rFonts w:eastAsia="Batang"/>
          <w:lang w:val="en-US"/>
        </w:rPr>
        <w:t xml:space="preserve"> that the source term should be integrated to cover at least 90% of the expected total release</w:t>
      </w:r>
      <w:r w:rsidR="006B7CBD">
        <w:rPr>
          <w:rFonts w:eastAsia="Batang"/>
          <w:lang w:val="en-US"/>
        </w:rPr>
        <w:t xml:space="preserve"> </w:t>
      </w:r>
      <w:r w:rsidR="000B7888">
        <w:rPr>
          <w:rFonts w:eastAsia="Batang"/>
          <w:lang w:val="en-US"/>
        </w:rPr>
        <w:t xml:space="preserve">with a high degree of certainty. </w:t>
      </w:r>
    </w:p>
    <w:p w:rsidR="000B7888" w:rsidRDefault="00B36B31" w:rsidP="00C94556">
      <w:pPr>
        <w:pStyle w:val="Paragraphedeliste"/>
        <w:numPr>
          <w:ilvl w:val="0"/>
          <w:numId w:val="77"/>
        </w:numPr>
        <w:rPr>
          <w:rFonts w:eastAsia="Batang"/>
          <w:lang w:val="en-US"/>
        </w:rPr>
      </w:pPr>
      <w:r>
        <w:rPr>
          <w:rFonts w:eastAsia="Batang"/>
          <w:lang w:val="en-US"/>
        </w:rPr>
        <w:t>i</w:t>
      </w:r>
      <w:r w:rsidR="00DE30F6">
        <w:rPr>
          <w:rFonts w:eastAsia="Batang"/>
          <w:lang w:val="en-US"/>
        </w:rPr>
        <w:t>t is</w:t>
      </w:r>
      <w:r w:rsidR="000B7888">
        <w:rPr>
          <w:rFonts w:eastAsia="Batang"/>
          <w:lang w:val="en-US"/>
        </w:rPr>
        <w:t xml:space="preserve"> recommend</w:t>
      </w:r>
      <w:r w:rsidR="00DE30F6">
        <w:rPr>
          <w:rFonts w:eastAsia="Batang"/>
          <w:lang w:val="en-US"/>
        </w:rPr>
        <w:t>ed</w:t>
      </w:r>
      <w:r w:rsidR="000B7888">
        <w:rPr>
          <w:rFonts w:eastAsia="Batang"/>
          <w:lang w:val="en-US"/>
        </w:rPr>
        <w:t xml:space="preserve"> to define the LRF metric consistently with respect to an amount of radiologically weighted radionuclides. Weighting factors can be found in the INES manual for some nuclides </w:t>
      </w:r>
      <w:r w:rsidR="009E768B">
        <w:rPr>
          <w:rFonts w:eastAsia="Batang"/>
          <w:lang w:val="en-US"/>
        </w:rPr>
        <w:fldChar w:fldCharType="begin"/>
      </w:r>
      <w:r w:rsidR="000B7888">
        <w:rPr>
          <w:rFonts w:eastAsia="Batang"/>
          <w:lang w:val="en-US"/>
        </w:rPr>
        <w:instrText xml:space="preserve"> REF _Ref444078422 \r \h </w:instrText>
      </w:r>
      <w:r w:rsidR="009E768B">
        <w:rPr>
          <w:rFonts w:eastAsia="Batang"/>
          <w:lang w:val="en-US"/>
        </w:rPr>
      </w:r>
      <w:r w:rsidR="009E768B">
        <w:rPr>
          <w:rFonts w:eastAsia="Batang"/>
          <w:lang w:val="en-US"/>
        </w:rPr>
        <w:fldChar w:fldCharType="separate"/>
      </w:r>
      <w:r w:rsidR="00B772CA">
        <w:rPr>
          <w:rFonts w:eastAsia="Batang"/>
          <w:lang w:val="en-US"/>
        </w:rPr>
        <w:t>[108]</w:t>
      </w:r>
      <w:r w:rsidR="009E768B">
        <w:rPr>
          <w:rFonts w:eastAsia="Batang"/>
          <w:lang w:val="en-US"/>
        </w:rPr>
        <w:fldChar w:fldCharType="end"/>
      </w:r>
      <w:r w:rsidR="000B7888">
        <w:rPr>
          <w:rFonts w:eastAsia="Batang"/>
          <w:lang w:val="en-US"/>
        </w:rPr>
        <w:t xml:space="preserve"> and in more detail in ICRP publications. </w:t>
      </w:r>
      <w:r w:rsidR="00DE30F6">
        <w:rPr>
          <w:rFonts w:eastAsia="Batang"/>
          <w:lang w:val="en-US"/>
        </w:rPr>
        <w:t xml:space="preserve">It is </w:t>
      </w:r>
      <w:r w:rsidR="000B7888">
        <w:rPr>
          <w:rFonts w:eastAsia="Batang"/>
          <w:lang w:val="en-US"/>
        </w:rPr>
        <w:t>recommend</w:t>
      </w:r>
      <w:r w:rsidR="00DE30F6">
        <w:rPr>
          <w:rFonts w:eastAsia="Batang"/>
          <w:lang w:val="en-US"/>
        </w:rPr>
        <w:t>ed</w:t>
      </w:r>
      <w:r w:rsidR="000B7888">
        <w:rPr>
          <w:rFonts w:eastAsia="Batang"/>
          <w:lang w:val="en-US"/>
        </w:rPr>
        <w:t xml:space="preserve"> to use as leading (representative) isotope</w:t>
      </w:r>
      <w:r w:rsidR="00DE30F6">
        <w:rPr>
          <w:rFonts w:eastAsia="Batang"/>
          <w:lang w:val="en-US"/>
        </w:rPr>
        <w:t xml:space="preserve"> the following:</w:t>
      </w:r>
    </w:p>
    <w:p w:rsidR="000B7888" w:rsidRDefault="000B7888" w:rsidP="00C94556">
      <w:pPr>
        <w:pStyle w:val="Paragraphedeliste"/>
        <w:numPr>
          <w:ilvl w:val="1"/>
          <w:numId w:val="77"/>
        </w:numPr>
        <w:rPr>
          <w:rFonts w:eastAsia="Batang"/>
          <w:lang w:val="en-US"/>
        </w:rPr>
      </w:pPr>
      <w:r>
        <w:rPr>
          <w:rFonts w:eastAsia="Batang"/>
          <w:lang w:val="en-US"/>
        </w:rPr>
        <w:t>I-131 if short-term consequences are of particular interest</w:t>
      </w:r>
      <w:r w:rsidR="00CD1DEC">
        <w:rPr>
          <w:rFonts w:eastAsia="Batang"/>
          <w:lang w:val="en-US"/>
        </w:rPr>
        <w:t>,</w:t>
      </w:r>
    </w:p>
    <w:p w:rsidR="000B7888" w:rsidRDefault="000B7888" w:rsidP="00C94556">
      <w:pPr>
        <w:pStyle w:val="Paragraphedeliste"/>
        <w:numPr>
          <w:ilvl w:val="1"/>
          <w:numId w:val="77"/>
        </w:numPr>
        <w:rPr>
          <w:rFonts w:eastAsia="Batang"/>
          <w:lang w:val="en-US"/>
        </w:rPr>
      </w:pPr>
      <w:r>
        <w:rPr>
          <w:rFonts w:eastAsia="Batang"/>
          <w:lang w:val="en-US"/>
        </w:rPr>
        <w:t>Cs-137 if long-term (environmental) consequences are of particular interest</w:t>
      </w:r>
      <w:r w:rsidR="00CD1DEC">
        <w:rPr>
          <w:rFonts w:eastAsia="Batang"/>
          <w:lang w:val="en-US"/>
        </w:rPr>
        <w:t>.</w:t>
      </w:r>
    </w:p>
    <w:p w:rsidR="000F3532" w:rsidRDefault="00B36B31" w:rsidP="00C94556">
      <w:pPr>
        <w:pStyle w:val="Paragraphedeliste"/>
        <w:numPr>
          <w:ilvl w:val="0"/>
          <w:numId w:val="77"/>
        </w:numPr>
        <w:rPr>
          <w:rFonts w:eastAsia="Batang"/>
          <w:lang w:val="en-US"/>
        </w:rPr>
      </w:pPr>
      <w:r>
        <w:rPr>
          <w:rFonts w:eastAsia="Batang"/>
          <w:lang w:val="en-US"/>
        </w:rPr>
        <w:t>i</w:t>
      </w:r>
      <w:r w:rsidR="00DE30F6">
        <w:rPr>
          <w:rFonts w:eastAsia="Batang"/>
          <w:lang w:val="en-US"/>
        </w:rPr>
        <w:t xml:space="preserve">t is </w:t>
      </w:r>
      <w:r w:rsidR="000F3532">
        <w:rPr>
          <w:rFonts w:eastAsia="Batang"/>
          <w:lang w:val="en-US"/>
        </w:rPr>
        <w:t>recommend</w:t>
      </w:r>
      <w:r w:rsidR="00DE30F6">
        <w:rPr>
          <w:rFonts w:eastAsia="Batang"/>
          <w:lang w:val="en-US"/>
        </w:rPr>
        <w:t>ed</w:t>
      </w:r>
      <w:r w:rsidR="000F3532">
        <w:rPr>
          <w:rFonts w:eastAsia="Batang"/>
          <w:lang w:val="en-US"/>
        </w:rPr>
        <w:t xml:space="preserve"> to use LRF specifically as a strong leading indicator for long-term environmental consequences with Cs-137 as representative isotope</w:t>
      </w:r>
      <w:r w:rsidR="00DE30F6">
        <w:rPr>
          <w:rFonts w:eastAsia="Batang"/>
          <w:lang w:val="en-US"/>
        </w:rPr>
        <w:t xml:space="preserve"> (e.g</w:t>
      </w:r>
      <w:r w:rsidR="008A3C4A">
        <w:rPr>
          <w:rFonts w:eastAsia="Batang"/>
          <w:lang w:val="en-US"/>
        </w:rPr>
        <w:t>.</w:t>
      </w:r>
      <w:r w:rsidR="00DE30F6">
        <w:rPr>
          <w:rFonts w:eastAsia="Batang"/>
          <w:lang w:val="en-US"/>
        </w:rPr>
        <w:t xml:space="preserve"> </w:t>
      </w:r>
      <w:r w:rsidR="000F3532">
        <w:rPr>
          <w:rFonts w:eastAsia="Batang"/>
          <w:lang w:val="en-US"/>
        </w:rPr>
        <w:t>LRF threshold in the range of 100 TBq to 1 PBq Cs-137 (equiv.)</w:t>
      </w:r>
      <w:r w:rsidR="00DE30F6">
        <w:rPr>
          <w:rFonts w:eastAsia="Batang"/>
          <w:lang w:val="en-US"/>
        </w:rPr>
        <w:t>)</w:t>
      </w:r>
      <w:r w:rsidR="000F3532">
        <w:rPr>
          <w:rFonts w:eastAsia="Batang"/>
          <w:lang w:val="en-US"/>
        </w:rPr>
        <w:t>.</w:t>
      </w:r>
    </w:p>
    <w:p w:rsidR="000F3532" w:rsidRPr="000F3532" w:rsidRDefault="00D779E6">
      <w:pPr>
        <w:rPr>
          <w:rFonts w:eastAsia="Batang"/>
          <w:lang w:val="en-US"/>
        </w:rPr>
      </w:pPr>
      <w:r>
        <w:rPr>
          <w:rFonts w:eastAsia="Batang"/>
          <w:lang w:val="en-US"/>
        </w:rPr>
        <w:t>A</w:t>
      </w:r>
      <w:r w:rsidR="00D950D3">
        <w:rPr>
          <w:rFonts w:eastAsia="Batang"/>
          <w:lang w:val="en-US"/>
        </w:rPr>
        <w:t>lternatively, a release metric related to the INES scale (cf. section</w:t>
      </w:r>
      <w:r w:rsidR="009E768B">
        <w:rPr>
          <w:rFonts w:eastAsia="Batang"/>
          <w:lang w:val="en-US"/>
        </w:rPr>
        <w:fldChar w:fldCharType="begin"/>
      </w:r>
      <w:r w:rsidR="009F7FF4">
        <w:rPr>
          <w:rFonts w:eastAsia="Batang"/>
          <w:lang w:val="en-US"/>
        </w:rPr>
        <w:instrText xml:space="preserve"> REF _Ref323301751 \r \h </w:instrText>
      </w:r>
      <w:r w:rsidR="009E768B">
        <w:rPr>
          <w:rFonts w:eastAsia="Batang"/>
          <w:lang w:val="en-US"/>
        </w:rPr>
      </w:r>
      <w:r w:rsidR="009E768B">
        <w:rPr>
          <w:rFonts w:eastAsia="Batang"/>
          <w:lang w:val="en-US"/>
        </w:rPr>
        <w:fldChar w:fldCharType="separate"/>
      </w:r>
      <w:r w:rsidR="00B772CA">
        <w:rPr>
          <w:rFonts w:eastAsia="Batang"/>
          <w:lang w:val="en-US"/>
        </w:rPr>
        <w:t>3.5</w:t>
      </w:r>
      <w:r w:rsidR="009E768B">
        <w:rPr>
          <w:rFonts w:eastAsia="Batang"/>
          <w:lang w:val="en-US"/>
        </w:rPr>
        <w:fldChar w:fldCharType="end"/>
      </w:r>
      <w:r w:rsidR="00D950D3">
        <w:rPr>
          <w:rFonts w:eastAsia="Batang"/>
          <w:lang w:val="en-US"/>
        </w:rPr>
        <w:t>) or another limited set of release categories can be used for better describing the risk profile of the plant.</w:t>
      </w:r>
      <w:r w:rsidR="000F3532">
        <w:rPr>
          <w:rFonts w:eastAsia="Batang"/>
          <w:lang w:val="en-US"/>
        </w:rPr>
        <w:t xml:space="preserve"> </w:t>
      </w:r>
    </w:p>
    <w:p w:rsidR="004A00AB" w:rsidRPr="00313E82" w:rsidRDefault="004A00AB" w:rsidP="00C94556">
      <w:pPr>
        <w:pStyle w:val="Titre2"/>
        <w:rPr>
          <w:lang w:val="en-US"/>
        </w:rPr>
      </w:pPr>
      <w:bookmarkStart w:id="232" w:name="_Toc452560440"/>
      <w:bookmarkStart w:id="233" w:name="_Toc452561378"/>
      <w:bookmarkStart w:id="234" w:name="_Toc452561594"/>
      <w:bookmarkStart w:id="235" w:name="_Ref306875514"/>
      <w:bookmarkStart w:id="236" w:name="_Ref444685895"/>
      <w:bookmarkStart w:id="237" w:name="_Toc474430201"/>
      <w:bookmarkEnd w:id="232"/>
      <w:bookmarkEnd w:id="233"/>
      <w:bookmarkEnd w:id="234"/>
      <w:r w:rsidRPr="00313E82">
        <w:rPr>
          <w:lang w:val="en-US"/>
        </w:rPr>
        <w:t>Early Release Frequency</w:t>
      </w:r>
      <w:bookmarkEnd w:id="235"/>
      <w:r w:rsidR="00942738">
        <w:rPr>
          <w:lang w:val="en-US"/>
        </w:rPr>
        <w:t xml:space="preserve"> (ERF)</w:t>
      </w:r>
      <w:bookmarkEnd w:id="236"/>
      <w:bookmarkEnd w:id="237"/>
    </w:p>
    <w:p w:rsidR="00E408B8" w:rsidRPr="00313E82" w:rsidRDefault="00E408B8" w:rsidP="00C94556">
      <w:pPr>
        <w:pStyle w:val="Titre3"/>
        <w:rPr>
          <w:rFonts w:eastAsia="Batang"/>
          <w:lang w:val="en-US"/>
        </w:rPr>
      </w:pPr>
      <w:bookmarkStart w:id="238" w:name="_Toc474430202"/>
      <w:r w:rsidRPr="00313E82">
        <w:rPr>
          <w:rFonts w:eastAsia="Batang"/>
          <w:lang w:val="en-US"/>
        </w:rPr>
        <w:t>Definition of Risk Measure</w:t>
      </w:r>
      <w:bookmarkEnd w:id="238"/>
    </w:p>
    <w:p w:rsidR="00EF5396" w:rsidRPr="00313E82" w:rsidRDefault="00EF5396">
      <w:pPr>
        <w:rPr>
          <w:rFonts w:eastAsia="Batang"/>
          <w:lang w:val="en-US"/>
        </w:rPr>
      </w:pPr>
      <w:r w:rsidRPr="00313E82">
        <w:rPr>
          <w:rFonts w:eastAsia="Batang"/>
          <w:u w:val="single"/>
          <w:lang w:val="en-US"/>
        </w:rPr>
        <w:t>Risk metric</w:t>
      </w:r>
      <w:r w:rsidRPr="00313E82">
        <w:rPr>
          <w:rFonts w:eastAsia="Batang"/>
          <w:lang w:val="en-US"/>
        </w:rPr>
        <w:t xml:space="preserve">: </w:t>
      </w:r>
    </w:p>
    <w:p w:rsidR="00CC2520" w:rsidRDefault="00EF5396">
      <w:pPr>
        <w:pStyle w:val="Corpsdetexte"/>
        <w:rPr>
          <w:rFonts w:eastAsia="Batang"/>
        </w:rPr>
      </w:pPr>
      <w:r w:rsidRPr="00313E82">
        <w:rPr>
          <w:rFonts w:eastAsia="Batang"/>
        </w:rPr>
        <w:t>A</w:t>
      </w:r>
      <w:r>
        <w:rPr>
          <w:rFonts w:eastAsia="Batang"/>
        </w:rPr>
        <w:t>n</w:t>
      </w:r>
      <w:r w:rsidR="000F0B37">
        <w:rPr>
          <w:rFonts w:eastAsia="Batang"/>
        </w:rPr>
        <w:t xml:space="preserve"> early release is commonly understood to cover scenarios </w:t>
      </w:r>
      <w:r w:rsidR="005C5F50">
        <w:rPr>
          <w:rFonts w:eastAsia="Batang"/>
        </w:rPr>
        <w:t>with release</w:t>
      </w:r>
      <w:r w:rsidR="00CC2520">
        <w:rPr>
          <w:rFonts w:eastAsia="Batang"/>
        </w:rPr>
        <w:t>s</w:t>
      </w:r>
      <w:r w:rsidR="005C5F50">
        <w:rPr>
          <w:rFonts w:eastAsia="Batang"/>
        </w:rPr>
        <w:t xml:space="preserve"> to the </w:t>
      </w:r>
      <w:r w:rsidR="00800747">
        <w:rPr>
          <w:rFonts w:eastAsia="Batang"/>
        </w:rPr>
        <w:t>environment</w:t>
      </w:r>
      <w:r w:rsidR="005C5F50">
        <w:rPr>
          <w:rFonts w:eastAsia="Batang"/>
        </w:rPr>
        <w:t xml:space="preserve">, </w:t>
      </w:r>
      <w:r w:rsidR="000F0B37">
        <w:rPr>
          <w:rFonts w:eastAsia="Batang"/>
        </w:rPr>
        <w:t>which happen before off-site e</w:t>
      </w:r>
      <w:r w:rsidR="00673569">
        <w:rPr>
          <w:rFonts w:eastAsia="Batang"/>
        </w:rPr>
        <w:t xml:space="preserve">mergency measures are effective, cf. e.g. </w:t>
      </w:r>
      <w:r w:rsidR="009E768B">
        <w:rPr>
          <w:rFonts w:eastAsia="Batang"/>
        </w:rPr>
        <w:fldChar w:fldCharType="begin"/>
      </w:r>
      <w:r w:rsidR="00673569">
        <w:rPr>
          <w:rFonts w:eastAsia="Batang"/>
        </w:rPr>
        <w:instrText xml:space="preserve"> REF _Ref418600965 \r \h </w:instrText>
      </w:r>
      <w:r w:rsidR="009E768B">
        <w:rPr>
          <w:rFonts w:eastAsia="Batang"/>
        </w:rPr>
      </w:r>
      <w:r w:rsidR="009E768B">
        <w:rPr>
          <w:rFonts w:eastAsia="Batang"/>
        </w:rPr>
        <w:fldChar w:fldCharType="separate"/>
      </w:r>
      <w:r w:rsidR="00B772CA">
        <w:rPr>
          <w:rFonts w:eastAsia="Batang"/>
        </w:rPr>
        <w:t>[77]</w:t>
      </w:r>
      <w:r w:rsidR="009E768B">
        <w:rPr>
          <w:rFonts w:eastAsia="Batang"/>
        </w:rPr>
        <w:fldChar w:fldCharType="end"/>
      </w:r>
      <w:r w:rsidR="001E00E4">
        <w:rPr>
          <w:rFonts w:eastAsia="Batang"/>
        </w:rPr>
        <w:t xml:space="preserve">, </w:t>
      </w:r>
      <w:r w:rsidR="009E768B">
        <w:rPr>
          <w:rFonts w:eastAsia="Batang"/>
        </w:rPr>
        <w:fldChar w:fldCharType="begin"/>
      </w:r>
      <w:r w:rsidR="001E00E4">
        <w:rPr>
          <w:rFonts w:eastAsia="Batang"/>
        </w:rPr>
        <w:instrText xml:space="preserve"> REF _Ref444679894 \r \h </w:instrText>
      </w:r>
      <w:r w:rsidR="009E768B">
        <w:rPr>
          <w:rFonts w:eastAsia="Batang"/>
        </w:rPr>
      </w:r>
      <w:r w:rsidR="009E768B">
        <w:rPr>
          <w:rFonts w:eastAsia="Batang"/>
        </w:rPr>
        <w:fldChar w:fldCharType="separate"/>
      </w:r>
      <w:r w:rsidR="00B772CA">
        <w:rPr>
          <w:rFonts w:eastAsia="Batang"/>
        </w:rPr>
        <w:t>[111]</w:t>
      </w:r>
      <w:r w:rsidR="009E768B">
        <w:rPr>
          <w:rFonts w:eastAsia="Batang"/>
        </w:rPr>
        <w:fldChar w:fldCharType="end"/>
      </w:r>
      <w:r w:rsidR="00673569">
        <w:rPr>
          <w:rFonts w:eastAsia="Batang"/>
        </w:rPr>
        <w:t>. In most cases, “early” release has been defined in the context of “large early release”</w:t>
      </w:r>
      <w:r w:rsidR="00942738">
        <w:rPr>
          <w:rFonts w:eastAsia="Batang"/>
        </w:rPr>
        <w:t xml:space="preserve"> (LERF)</w:t>
      </w:r>
      <w:r w:rsidR="00673569">
        <w:rPr>
          <w:rFonts w:eastAsia="Batang"/>
        </w:rPr>
        <w:t xml:space="preserve">, </w:t>
      </w:r>
      <w:r w:rsidR="00E54D4C">
        <w:rPr>
          <w:rFonts w:eastAsia="Batang"/>
        </w:rPr>
        <w:t>see</w:t>
      </w:r>
      <w:r w:rsidR="00673569">
        <w:rPr>
          <w:rFonts w:eastAsia="Batang"/>
        </w:rPr>
        <w:t xml:space="preserve"> section </w:t>
      </w:r>
      <w:r w:rsidR="009E768B">
        <w:rPr>
          <w:rFonts w:eastAsia="Batang"/>
        </w:rPr>
        <w:fldChar w:fldCharType="begin"/>
      </w:r>
      <w:r w:rsidR="00673569">
        <w:rPr>
          <w:rFonts w:eastAsia="Batang"/>
        </w:rPr>
        <w:instrText xml:space="preserve"> REF _Ref444675840 \r \h </w:instrText>
      </w:r>
      <w:r w:rsidR="009E768B">
        <w:rPr>
          <w:rFonts w:eastAsia="Batang"/>
        </w:rPr>
      </w:r>
      <w:r w:rsidR="009E768B">
        <w:rPr>
          <w:rFonts w:eastAsia="Batang"/>
        </w:rPr>
        <w:fldChar w:fldCharType="separate"/>
      </w:r>
      <w:r w:rsidR="00B772CA">
        <w:rPr>
          <w:rFonts w:eastAsia="Batang"/>
        </w:rPr>
        <w:t>3.3</w:t>
      </w:r>
      <w:r w:rsidR="009E768B">
        <w:rPr>
          <w:rFonts w:eastAsia="Batang"/>
        </w:rPr>
        <w:fldChar w:fldCharType="end"/>
      </w:r>
      <w:r w:rsidR="00673569">
        <w:rPr>
          <w:rFonts w:eastAsia="Batang"/>
        </w:rPr>
        <w:t xml:space="preserve">. </w:t>
      </w:r>
    </w:p>
    <w:p w:rsidR="00673569" w:rsidRDefault="00673569">
      <w:pPr>
        <w:pStyle w:val="Corpsdetexte"/>
        <w:rPr>
          <w:rFonts w:eastAsia="Batang"/>
        </w:rPr>
      </w:pPr>
      <w:r>
        <w:rPr>
          <w:rFonts w:eastAsia="Batang"/>
        </w:rPr>
        <w:t>There is no agreement on the following issues for the definition of “early”.</w:t>
      </w:r>
    </w:p>
    <w:p w:rsidR="00942738" w:rsidRDefault="00673569" w:rsidP="00C94556">
      <w:pPr>
        <w:pStyle w:val="Corpsdetexte"/>
        <w:numPr>
          <w:ilvl w:val="0"/>
          <w:numId w:val="78"/>
        </w:numPr>
        <w:rPr>
          <w:rFonts w:eastAsia="Batang"/>
        </w:rPr>
      </w:pPr>
      <w:r>
        <w:rPr>
          <w:rFonts w:eastAsia="Batang"/>
        </w:rPr>
        <w:t xml:space="preserve">The length of the time period </w:t>
      </w:r>
      <w:r w:rsidR="00942738">
        <w:rPr>
          <w:rFonts w:eastAsia="Batang"/>
        </w:rPr>
        <w:t xml:space="preserve">for “early” </w:t>
      </w:r>
      <w:r>
        <w:rPr>
          <w:rFonts w:eastAsia="Batang"/>
        </w:rPr>
        <w:t>in hours.</w:t>
      </w:r>
      <w:r w:rsidR="00942738">
        <w:rPr>
          <w:rFonts w:eastAsia="Batang"/>
        </w:rPr>
        <w:t xml:space="preserve"> Examples vary between 8 hours to 24 hours.</w:t>
      </w:r>
    </w:p>
    <w:p w:rsidR="00942738" w:rsidRPr="00942738" w:rsidRDefault="00942738" w:rsidP="00C94556">
      <w:pPr>
        <w:pStyle w:val="Corpsdetexte"/>
        <w:numPr>
          <w:ilvl w:val="0"/>
          <w:numId w:val="78"/>
        </w:numPr>
        <w:rPr>
          <w:rFonts w:eastAsia="Batang"/>
        </w:rPr>
      </w:pPr>
      <w:r>
        <w:rPr>
          <w:rFonts w:eastAsia="Batang"/>
        </w:rPr>
        <w:t xml:space="preserve">The point in time, at which </w:t>
      </w:r>
      <w:r w:rsidR="00800747">
        <w:rPr>
          <w:rFonts w:eastAsia="Batang"/>
        </w:rPr>
        <w:t xml:space="preserve">counting </w:t>
      </w:r>
      <w:r>
        <w:rPr>
          <w:rFonts w:eastAsia="Batang"/>
        </w:rPr>
        <w:t>the time period for “early release” should start. In discussion are particularly: the initiating event (t=0), the declaration of a state of emergency by either the operator or the responsible authority, and the first release.</w:t>
      </w:r>
      <w:r w:rsidR="00673569">
        <w:rPr>
          <w:rFonts w:eastAsia="Batang"/>
        </w:rPr>
        <w:t xml:space="preserve"> </w:t>
      </w:r>
    </w:p>
    <w:p w:rsidR="00942738" w:rsidRDefault="00942738">
      <w:pPr>
        <w:pStyle w:val="Corpsdetexte"/>
        <w:rPr>
          <w:rFonts w:eastAsia="Batang"/>
        </w:rPr>
      </w:pPr>
      <w:r>
        <w:rPr>
          <w:rFonts w:eastAsia="Batang"/>
        </w:rPr>
        <w:t xml:space="preserve">An early release metric is usually defined based on the leading isotope I-131. If the early release metric is used independently and not as LERF, then there is the question if there needs to be a lower threshold for a release to qualify as early release and at what value such a threshold should be set. </w:t>
      </w:r>
    </w:p>
    <w:p w:rsidR="00E408B8" w:rsidRPr="00313E82" w:rsidRDefault="00E408B8" w:rsidP="00C94556">
      <w:pPr>
        <w:pStyle w:val="Titre3"/>
        <w:rPr>
          <w:rFonts w:eastAsia="Batang"/>
          <w:lang w:val="en-US"/>
        </w:rPr>
      </w:pPr>
      <w:bookmarkStart w:id="239" w:name="_Toc474430203"/>
      <w:r w:rsidRPr="00313E82">
        <w:rPr>
          <w:rFonts w:eastAsia="Batang"/>
          <w:lang w:val="en-US"/>
        </w:rPr>
        <w:lastRenderedPageBreak/>
        <w:t>Discussion</w:t>
      </w:r>
      <w:bookmarkEnd w:id="239"/>
    </w:p>
    <w:p w:rsidR="002110B3" w:rsidRDefault="00245A36">
      <w:pPr>
        <w:ind w:left="284" w:hanging="284"/>
        <w:rPr>
          <w:rFonts w:eastAsia="Batang"/>
          <w:lang w:val="en-US"/>
        </w:rPr>
      </w:pPr>
      <w:r w:rsidRPr="00552F4E">
        <w:rPr>
          <w:rFonts w:eastAsia="Batang"/>
          <w:u w:val="single"/>
          <w:lang w:val="en-US"/>
        </w:rPr>
        <w:t>Validit</w:t>
      </w:r>
      <w:r w:rsidRPr="00313E82">
        <w:rPr>
          <w:rFonts w:eastAsia="Batang"/>
          <w:lang w:val="en-US"/>
        </w:rPr>
        <w:t xml:space="preserve">y: </w:t>
      </w:r>
      <w:r>
        <w:rPr>
          <w:rFonts w:eastAsia="Batang"/>
          <w:lang w:val="en-US"/>
        </w:rPr>
        <w:t>Early release is</w:t>
      </w:r>
      <w:r w:rsidRPr="00313E82">
        <w:rPr>
          <w:rFonts w:eastAsia="Batang"/>
          <w:lang w:val="en-US"/>
        </w:rPr>
        <w:t xml:space="preserve"> – once defined – a clearly described state in the risk model.</w:t>
      </w:r>
    </w:p>
    <w:p w:rsidR="00245A36" w:rsidRDefault="00245A36" w:rsidP="00C94556">
      <w:pPr>
        <w:ind w:left="284"/>
        <w:rPr>
          <w:rFonts w:eastAsia="Batang"/>
          <w:lang w:val="en-US"/>
        </w:rPr>
      </w:pPr>
      <w:r w:rsidRPr="00245A36">
        <w:rPr>
          <w:rFonts w:eastAsia="Batang"/>
          <w:lang w:val="en-US"/>
        </w:rPr>
        <w:t>Assigning the likelihood (distribution) to the sequence(s) ending in a</w:t>
      </w:r>
      <w:r>
        <w:rPr>
          <w:rFonts w:eastAsia="Batang"/>
          <w:lang w:val="en-US"/>
        </w:rPr>
        <w:t>n early</w:t>
      </w:r>
      <w:r w:rsidRPr="00245A36">
        <w:rPr>
          <w:rFonts w:eastAsia="Batang"/>
          <w:lang w:val="en-US"/>
        </w:rPr>
        <w:t xml:space="preserve"> release is a clear and traceable quantification procedure. Averaging risk model results over time is a sensible and consistent way of defining a risk measure. In this regard, </w:t>
      </w:r>
      <w:r>
        <w:rPr>
          <w:rFonts w:eastAsia="Batang"/>
          <w:lang w:val="en-US"/>
        </w:rPr>
        <w:t>E</w:t>
      </w:r>
      <w:r w:rsidRPr="00245A36">
        <w:rPr>
          <w:rFonts w:eastAsia="Batang"/>
          <w:lang w:val="en-US"/>
        </w:rPr>
        <w:t>RF is a valid risk measure.</w:t>
      </w:r>
      <w:r>
        <w:rPr>
          <w:rFonts w:eastAsia="Batang"/>
          <w:lang w:val="en-US"/>
        </w:rPr>
        <w:tab/>
      </w:r>
      <w:r>
        <w:rPr>
          <w:rFonts w:eastAsia="Batang"/>
          <w:lang w:val="en-US"/>
        </w:rPr>
        <w:br/>
        <w:t>ERF can be a leading indicator for acute irradiation effects to the popula</w:t>
      </w:r>
      <w:r w:rsidR="0015320D">
        <w:rPr>
          <w:rFonts w:eastAsia="Batang"/>
          <w:lang w:val="en-US"/>
        </w:rPr>
        <w:t>tion</w:t>
      </w:r>
      <w:r>
        <w:rPr>
          <w:rFonts w:eastAsia="Batang"/>
          <w:lang w:val="en-US"/>
        </w:rPr>
        <w:t xml:space="preserve"> in the vicinity of the plant. Moreover, ERF can capture important aspects of risk to on-site personnel. </w:t>
      </w:r>
      <w:r w:rsidR="001E00E4">
        <w:rPr>
          <w:rFonts w:eastAsia="Batang"/>
          <w:lang w:val="en-US"/>
        </w:rPr>
        <w:t xml:space="preserve">ERF can address the </w:t>
      </w:r>
      <w:r w:rsidR="00396541">
        <w:rPr>
          <w:rFonts w:eastAsia="Batang"/>
          <w:lang w:val="en-US"/>
        </w:rPr>
        <w:t xml:space="preserve">first aspect of the </w:t>
      </w:r>
      <w:r w:rsidR="001E00E4">
        <w:rPr>
          <w:rFonts w:eastAsia="Batang"/>
          <w:lang w:val="en-US"/>
        </w:rPr>
        <w:t xml:space="preserve">risk objective as stated in WENRA’s objective O3 </w:t>
      </w:r>
      <w:r w:rsidR="007B7974">
        <w:rPr>
          <w:rFonts w:eastAsia="Batang"/>
          <w:lang w:val="en-US"/>
        </w:rPr>
        <w:t>that accidents “which would lead to early or large</w:t>
      </w:r>
      <w:r w:rsidR="007B7974" w:rsidRPr="007B7974">
        <w:rPr>
          <w:rFonts w:eastAsia="Batang"/>
          <w:lang w:val="en-US"/>
        </w:rPr>
        <w:t xml:space="preserve"> releases have to be practically eliminated</w:t>
      </w:r>
      <w:r w:rsidR="007B7974">
        <w:rPr>
          <w:rFonts w:eastAsia="Batang"/>
          <w:lang w:val="en-US"/>
        </w:rPr>
        <w:t xml:space="preserve">” </w:t>
      </w:r>
      <w:r w:rsidR="009E768B">
        <w:rPr>
          <w:rFonts w:eastAsia="Batang"/>
          <w:lang w:val="en-US"/>
        </w:rPr>
        <w:fldChar w:fldCharType="begin"/>
      </w:r>
      <w:r w:rsidR="007B7974">
        <w:rPr>
          <w:rFonts w:eastAsia="Batang"/>
          <w:lang w:val="en-US"/>
        </w:rPr>
        <w:instrText xml:space="preserve"> REF _Ref444680058 \r \h </w:instrText>
      </w:r>
      <w:r w:rsidR="009E768B">
        <w:rPr>
          <w:rFonts w:eastAsia="Batang"/>
          <w:lang w:val="en-US"/>
        </w:rPr>
      </w:r>
      <w:r w:rsidR="009E768B">
        <w:rPr>
          <w:rFonts w:eastAsia="Batang"/>
          <w:lang w:val="en-US"/>
        </w:rPr>
        <w:fldChar w:fldCharType="separate"/>
      </w:r>
      <w:r w:rsidR="00B772CA">
        <w:rPr>
          <w:rFonts w:eastAsia="Batang"/>
          <w:lang w:val="en-US"/>
        </w:rPr>
        <w:t>[111]</w:t>
      </w:r>
      <w:r w:rsidR="009E768B">
        <w:rPr>
          <w:rFonts w:eastAsia="Batang"/>
          <w:lang w:val="en-US"/>
        </w:rPr>
        <w:fldChar w:fldCharType="end"/>
      </w:r>
      <w:r w:rsidR="007B7974">
        <w:rPr>
          <w:rFonts w:eastAsia="Batang"/>
          <w:lang w:val="en-US"/>
        </w:rPr>
        <w:t xml:space="preserve">, p. 26. </w:t>
      </w:r>
      <w:r w:rsidR="001E00E4">
        <w:rPr>
          <w:rFonts w:eastAsia="Batang"/>
          <w:lang w:val="en-US"/>
        </w:rPr>
        <w:t xml:space="preserve">  </w:t>
      </w:r>
      <w:r w:rsidR="001E00E4">
        <w:rPr>
          <w:rFonts w:eastAsia="Batang"/>
          <w:lang w:val="en-US"/>
        </w:rPr>
        <w:tab/>
      </w:r>
      <w:r w:rsidR="001E00E4">
        <w:rPr>
          <w:rFonts w:eastAsia="Batang"/>
          <w:lang w:val="en-US"/>
        </w:rPr>
        <w:br/>
      </w:r>
      <w:r>
        <w:rPr>
          <w:rFonts w:eastAsia="Batang"/>
          <w:lang w:val="en-US"/>
        </w:rPr>
        <w:t xml:space="preserve">As ERF addresses short-time effects, its proper definition should be with I-131 as leading isotope. </w:t>
      </w:r>
      <w:r w:rsidR="0015320D">
        <w:rPr>
          <w:rFonts w:eastAsia="Batang"/>
          <w:lang w:val="en-US"/>
        </w:rPr>
        <w:t>N</w:t>
      </w:r>
      <w:r>
        <w:rPr>
          <w:rFonts w:eastAsia="Batang"/>
          <w:lang w:val="en-US"/>
        </w:rPr>
        <w:t>oble gas radionuclides like Xe-</w:t>
      </w:r>
      <w:r w:rsidR="005C5F50">
        <w:rPr>
          <w:rFonts w:eastAsia="Batang"/>
          <w:lang w:val="en-US"/>
        </w:rPr>
        <w:t>133 might</w:t>
      </w:r>
      <w:r w:rsidR="00E54D4C">
        <w:rPr>
          <w:rFonts w:eastAsia="Batang"/>
          <w:lang w:val="en-US"/>
        </w:rPr>
        <w:t xml:space="preserve"> </w:t>
      </w:r>
      <w:r w:rsidR="00E54D4C" w:rsidRPr="00E54D4C">
        <w:rPr>
          <w:rFonts w:eastAsia="Batang"/>
          <w:lang w:val="en-US"/>
        </w:rPr>
        <w:t>also</w:t>
      </w:r>
      <w:r w:rsidR="005C5F50">
        <w:rPr>
          <w:rFonts w:eastAsia="Batang"/>
          <w:lang w:val="en-US"/>
        </w:rPr>
        <w:t xml:space="preserve"> be radiologically relevant to short-term irradiation </w:t>
      </w:r>
      <w:r w:rsidR="0015320D">
        <w:rPr>
          <w:rFonts w:eastAsia="Batang"/>
          <w:lang w:val="en-US"/>
        </w:rPr>
        <w:t xml:space="preserve">contributors </w:t>
      </w:r>
      <w:r w:rsidR="005C5F50">
        <w:rPr>
          <w:rFonts w:eastAsia="Batang"/>
          <w:lang w:val="en-US"/>
        </w:rPr>
        <w:t>near to the site (and also on the site).</w:t>
      </w:r>
    </w:p>
    <w:p w:rsidR="002110B3" w:rsidRPr="00313E82" w:rsidRDefault="002110B3" w:rsidP="00C94556">
      <w:pPr>
        <w:ind w:left="284"/>
        <w:rPr>
          <w:rFonts w:eastAsia="Batang"/>
          <w:lang w:val="en-US"/>
        </w:rPr>
      </w:pPr>
    </w:p>
    <w:p w:rsidR="00245A36" w:rsidRDefault="00245A36" w:rsidP="00C94556">
      <w:pPr>
        <w:ind w:left="284" w:hanging="284"/>
        <w:rPr>
          <w:rFonts w:eastAsia="Batang"/>
          <w:lang w:val="en-US"/>
        </w:rPr>
      </w:pPr>
      <w:r w:rsidRPr="00552F4E">
        <w:rPr>
          <w:rFonts w:eastAsia="Batang"/>
          <w:u w:val="single"/>
          <w:lang w:val="en-US"/>
        </w:rPr>
        <w:t>Reliability</w:t>
      </w:r>
      <w:r w:rsidRPr="00313E82">
        <w:rPr>
          <w:rFonts w:eastAsia="Batang"/>
          <w:lang w:val="en-US"/>
        </w:rPr>
        <w:t xml:space="preserve">: There </w:t>
      </w:r>
      <w:r w:rsidR="007063D1">
        <w:rPr>
          <w:rFonts w:eastAsia="Batang"/>
          <w:lang w:val="en-US"/>
        </w:rPr>
        <w:t xml:space="preserve">is significant variability in the definitions of </w:t>
      </w:r>
      <w:r>
        <w:rPr>
          <w:rFonts w:eastAsia="Batang"/>
          <w:lang w:val="en-US"/>
        </w:rPr>
        <w:t>the</w:t>
      </w:r>
      <w:r w:rsidRPr="00313E82">
        <w:rPr>
          <w:rFonts w:eastAsia="Batang"/>
          <w:lang w:val="en-US"/>
        </w:rPr>
        <w:t xml:space="preserve"> </w:t>
      </w:r>
      <w:r>
        <w:rPr>
          <w:rFonts w:eastAsia="Batang"/>
          <w:lang w:val="en-US"/>
        </w:rPr>
        <w:t>large release metric</w:t>
      </w:r>
      <w:r w:rsidR="007063D1">
        <w:rPr>
          <w:rFonts w:eastAsia="Batang"/>
          <w:lang w:val="en-US"/>
        </w:rPr>
        <w:t>, see above</w:t>
      </w:r>
      <w:r w:rsidRPr="00313E82">
        <w:rPr>
          <w:rFonts w:eastAsia="Batang"/>
          <w:lang w:val="en-US"/>
        </w:rPr>
        <w:t xml:space="preserve">. </w:t>
      </w:r>
    </w:p>
    <w:p w:rsidR="00245A36" w:rsidRDefault="00245A36">
      <w:pPr>
        <w:ind w:left="284"/>
        <w:rPr>
          <w:rFonts w:eastAsia="Batang"/>
          <w:lang w:val="en-US"/>
        </w:rPr>
      </w:pPr>
      <w:r w:rsidRPr="00A16015">
        <w:rPr>
          <w:rFonts w:eastAsia="Batang"/>
          <w:lang w:val="en-US"/>
        </w:rPr>
        <w:t xml:space="preserve">However, if the </w:t>
      </w:r>
      <w:r w:rsidR="007063D1">
        <w:rPr>
          <w:rFonts w:eastAsia="Batang"/>
          <w:lang w:val="en-US"/>
        </w:rPr>
        <w:t>early</w:t>
      </w:r>
      <w:r>
        <w:rPr>
          <w:rFonts w:eastAsia="Batang"/>
          <w:lang w:val="en-US"/>
        </w:rPr>
        <w:t xml:space="preserve"> release</w:t>
      </w:r>
      <w:r w:rsidRPr="00A16015">
        <w:rPr>
          <w:rFonts w:eastAsia="Batang"/>
          <w:lang w:val="en-US"/>
        </w:rPr>
        <w:t xml:space="preserve"> metric has been clearly established, it allows for – in principle – reproducible PSA modeling of the accident sequence analysis. </w:t>
      </w:r>
      <w:r>
        <w:rPr>
          <w:rFonts w:eastAsia="Batang"/>
          <w:lang w:val="en-US"/>
        </w:rPr>
        <w:t xml:space="preserve">In that sense, </w:t>
      </w:r>
      <w:r w:rsidR="007063D1">
        <w:rPr>
          <w:rFonts w:eastAsia="Batang"/>
          <w:lang w:val="en-US"/>
        </w:rPr>
        <w:t>E</w:t>
      </w:r>
      <w:r>
        <w:rPr>
          <w:rFonts w:eastAsia="Batang"/>
          <w:lang w:val="en-US"/>
        </w:rPr>
        <w:t>R</w:t>
      </w:r>
      <w:r w:rsidRPr="00A16015">
        <w:rPr>
          <w:rFonts w:eastAsia="Batang"/>
          <w:lang w:val="en-US"/>
        </w:rPr>
        <w:t>F is a reliable measure.</w:t>
      </w:r>
    </w:p>
    <w:p w:rsidR="002110B3" w:rsidRPr="00A16015" w:rsidRDefault="002110B3">
      <w:pPr>
        <w:ind w:left="284"/>
        <w:rPr>
          <w:rFonts w:eastAsia="Batang"/>
          <w:lang w:val="en-US"/>
        </w:rPr>
      </w:pPr>
    </w:p>
    <w:p w:rsidR="00245A36" w:rsidRDefault="00245A36">
      <w:pPr>
        <w:ind w:left="284" w:hanging="284"/>
        <w:rPr>
          <w:rFonts w:eastAsia="Batang"/>
          <w:lang w:val="en-US"/>
        </w:rPr>
      </w:pPr>
      <w:r w:rsidRPr="00552F4E">
        <w:rPr>
          <w:rFonts w:eastAsia="Batang"/>
          <w:u w:val="single"/>
          <w:lang w:val="en-US"/>
        </w:rPr>
        <w:t>Consistency</w:t>
      </w:r>
      <w:r w:rsidRPr="00313E82">
        <w:rPr>
          <w:rFonts w:eastAsia="Batang"/>
          <w:lang w:val="en-US"/>
        </w:rPr>
        <w:t xml:space="preserve">: </w:t>
      </w:r>
      <w:r w:rsidR="007063D1">
        <w:rPr>
          <w:rFonts w:eastAsia="Batang"/>
          <w:lang w:val="en-US"/>
        </w:rPr>
        <w:t>ERF</w:t>
      </w:r>
      <w:r w:rsidRPr="00313E82">
        <w:rPr>
          <w:rFonts w:eastAsia="Batang"/>
          <w:lang w:val="en-US"/>
        </w:rPr>
        <w:t xml:space="preserve"> induces an order relation satisfying rationality criteria, if risk aggregation properties are properly considered. Basically, the measure is consistent. </w:t>
      </w:r>
    </w:p>
    <w:p w:rsidR="002110B3" w:rsidRPr="00313E82" w:rsidRDefault="002110B3">
      <w:pPr>
        <w:ind w:left="284" w:hanging="284"/>
        <w:rPr>
          <w:rFonts w:eastAsia="Batang"/>
          <w:lang w:val="en-US"/>
        </w:rPr>
      </w:pPr>
    </w:p>
    <w:p w:rsidR="00245A36" w:rsidRDefault="00245A36">
      <w:pPr>
        <w:ind w:left="284" w:hanging="284"/>
        <w:rPr>
          <w:rFonts w:eastAsia="Batang"/>
          <w:lang w:val="en-US"/>
        </w:rPr>
      </w:pPr>
      <w:r w:rsidRPr="00552F4E">
        <w:rPr>
          <w:rFonts w:eastAsia="Batang"/>
          <w:u w:val="single"/>
          <w:lang w:val="en-US"/>
        </w:rPr>
        <w:t>Risk aggregation properties</w:t>
      </w:r>
      <w:r w:rsidRPr="00313E82">
        <w:rPr>
          <w:rFonts w:eastAsia="Batang"/>
          <w:lang w:val="en-US"/>
        </w:rPr>
        <w:t xml:space="preserve">: Aggregating </w:t>
      </w:r>
      <w:r w:rsidR="007063D1">
        <w:rPr>
          <w:rFonts w:eastAsia="Batang"/>
          <w:lang w:val="en-US"/>
        </w:rPr>
        <w:t>E</w:t>
      </w:r>
      <w:r>
        <w:rPr>
          <w:rFonts w:eastAsia="Batang"/>
          <w:lang w:val="en-US"/>
        </w:rPr>
        <w:t>RF</w:t>
      </w:r>
      <w:r w:rsidRPr="00313E82">
        <w:rPr>
          <w:rFonts w:eastAsia="Batang"/>
          <w:lang w:val="en-US"/>
        </w:rPr>
        <w:t xml:space="preserve"> values over multiple scenarios (i.e. frequency values) is a well-defined operation, if performed on a minimal cut set basis</w:t>
      </w:r>
      <w:r>
        <w:rPr>
          <w:rFonts w:eastAsia="Batang"/>
          <w:lang w:val="en-US"/>
        </w:rPr>
        <w:t xml:space="preserve"> (or disjunctive sequences)</w:t>
      </w:r>
      <w:r w:rsidRPr="00313E82">
        <w:rPr>
          <w:rFonts w:eastAsia="Batang"/>
          <w:lang w:val="en-US"/>
        </w:rPr>
        <w:t xml:space="preserve">, resulting in a consistent risk measure. </w:t>
      </w:r>
      <w:r>
        <w:rPr>
          <w:rFonts w:eastAsia="Batang"/>
          <w:lang w:val="en-US"/>
        </w:rPr>
        <w:tab/>
      </w:r>
      <w:r>
        <w:rPr>
          <w:rFonts w:eastAsia="Batang"/>
          <w:lang w:val="en-US"/>
        </w:rPr>
        <w:br/>
      </w:r>
      <w:r w:rsidRPr="00313E82">
        <w:rPr>
          <w:rFonts w:eastAsia="Batang"/>
          <w:lang w:val="en-US"/>
        </w:rPr>
        <w:t>With respect to risk aggregation, PSA specialists and decision makers have to ackno</w:t>
      </w:r>
      <w:r>
        <w:rPr>
          <w:rFonts w:eastAsia="Batang"/>
          <w:lang w:val="en-US"/>
        </w:rPr>
        <w:t xml:space="preserve">wledge the limitations of the </w:t>
      </w:r>
      <w:r w:rsidR="001E00E4">
        <w:rPr>
          <w:rFonts w:eastAsia="Batang"/>
          <w:lang w:val="en-US"/>
        </w:rPr>
        <w:t>E</w:t>
      </w:r>
      <w:r>
        <w:rPr>
          <w:rFonts w:eastAsia="Batang"/>
          <w:lang w:val="en-US"/>
        </w:rPr>
        <w:t>R</w:t>
      </w:r>
      <w:r w:rsidRPr="00313E82">
        <w:rPr>
          <w:rFonts w:eastAsia="Batang"/>
          <w:lang w:val="en-US"/>
        </w:rPr>
        <w:t xml:space="preserve">F measure. </w:t>
      </w:r>
      <w:r w:rsidR="001E00E4">
        <w:rPr>
          <w:rFonts w:eastAsia="Batang"/>
          <w:lang w:val="en-US"/>
        </w:rPr>
        <w:t>E</w:t>
      </w:r>
      <w:r w:rsidR="00396541">
        <w:rPr>
          <w:rFonts w:eastAsia="Batang"/>
          <w:lang w:val="en-US"/>
        </w:rPr>
        <w:t>RF</w:t>
      </w:r>
      <w:r>
        <w:rPr>
          <w:rFonts w:eastAsia="Batang"/>
          <w:lang w:val="en-US"/>
        </w:rPr>
        <w:t xml:space="preserve"> identify</w:t>
      </w:r>
      <w:r w:rsidRPr="00313E82">
        <w:rPr>
          <w:rFonts w:eastAsia="Batang"/>
          <w:lang w:val="en-US"/>
        </w:rPr>
        <w:t xml:space="preserve"> </w:t>
      </w:r>
      <w:r>
        <w:rPr>
          <w:rFonts w:eastAsia="Batang"/>
          <w:lang w:val="en-US"/>
        </w:rPr>
        <w:t xml:space="preserve">release scenarios </w:t>
      </w:r>
      <w:r w:rsidRPr="00313E82">
        <w:rPr>
          <w:rFonts w:eastAsia="Batang"/>
          <w:lang w:val="en-US"/>
        </w:rPr>
        <w:t xml:space="preserve">that </w:t>
      </w:r>
      <w:r>
        <w:rPr>
          <w:rFonts w:eastAsia="Batang"/>
          <w:lang w:val="en-US"/>
        </w:rPr>
        <w:t xml:space="preserve">develop in a short time </w:t>
      </w:r>
      <w:r w:rsidR="00396541">
        <w:rPr>
          <w:rFonts w:eastAsia="Batang"/>
          <w:lang w:val="en-US"/>
        </w:rPr>
        <w:t>but is not very sensitive to the amount of releases</w:t>
      </w:r>
      <w:r>
        <w:rPr>
          <w:rFonts w:eastAsia="Batang"/>
          <w:lang w:val="en-US"/>
        </w:rPr>
        <w:t>.</w:t>
      </w:r>
      <w:r w:rsidR="00396541">
        <w:rPr>
          <w:rFonts w:eastAsia="Batang"/>
          <w:lang w:val="en-US"/>
        </w:rPr>
        <w:t xml:space="preserve"> Therefore, ERF aggregates short-terms scenarios with rather limited short-term consequences (depending on an ERF minimum release threshold) and those with </w:t>
      </w:r>
      <w:r w:rsidR="002110B3">
        <w:rPr>
          <w:rFonts w:eastAsia="Batang"/>
          <w:lang w:val="en-US"/>
        </w:rPr>
        <w:t xml:space="preserve">high amplitude </w:t>
      </w:r>
      <w:r w:rsidR="00396541">
        <w:rPr>
          <w:rFonts w:eastAsia="Batang"/>
          <w:lang w:val="en-US"/>
        </w:rPr>
        <w:t xml:space="preserve">short-term consequences (e.g. a Chernobyl-type scenario). Moreover, ERF is per definition insensitive to late releases. </w:t>
      </w:r>
      <w:r w:rsidR="00396541">
        <w:rPr>
          <w:rFonts w:eastAsia="Batang"/>
          <w:lang w:val="en-US"/>
        </w:rPr>
        <w:tab/>
      </w:r>
      <w:r w:rsidR="00396541">
        <w:rPr>
          <w:rFonts w:eastAsia="Batang"/>
          <w:lang w:val="en-US"/>
        </w:rPr>
        <w:br/>
      </w:r>
      <w:r>
        <w:rPr>
          <w:rFonts w:eastAsia="Batang"/>
          <w:lang w:val="en-US"/>
        </w:rPr>
        <w:t>This might obfuscate the risk profile of the plant to some extent. PSA analysts and decision makers need to be aware of this issue.</w:t>
      </w:r>
    </w:p>
    <w:p w:rsidR="002110B3" w:rsidRPr="00313E82" w:rsidRDefault="002110B3">
      <w:pPr>
        <w:ind w:left="284" w:hanging="284"/>
        <w:rPr>
          <w:rFonts w:eastAsia="Batang"/>
          <w:lang w:val="en-US"/>
        </w:rPr>
      </w:pPr>
    </w:p>
    <w:p w:rsidR="00245A36" w:rsidRDefault="00245A36">
      <w:pPr>
        <w:ind w:left="284" w:hanging="284"/>
        <w:rPr>
          <w:rFonts w:eastAsia="Batang"/>
          <w:lang w:val="en-US"/>
        </w:rPr>
      </w:pPr>
      <w:r w:rsidRPr="00552F4E">
        <w:rPr>
          <w:rFonts w:eastAsia="Batang"/>
          <w:u w:val="single"/>
          <w:lang w:val="en-US"/>
        </w:rPr>
        <w:t>Understandability to the PSA community</w:t>
      </w:r>
      <w:r>
        <w:rPr>
          <w:rFonts w:eastAsia="Batang"/>
          <w:lang w:val="en-US"/>
        </w:rPr>
        <w:t xml:space="preserve">: </w:t>
      </w:r>
      <w:r w:rsidR="007063D1">
        <w:rPr>
          <w:rFonts w:eastAsia="Batang"/>
          <w:lang w:val="en-US"/>
        </w:rPr>
        <w:t>E</w:t>
      </w:r>
      <w:r>
        <w:rPr>
          <w:rFonts w:eastAsia="Batang"/>
          <w:lang w:val="en-US"/>
        </w:rPr>
        <w:t xml:space="preserve">RF is a </w:t>
      </w:r>
      <w:r w:rsidR="007063D1">
        <w:rPr>
          <w:rFonts w:eastAsia="Batang"/>
          <w:lang w:val="en-US"/>
        </w:rPr>
        <w:t>rarely</w:t>
      </w:r>
      <w:r w:rsidRPr="00313E82">
        <w:rPr>
          <w:rFonts w:eastAsia="Batang"/>
          <w:lang w:val="en-US"/>
        </w:rPr>
        <w:t xml:space="preserve"> used risk measure. </w:t>
      </w:r>
      <w:r w:rsidR="007063D1">
        <w:rPr>
          <w:rFonts w:eastAsia="Batang"/>
          <w:lang w:val="en-US"/>
        </w:rPr>
        <w:t>The variability in the understanding of “early”</w:t>
      </w:r>
      <w:r w:rsidR="00396541">
        <w:rPr>
          <w:rFonts w:eastAsia="Batang"/>
          <w:lang w:val="en-US"/>
        </w:rPr>
        <w:t xml:space="preserve"> hampers a more common usage of this risk measure. More importantly, though, </w:t>
      </w:r>
      <w:r w:rsidR="006A1BA8">
        <w:rPr>
          <w:rFonts w:eastAsia="Batang"/>
          <w:lang w:val="en-US"/>
        </w:rPr>
        <w:t xml:space="preserve">there is no agreement between countries that practically excluding “early release” (below the level of large releases) as stated in WENRA’s objective O3 </w:t>
      </w:r>
      <w:r w:rsidR="009E768B">
        <w:rPr>
          <w:rFonts w:eastAsia="Batang"/>
          <w:lang w:val="en-US"/>
        </w:rPr>
        <w:fldChar w:fldCharType="begin"/>
      </w:r>
      <w:r w:rsidR="006A1BA8">
        <w:rPr>
          <w:rFonts w:eastAsia="Batang"/>
          <w:lang w:val="en-US"/>
        </w:rPr>
        <w:instrText xml:space="preserve"> REF _Ref444680058 \r \h </w:instrText>
      </w:r>
      <w:r w:rsidR="009E768B">
        <w:rPr>
          <w:rFonts w:eastAsia="Batang"/>
          <w:lang w:val="en-US"/>
        </w:rPr>
      </w:r>
      <w:r w:rsidR="009E768B">
        <w:rPr>
          <w:rFonts w:eastAsia="Batang"/>
          <w:lang w:val="en-US"/>
        </w:rPr>
        <w:fldChar w:fldCharType="separate"/>
      </w:r>
      <w:r w:rsidR="00B772CA">
        <w:rPr>
          <w:rFonts w:eastAsia="Batang"/>
          <w:lang w:val="en-US"/>
        </w:rPr>
        <w:t>[111]</w:t>
      </w:r>
      <w:r w:rsidR="009E768B">
        <w:rPr>
          <w:rFonts w:eastAsia="Batang"/>
          <w:lang w:val="en-US"/>
        </w:rPr>
        <w:fldChar w:fldCharType="end"/>
      </w:r>
      <w:r w:rsidR="006A1BA8">
        <w:rPr>
          <w:rFonts w:eastAsia="Batang"/>
          <w:lang w:val="en-US"/>
        </w:rPr>
        <w:t xml:space="preserve"> applies to current NPP and needs to be evaluated by PSA. </w:t>
      </w:r>
      <w:r w:rsidR="00396541">
        <w:rPr>
          <w:rFonts w:eastAsia="Batang"/>
          <w:lang w:val="en-US"/>
        </w:rPr>
        <w:t xml:space="preserve"> </w:t>
      </w:r>
      <w:r w:rsidR="007063D1">
        <w:rPr>
          <w:rFonts w:eastAsia="Batang"/>
          <w:lang w:val="en-US"/>
        </w:rPr>
        <w:t xml:space="preserve"> </w:t>
      </w:r>
      <w:r>
        <w:rPr>
          <w:rFonts w:eastAsia="Batang"/>
          <w:lang w:val="en-US"/>
        </w:rPr>
        <w:tab/>
        <w:t xml:space="preserve"> </w:t>
      </w:r>
      <w:r>
        <w:rPr>
          <w:rFonts w:eastAsia="Batang"/>
          <w:lang w:val="en-US"/>
        </w:rPr>
        <w:br/>
      </w:r>
      <w:r w:rsidR="006A1BA8">
        <w:rPr>
          <w:rFonts w:eastAsia="Batang"/>
          <w:lang w:val="en-US"/>
        </w:rPr>
        <w:t>Similar to the</w:t>
      </w:r>
      <w:r>
        <w:rPr>
          <w:rFonts w:eastAsia="Batang"/>
          <w:lang w:val="en-US"/>
        </w:rPr>
        <w:t xml:space="preserve"> LRF metric</w:t>
      </w:r>
      <w:r w:rsidR="006A1BA8">
        <w:rPr>
          <w:rFonts w:eastAsia="Batang"/>
          <w:lang w:val="en-US"/>
        </w:rPr>
        <w:t>, ERF</w:t>
      </w:r>
      <w:r>
        <w:rPr>
          <w:rFonts w:eastAsia="Batang"/>
          <w:lang w:val="en-US"/>
        </w:rPr>
        <w:t xml:space="preserve"> can be defined in a consistent manner for relevant types of reactors and other sources on a NPP site</w:t>
      </w:r>
      <w:r w:rsidRPr="00313E82">
        <w:rPr>
          <w:rFonts w:eastAsia="Batang"/>
          <w:lang w:val="en-US"/>
        </w:rPr>
        <w:t>.</w:t>
      </w:r>
    </w:p>
    <w:p w:rsidR="00E408B8" w:rsidRPr="00313E82" w:rsidRDefault="00E408B8" w:rsidP="00C94556">
      <w:pPr>
        <w:pStyle w:val="Titre3"/>
        <w:rPr>
          <w:rFonts w:eastAsia="Batang"/>
          <w:lang w:val="en-US"/>
        </w:rPr>
      </w:pPr>
      <w:bookmarkStart w:id="240" w:name="_Toc452560444"/>
      <w:bookmarkStart w:id="241" w:name="_Toc452561382"/>
      <w:bookmarkStart w:id="242" w:name="_Toc452561598"/>
      <w:bookmarkStart w:id="243" w:name="_Toc474430204"/>
      <w:bookmarkEnd w:id="240"/>
      <w:bookmarkEnd w:id="241"/>
      <w:bookmarkEnd w:id="242"/>
      <w:r w:rsidRPr="00313E82">
        <w:rPr>
          <w:rFonts w:eastAsia="Batang"/>
          <w:lang w:val="en-US"/>
        </w:rPr>
        <w:lastRenderedPageBreak/>
        <w:t>Limitation</w:t>
      </w:r>
      <w:bookmarkEnd w:id="243"/>
    </w:p>
    <w:p w:rsidR="00874ED0" w:rsidRPr="00313E82" w:rsidRDefault="00874ED0">
      <w:pPr>
        <w:rPr>
          <w:rFonts w:eastAsia="Batang"/>
          <w:lang w:val="en-US"/>
        </w:rPr>
      </w:pPr>
      <w:r>
        <w:rPr>
          <w:rFonts w:eastAsia="Batang"/>
          <w:lang w:val="en-US"/>
        </w:rPr>
        <w:t xml:space="preserve">As already mentioned above, the ERF metric aggregates over </w:t>
      </w:r>
      <w:r w:rsidR="002110B3">
        <w:rPr>
          <w:rFonts w:eastAsia="Batang"/>
          <w:lang w:val="en-US"/>
        </w:rPr>
        <w:t xml:space="preserve">the </w:t>
      </w:r>
      <w:r>
        <w:rPr>
          <w:rFonts w:eastAsia="Batang"/>
          <w:lang w:val="en-US"/>
        </w:rPr>
        <w:t xml:space="preserve">short-term release sequences with comparatively minor consequences (e.g. an INES Level 4 scenario with releases in the range of 10 to 100 TBq </w:t>
      </w:r>
      <w:r w:rsidR="009E768B">
        <w:rPr>
          <w:rFonts w:eastAsia="Batang"/>
          <w:lang w:val="en-US"/>
        </w:rPr>
        <w:fldChar w:fldCharType="begin"/>
      </w:r>
      <w:r>
        <w:rPr>
          <w:rFonts w:eastAsia="Batang"/>
          <w:lang w:val="en-US"/>
        </w:rPr>
        <w:instrText xml:space="preserve"> REF _Ref444078422 \r \h </w:instrText>
      </w:r>
      <w:r w:rsidR="009E768B">
        <w:rPr>
          <w:rFonts w:eastAsia="Batang"/>
          <w:lang w:val="en-US"/>
        </w:rPr>
      </w:r>
      <w:r w:rsidR="009E768B">
        <w:rPr>
          <w:rFonts w:eastAsia="Batang"/>
          <w:lang w:val="en-US"/>
        </w:rPr>
        <w:fldChar w:fldCharType="separate"/>
      </w:r>
      <w:r w:rsidR="00B772CA">
        <w:rPr>
          <w:rFonts w:eastAsia="Batang"/>
          <w:lang w:val="en-US"/>
        </w:rPr>
        <w:t>[108]</w:t>
      </w:r>
      <w:r w:rsidR="009E768B">
        <w:rPr>
          <w:rFonts w:eastAsia="Batang"/>
          <w:lang w:val="en-US"/>
        </w:rPr>
        <w:fldChar w:fldCharType="end"/>
      </w:r>
      <w:r w:rsidR="00D17E1B">
        <w:rPr>
          <w:rFonts w:eastAsia="Batang"/>
          <w:lang w:val="en-US"/>
        </w:rPr>
        <w:t xml:space="preserve"> or a filtered release scenario with releases below 10 TBq I-131</w:t>
      </w:r>
      <w:r>
        <w:rPr>
          <w:rFonts w:eastAsia="Batang"/>
          <w:lang w:val="en-US"/>
        </w:rPr>
        <w:t>)</w:t>
      </w:r>
      <w:r w:rsidR="00D17E1B">
        <w:rPr>
          <w:rFonts w:eastAsia="Batang"/>
          <w:lang w:val="en-US"/>
        </w:rPr>
        <w:t xml:space="preserve"> and severe releases (e.g. an INES Level 7 scenario with releases in excess of 10 PBq I-131</w:t>
      </w:r>
      <w:r w:rsidR="002110B3">
        <w:rPr>
          <w:rFonts w:eastAsia="Batang"/>
          <w:lang w:val="en-US"/>
        </w:rPr>
        <w:t>)</w:t>
      </w:r>
      <w:r>
        <w:rPr>
          <w:rFonts w:eastAsia="Batang"/>
          <w:lang w:val="en-US"/>
        </w:rPr>
        <w:t xml:space="preserve">. </w:t>
      </w:r>
      <w:r w:rsidR="00D17E1B">
        <w:rPr>
          <w:rFonts w:eastAsia="Batang"/>
          <w:lang w:val="en-US"/>
        </w:rPr>
        <w:t xml:space="preserve">The likely health impact of those scenarios will be very different. This is an important limitation of the ERF measure. </w:t>
      </w:r>
      <w:r w:rsidR="00D17E1B">
        <w:rPr>
          <w:rFonts w:eastAsia="Batang"/>
          <w:lang w:val="en-US"/>
        </w:rPr>
        <w:tab/>
      </w:r>
      <w:r w:rsidR="00D17E1B">
        <w:rPr>
          <w:rFonts w:eastAsia="Batang"/>
          <w:lang w:val="en-US"/>
        </w:rPr>
        <w:br/>
        <w:t>Moreover, the ERF is insensitive to releases after the “early” release period. For typical accident scenarios, significant releases are likely to happen after the early period (e.g. after 24 hours), with the Fukushima Dai</w:t>
      </w:r>
      <w:r w:rsidR="00186FEB">
        <w:rPr>
          <w:rFonts w:eastAsia="Batang"/>
          <w:lang w:val="en-US"/>
        </w:rPr>
        <w:t>-</w:t>
      </w:r>
      <w:r w:rsidR="00D17E1B">
        <w:rPr>
          <w:rFonts w:eastAsia="Batang"/>
          <w:lang w:val="en-US"/>
        </w:rPr>
        <w:t>ichi accident as a striking example</w:t>
      </w:r>
      <w:r w:rsidRPr="00313E82">
        <w:rPr>
          <w:rFonts w:eastAsia="Batang"/>
          <w:lang w:val="en-US"/>
        </w:rPr>
        <w:t xml:space="preserve">. </w:t>
      </w:r>
      <w:r w:rsidR="00D17E1B">
        <w:rPr>
          <w:rFonts w:eastAsia="Batang"/>
          <w:lang w:val="en-US"/>
        </w:rPr>
        <w:t xml:space="preserve">While these late large releases will likely have only a minor impact with respect to acute irradiation and contamination of the </w:t>
      </w:r>
      <w:r w:rsidR="00F77235">
        <w:rPr>
          <w:rFonts w:eastAsia="Batang"/>
          <w:lang w:val="en-US"/>
        </w:rPr>
        <w:t>population</w:t>
      </w:r>
      <w:r w:rsidR="00D17E1B">
        <w:rPr>
          <w:rFonts w:eastAsia="Batang"/>
          <w:lang w:val="en-US"/>
        </w:rPr>
        <w:t xml:space="preserve">, they will lead to </w:t>
      </w:r>
      <w:r w:rsidR="00C92372">
        <w:rPr>
          <w:rFonts w:eastAsia="Batang"/>
          <w:lang w:val="en-US"/>
        </w:rPr>
        <w:t xml:space="preserve">severe consequences for the environment of the plant (cf. LRF). </w:t>
      </w:r>
    </w:p>
    <w:p w:rsidR="00E408B8" w:rsidRPr="00313E82" w:rsidRDefault="00E408B8" w:rsidP="00C94556">
      <w:pPr>
        <w:pStyle w:val="Titre3"/>
        <w:rPr>
          <w:rFonts w:eastAsia="Batang"/>
          <w:lang w:val="en-US"/>
        </w:rPr>
      </w:pPr>
      <w:bookmarkStart w:id="244" w:name="_Toc452560446"/>
      <w:bookmarkStart w:id="245" w:name="_Toc452561384"/>
      <w:bookmarkStart w:id="246" w:name="_Toc452561600"/>
      <w:bookmarkStart w:id="247" w:name="_Toc474430205"/>
      <w:bookmarkEnd w:id="244"/>
      <w:bookmarkEnd w:id="245"/>
      <w:bookmarkEnd w:id="246"/>
      <w:r w:rsidRPr="00313E82">
        <w:rPr>
          <w:rFonts w:eastAsia="Batang"/>
          <w:lang w:val="en-US"/>
        </w:rPr>
        <w:t xml:space="preserve">ASAMPSA_E recommendation on </w:t>
      </w:r>
      <w:r w:rsidR="003E53F9">
        <w:rPr>
          <w:rFonts w:eastAsia="Batang"/>
          <w:lang w:val="en-US"/>
        </w:rPr>
        <w:t>early release measure</w:t>
      </w:r>
      <w:r w:rsidRPr="00313E82">
        <w:rPr>
          <w:rFonts w:eastAsia="Batang"/>
          <w:lang w:val="en-US"/>
        </w:rPr>
        <w:t xml:space="preserve"> definition</w:t>
      </w:r>
      <w:bookmarkEnd w:id="247"/>
    </w:p>
    <w:p w:rsidR="00E408B8" w:rsidRDefault="00C92372">
      <w:pPr>
        <w:rPr>
          <w:rFonts w:eastAsia="Batang"/>
          <w:lang w:val="en-US"/>
        </w:rPr>
      </w:pPr>
      <w:r>
        <w:rPr>
          <w:rFonts w:eastAsia="Batang"/>
          <w:lang w:val="en-US"/>
        </w:rPr>
        <w:t>With regard to the ERF risk measure, we recommend the following harmonized definitions</w:t>
      </w:r>
      <w:r w:rsidR="002110B3">
        <w:rPr>
          <w:rFonts w:eastAsia="Batang"/>
          <w:lang w:val="en-US"/>
        </w:rPr>
        <w:t>:</w:t>
      </w:r>
    </w:p>
    <w:p w:rsidR="00C92372" w:rsidRDefault="00BE6ACE" w:rsidP="00C94556">
      <w:pPr>
        <w:pStyle w:val="Paragraphedeliste"/>
        <w:numPr>
          <w:ilvl w:val="0"/>
          <w:numId w:val="79"/>
        </w:numPr>
        <w:rPr>
          <w:rFonts w:eastAsia="Batang"/>
          <w:lang w:val="en-US"/>
        </w:rPr>
      </w:pPr>
      <w:r>
        <w:rPr>
          <w:rFonts w:eastAsia="Batang"/>
          <w:lang w:val="en-US"/>
        </w:rPr>
        <w:t>t</w:t>
      </w:r>
      <w:r w:rsidR="00C92372">
        <w:rPr>
          <w:rFonts w:eastAsia="Batang"/>
          <w:lang w:val="en-US"/>
        </w:rPr>
        <w:t xml:space="preserve">he start for the “early” period of time should be consistently assigned to the declaration of a state of emergency by the responsible authority. This approach requires that operating staff do recognize that a declaration of emergency is necessary but also that they have the means to communicate this declaration or trigger such a declaration to the authority responsible for off-site emergency measures (usually a regulatory authority). </w:t>
      </w:r>
    </w:p>
    <w:p w:rsidR="00C92372" w:rsidRPr="0033445F" w:rsidRDefault="00BE6ACE" w:rsidP="00C94556">
      <w:pPr>
        <w:pStyle w:val="Paragraphedeliste"/>
        <w:numPr>
          <w:ilvl w:val="0"/>
          <w:numId w:val="79"/>
        </w:numPr>
        <w:rPr>
          <w:rFonts w:eastAsia="Batang"/>
          <w:lang w:val="en-US"/>
        </w:rPr>
      </w:pPr>
      <w:r>
        <w:rPr>
          <w:rFonts w:eastAsia="Batang"/>
          <w:lang w:val="en-US"/>
        </w:rPr>
        <w:t>t</w:t>
      </w:r>
      <w:r w:rsidR="00C92372">
        <w:rPr>
          <w:rFonts w:eastAsia="Batang"/>
          <w:lang w:val="en-US"/>
        </w:rPr>
        <w:t xml:space="preserve">he time period for early releases should be determined based on the time needed for performing </w:t>
      </w:r>
      <w:r w:rsidR="00932DBD">
        <w:rPr>
          <w:rFonts w:eastAsia="Batang"/>
          <w:lang w:val="en-US"/>
        </w:rPr>
        <w:t xml:space="preserve">the appropriate emergency procedures. </w:t>
      </w:r>
      <w:r w:rsidR="00932DBD" w:rsidRPr="00932DBD">
        <w:rPr>
          <w:rFonts w:eastAsia="Batang"/>
          <w:lang w:val="en-US"/>
        </w:rPr>
        <w:t>P</w:t>
      </w:r>
      <w:r w:rsidR="00932DBD">
        <w:rPr>
          <w:rFonts w:eastAsia="Batang"/>
          <w:lang w:val="en-US"/>
        </w:rPr>
        <w:t xml:space="preserve">recautionary Action Zone </w:t>
      </w:r>
      <w:r w:rsidR="00932DBD" w:rsidRPr="00932DBD">
        <w:rPr>
          <w:rFonts w:eastAsia="Batang"/>
          <w:lang w:val="en-US"/>
        </w:rPr>
        <w:t xml:space="preserve">(PAZ) </w:t>
      </w:r>
      <w:r w:rsidR="00932DBD">
        <w:rPr>
          <w:rFonts w:eastAsia="Batang"/>
          <w:lang w:val="en-US"/>
        </w:rPr>
        <w:t xml:space="preserve">and Urgent Protective Action Planning Zone (UPZ) </w:t>
      </w:r>
      <w:r w:rsidR="009E768B">
        <w:rPr>
          <w:rFonts w:eastAsia="Batang"/>
          <w:lang w:val="en-US"/>
        </w:rPr>
        <w:fldChar w:fldCharType="begin"/>
      </w:r>
      <w:r w:rsidR="00F81AEE">
        <w:rPr>
          <w:rFonts w:eastAsia="Batang"/>
          <w:lang w:val="en-US"/>
        </w:rPr>
        <w:instrText xml:space="preserve"> REF _Ref319427576 \r \h </w:instrText>
      </w:r>
      <w:r w:rsidR="009E768B">
        <w:rPr>
          <w:rFonts w:eastAsia="Batang"/>
          <w:lang w:val="en-US"/>
        </w:rPr>
      </w:r>
      <w:r w:rsidR="009E768B">
        <w:rPr>
          <w:rFonts w:eastAsia="Batang"/>
          <w:lang w:val="en-US"/>
        </w:rPr>
        <w:fldChar w:fldCharType="separate"/>
      </w:r>
      <w:r w:rsidR="00B772CA">
        <w:rPr>
          <w:rFonts w:eastAsia="Batang"/>
          <w:lang w:val="en-US"/>
        </w:rPr>
        <w:t>[113]</w:t>
      </w:r>
      <w:r w:rsidR="009E768B">
        <w:rPr>
          <w:rFonts w:eastAsia="Batang"/>
          <w:lang w:val="en-US"/>
        </w:rPr>
        <w:fldChar w:fldCharType="end"/>
      </w:r>
      <w:r w:rsidR="00F81AEE">
        <w:rPr>
          <w:rFonts w:eastAsia="Batang"/>
          <w:lang w:val="en-US"/>
        </w:rPr>
        <w:t xml:space="preserve"> </w:t>
      </w:r>
      <w:r w:rsidR="00932DBD">
        <w:rPr>
          <w:rFonts w:eastAsia="Batang"/>
          <w:lang w:val="en-US"/>
        </w:rPr>
        <w:t xml:space="preserve">should be defined based on the site characteristics </w:t>
      </w:r>
      <w:r w:rsidR="00932DBD" w:rsidRPr="00932DBD">
        <w:rPr>
          <w:rFonts w:eastAsia="Batang"/>
          <w:lang w:val="en-US"/>
        </w:rPr>
        <w:t>in advance where arrangements are made for the effective implementation of protective actions and other response actions. These zones and distance need to be established such that they provide the most effective response considering local conditions</w:t>
      </w:r>
      <w:r w:rsidR="00932DBD">
        <w:rPr>
          <w:rFonts w:eastAsia="Batang"/>
          <w:lang w:val="en-US"/>
        </w:rPr>
        <w:t xml:space="preserve">, e.g. </w:t>
      </w:r>
      <w:r w:rsidR="00C92372" w:rsidRPr="00932DBD">
        <w:rPr>
          <w:rFonts w:eastAsia="Batang"/>
          <w:lang w:val="en-US"/>
        </w:rPr>
        <w:t xml:space="preserve">With the lessons learned from the Fukushima Daiichi accident, </w:t>
      </w:r>
      <w:r w:rsidR="00CC496D" w:rsidRPr="00F81AEE">
        <w:rPr>
          <w:rFonts w:eastAsia="Batang"/>
          <w:lang w:val="en-US"/>
        </w:rPr>
        <w:t xml:space="preserve">short term </w:t>
      </w:r>
      <w:r w:rsidR="00C92372" w:rsidRPr="00F81AEE">
        <w:rPr>
          <w:rFonts w:eastAsia="Batang"/>
          <w:lang w:val="en-US"/>
        </w:rPr>
        <w:t xml:space="preserve">evacuation areas would be sectors as far away as </w:t>
      </w:r>
      <w:r w:rsidR="00CC496D" w:rsidRPr="00F81AEE">
        <w:rPr>
          <w:rFonts w:eastAsia="Batang"/>
          <w:lang w:val="en-US"/>
        </w:rPr>
        <w:t xml:space="preserve">20 km from the site </w:t>
      </w:r>
      <w:r w:rsidR="009E768B">
        <w:rPr>
          <w:rFonts w:eastAsia="Batang"/>
          <w:lang w:val="en-US"/>
        </w:rPr>
        <w:fldChar w:fldCharType="begin"/>
      </w:r>
      <w:r w:rsidR="0033445F">
        <w:rPr>
          <w:rFonts w:eastAsia="Batang"/>
          <w:lang w:val="en-US"/>
        </w:rPr>
        <w:instrText xml:space="preserve"> REF _Ref444680472 \r \h </w:instrText>
      </w:r>
      <w:r w:rsidR="009E768B">
        <w:rPr>
          <w:rFonts w:eastAsia="Batang"/>
          <w:lang w:val="en-US"/>
        </w:rPr>
      </w:r>
      <w:r w:rsidR="009E768B">
        <w:rPr>
          <w:rFonts w:eastAsia="Batang"/>
          <w:lang w:val="en-US"/>
        </w:rPr>
        <w:fldChar w:fldCharType="separate"/>
      </w:r>
      <w:r w:rsidR="00B772CA">
        <w:rPr>
          <w:rFonts w:eastAsia="Batang"/>
          <w:lang w:val="en-US"/>
        </w:rPr>
        <w:t>[112]</w:t>
      </w:r>
      <w:r w:rsidR="009E768B">
        <w:rPr>
          <w:rFonts w:eastAsia="Batang"/>
          <w:lang w:val="en-US"/>
        </w:rPr>
        <w:fldChar w:fldCharType="end"/>
      </w:r>
      <w:r w:rsidR="00CC496D" w:rsidRPr="00F81AEE">
        <w:rPr>
          <w:rFonts w:eastAsia="Batang"/>
          <w:lang w:val="en-US"/>
        </w:rPr>
        <w:t>, p. 64</w:t>
      </w:r>
      <w:r w:rsidR="00CC496D" w:rsidRPr="0033445F">
        <w:rPr>
          <w:rFonts w:eastAsia="Batang"/>
          <w:lang w:val="en-US"/>
        </w:rPr>
        <w:t>. Reasonable evacuation times will be depending on the population density and distribution in that area, however 24 hours seem to be a reasonable first approach.</w:t>
      </w:r>
    </w:p>
    <w:p w:rsidR="0033445F" w:rsidRDefault="00BE6ACE" w:rsidP="0033445F">
      <w:pPr>
        <w:pStyle w:val="Paragraphedeliste"/>
        <w:numPr>
          <w:ilvl w:val="0"/>
          <w:numId w:val="79"/>
        </w:numPr>
        <w:rPr>
          <w:rFonts w:eastAsia="Batang"/>
          <w:lang w:val="en-US"/>
        </w:rPr>
      </w:pPr>
      <w:r>
        <w:rPr>
          <w:rFonts w:eastAsia="Batang"/>
          <w:lang w:val="en-US"/>
        </w:rPr>
        <w:t>t</w:t>
      </w:r>
      <w:r w:rsidR="00CC496D">
        <w:rPr>
          <w:rFonts w:eastAsia="Batang"/>
          <w:lang w:val="en-US"/>
        </w:rPr>
        <w:t xml:space="preserve">here should be a minimum release threshold for ERF. </w:t>
      </w:r>
      <w:r w:rsidR="0033445F">
        <w:rPr>
          <w:rFonts w:eastAsia="Batang"/>
          <w:lang w:val="en-US"/>
        </w:rPr>
        <w:t xml:space="preserve">A good practice would be </w:t>
      </w:r>
      <w:r w:rsidR="003E53F9">
        <w:rPr>
          <w:rFonts w:eastAsia="Batang"/>
          <w:lang w:val="en-US"/>
        </w:rPr>
        <w:t>to</w:t>
      </w:r>
      <w:r w:rsidR="0033445F">
        <w:rPr>
          <w:rFonts w:eastAsia="Batang"/>
          <w:lang w:val="en-US"/>
        </w:rPr>
        <w:t xml:space="preserve"> use a maximal release activity for which no off-site protective measures (sheltering, iodine prophylaxis, </w:t>
      </w:r>
      <w:r w:rsidR="003E53F9">
        <w:rPr>
          <w:rFonts w:eastAsia="Batang"/>
          <w:lang w:val="en-US"/>
        </w:rPr>
        <w:t xml:space="preserve">and </w:t>
      </w:r>
      <w:r w:rsidR="0033445F">
        <w:rPr>
          <w:rFonts w:eastAsia="Batang"/>
          <w:lang w:val="en-US"/>
        </w:rPr>
        <w:t>evacuation) is needed</w:t>
      </w:r>
      <w:r w:rsidR="003E53F9">
        <w:rPr>
          <w:rFonts w:eastAsia="Batang"/>
          <w:lang w:val="en-US"/>
        </w:rPr>
        <w:t>.</w:t>
      </w:r>
    </w:p>
    <w:p w:rsidR="004A00AB" w:rsidRPr="00313E82" w:rsidRDefault="004A00AB" w:rsidP="00C94556">
      <w:pPr>
        <w:pStyle w:val="Titre2"/>
        <w:rPr>
          <w:lang w:val="en-US"/>
        </w:rPr>
      </w:pPr>
      <w:bookmarkStart w:id="248" w:name="_Toc452560448"/>
      <w:bookmarkStart w:id="249" w:name="_Toc452561386"/>
      <w:bookmarkStart w:id="250" w:name="_Toc452561602"/>
      <w:bookmarkStart w:id="251" w:name="_Ref444675840"/>
      <w:bookmarkStart w:id="252" w:name="_Ref323285550"/>
      <w:bookmarkStart w:id="253" w:name="_Toc474430206"/>
      <w:bookmarkEnd w:id="248"/>
      <w:bookmarkEnd w:id="249"/>
      <w:bookmarkEnd w:id="250"/>
      <w:r w:rsidRPr="00313E82">
        <w:rPr>
          <w:lang w:val="en-US"/>
        </w:rPr>
        <w:t>Large Early Release Frequency</w:t>
      </w:r>
      <w:bookmarkEnd w:id="251"/>
      <w:r w:rsidR="003E53F9">
        <w:rPr>
          <w:lang w:val="en-US"/>
        </w:rPr>
        <w:t xml:space="preserve"> (LERF)</w:t>
      </w:r>
      <w:bookmarkEnd w:id="252"/>
      <w:bookmarkEnd w:id="253"/>
    </w:p>
    <w:p w:rsidR="00E408B8" w:rsidRPr="00313E82" w:rsidRDefault="00E408B8" w:rsidP="00C94556">
      <w:pPr>
        <w:pStyle w:val="Titre3"/>
        <w:rPr>
          <w:rFonts w:eastAsia="Batang"/>
          <w:lang w:val="en-US"/>
        </w:rPr>
      </w:pPr>
      <w:bookmarkStart w:id="254" w:name="_Toc474430207"/>
      <w:r w:rsidRPr="00313E82">
        <w:rPr>
          <w:rFonts w:eastAsia="Batang"/>
          <w:lang w:val="en-US"/>
        </w:rPr>
        <w:t>Definition of Risk Measure</w:t>
      </w:r>
      <w:bookmarkEnd w:id="254"/>
    </w:p>
    <w:p w:rsidR="0080775C" w:rsidRPr="00313E82" w:rsidRDefault="0080775C">
      <w:pPr>
        <w:rPr>
          <w:rFonts w:eastAsia="Batang"/>
          <w:lang w:val="en-US"/>
        </w:rPr>
      </w:pPr>
      <w:r w:rsidRPr="00313E82">
        <w:rPr>
          <w:rFonts w:eastAsia="Batang"/>
          <w:u w:val="single"/>
          <w:lang w:val="en-US"/>
        </w:rPr>
        <w:t>Risk metric</w:t>
      </w:r>
      <w:r w:rsidRPr="00313E82">
        <w:rPr>
          <w:rFonts w:eastAsia="Batang"/>
          <w:lang w:val="en-US"/>
        </w:rPr>
        <w:t xml:space="preserve">: </w:t>
      </w:r>
    </w:p>
    <w:p w:rsidR="004D2E50" w:rsidRPr="00313E82" w:rsidRDefault="004D2E50">
      <w:pPr>
        <w:rPr>
          <w:rFonts w:eastAsia="Batang"/>
          <w:lang w:val="en-US"/>
        </w:rPr>
      </w:pPr>
      <w:r w:rsidRPr="00313E82">
        <w:rPr>
          <w:rFonts w:eastAsia="Batang"/>
          <w:lang w:val="en-US"/>
        </w:rPr>
        <w:t>A large early release is commonly understood to be an “unacceptable” release of radionuclides into the environment of the plant before off-site countermeasures can reasonably be expected to be in place.</w:t>
      </w:r>
    </w:p>
    <w:p w:rsidR="00207353" w:rsidRPr="00313E82" w:rsidRDefault="00207353">
      <w:pPr>
        <w:rPr>
          <w:rFonts w:eastAsia="Batang"/>
          <w:lang w:val="en-US"/>
        </w:rPr>
      </w:pPr>
    </w:p>
    <w:p w:rsidR="00207353" w:rsidRPr="00313E82" w:rsidRDefault="00207353">
      <w:pPr>
        <w:rPr>
          <w:rFonts w:eastAsia="Batang"/>
          <w:lang w:val="en-US"/>
        </w:rPr>
      </w:pPr>
      <w:r w:rsidRPr="00313E82">
        <w:rPr>
          <w:rFonts w:eastAsia="Batang"/>
          <w:lang w:val="en-US"/>
        </w:rPr>
        <w:t xml:space="preserve">There is a wide range of specific definitions for the large </w:t>
      </w:r>
      <w:r w:rsidR="00B6523F" w:rsidRPr="00B6523F">
        <w:rPr>
          <w:rFonts w:eastAsia="Batang"/>
          <w:b/>
          <w:lang w:val="en-US"/>
        </w:rPr>
        <w:t>early</w:t>
      </w:r>
      <w:r w:rsidR="00B6523F">
        <w:rPr>
          <w:rFonts w:eastAsia="Batang"/>
          <w:lang w:val="en-US"/>
        </w:rPr>
        <w:t xml:space="preserve"> </w:t>
      </w:r>
      <w:r w:rsidRPr="00313E82">
        <w:rPr>
          <w:rFonts w:eastAsia="Batang"/>
          <w:lang w:val="en-US"/>
        </w:rPr>
        <w:t xml:space="preserve">release metric [69], [79], e.g. </w:t>
      </w:r>
    </w:p>
    <w:p w:rsidR="00207353" w:rsidRPr="00313E82" w:rsidRDefault="00207353" w:rsidP="00C94556">
      <w:pPr>
        <w:pStyle w:val="Paragraphedeliste"/>
        <w:numPr>
          <w:ilvl w:val="0"/>
          <w:numId w:val="31"/>
        </w:numPr>
        <w:rPr>
          <w:rFonts w:eastAsia="Batang"/>
          <w:lang w:val="en-US"/>
        </w:rPr>
      </w:pPr>
      <w:r w:rsidRPr="00313E82">
        <w:rPr>
          <w:rFonts w:eastAsia="Batang"/>
          <w:lang w:val="en-US"/>
        </w:rPr>
        <w:t>AREVA:</w:t>
      </w:r>
      <w:r w:rsidRPr="00C94556">
        <w:rPr>
          <w:lang w:val="en-US"/>
        </w:rPr>
        <w:t xml:space="preserve"> </w:t>
      </w:r>
      <w:r w:rsidRPr="00313E82">
        <w:rPr>
          <w:rFonts w:eastAsia="Batang"/>
          <w:lang w:val="en-US"/>
        </w:rPr>
        <w:t xml:space="preserve">More than 100 TBq of </w:t>
      </w:r>
      <w:r w:rsidR="00993B7F" w:rsidRPr="00313E82">
        <w:rPr>
          <w:rFonts w:eastAsia="Batang"/>
          <w:lang w:val="en-US"/>
        </w:rPr>
        <w:t>Cs137</w:t>
      </w:r>
      <w:r w:rsidRPr="00313E82">
        <w:rPr>
          <w:rFonts w:eastAsia="Batang"/>
          <w:lang w:val="en-US"/>
        </w:rPr>
        <w:t xml:space="preserve"> including dose weighted contribution of other elements </w:t>
      </w:r>
      <w:r w:rsidRPr="00313E82">
        <w:rPr>
          <w:rFonts w:eastAsia="Batang"/>
          <w:b/>
          <w:lang w:val="en-US"/>
        </w:rPr>
        <w:t>before or around vessel failure time</w:t>
      </w:r>
      <w:r w:rsidRPr="00313E82">
        <w:rPr>
          <w:rFonts w:eastAsia="Batang"/>
          <w:lang w:val="en-US"/>
        </w:rPr>
        <w:t>,</w:t>
      </w:r>
    </w:p>
    <w:p w:rsidR="00207353" w:rsidRDefault="00207353" w:rsidP="00C94556">
      <w:pPr>
        <w:pStyle w:val="Paragraphedeliste"/>
        <w:numPr>
          <w:ilvl w:val="0"/>
          <w:numId w:val="31"/>
        </w:numPr>
        <w:rPr>
          <w:rFonts w:eastAsia="Batang"/>
          <w:lang w:val="en-US"/>
        </w:rPr>
      </w:pPr>
      <w:r w:rsidRPr="00C94556">
        <w:rPr>
          <w:rFonts w:eastAsia="Batang"/>
          <w:lang w:val="en-US"/>
        </w:rPr>
        <w:t xml:space="preserve">Dukovany NPP (UJV, Czech Republic): &gt;1% of Cs137 of the core inventory released to the environment </w:t>
      </w:r>
      <w:r w:rsidRPr="00B6523F">
        <w:rPr>
          <w:rFonts w:eastAsia="Batang"/>
          <w:b/>
          <w:lang w:val="en-US"/>
        </w:rPr>
        <w:t>within 10 hours after the beginning of the severe accident</w:t>
      </w:r>
      <w:r w:rsidRPr="00C94556">
        <w:rPr>
          <w:rFonts w:eastAsia="Batang"/>
          <w:lang w:val="en-US"/>
        </w:rPr>
        <w:t xml:space="preserve"> (</w:t>
      </w:r>
      <w:r w:rsidR="00993B7F" w:rsidRPr="00C94556">
        <w:rPr>
          <w:rFonts w:eastAsia="Batang"/>
          <w:lang w:val="en-US"/>
        </w:rPr>
        <w:t>T</w:t>
      </w:r>
      <w:r w:rsidRPr="00C94556">
        <w:rPr>
          <w:rFonts w:eastAsia="Batang"/>
          <w:lang w:val="en-US"/>
        </w:rPr>
        <w:t>cladding=1200°C),</w:t>
      </w:r>
    </w:p>
    <w:p w:rsidR="00261BCE" w:rsidRDefault="00261BCE" w:rsidP="00B6523F">
      <w:pPr>
        <w:pStyle w:val="Paragraphedeliste"/>
        <w:numPr>
          <w:ilvl w:val="0"/>
          <w:numId w:val="31"/>
        </w:numPr>
        <w:rPr>
          <w:rFonts w:eastAsia="Batang"/>
          <w:lang w:val="en-US"/>
        </w:rPr>
      </w:pPr>
      <w:r>
        <w:rPr>
          <w:rFonts w:eastAsia="Batang"/>
          <w:lang w:val="en-US"/>
        </w:rPr>
        <w:t>EPR Flamanville (France) : effective dose at 500 m exceeds 50 m</w:t>
      </w:r>
      <w:r w:rsidR="00E02A17">
        <w:rPr>
          <w:rFonts w:eastAsia="Batang"/>
          <w:lang w:val="en-US"/>
        </w:rPr>
        <w:t>Sv</w:t>
      </w:r>
      <w:r>
        <w:rPr>
          <w:rFonts w:eastAsia="Batang"/>
          <w:lang w:val="en-US"/>
        </w:rPr>
        <w:t xml:space="preserve"> (indicative criteria for evacuation, calculated with a standard meteorological model) </w:t>
      </w:r>
      <w:r w:rsidRPr="00B6523F">
        <w:rPr>
          <w:rFonts w:eastAsia="Batang"/>
          <w:b/>
          <w:lang w:val="en-US"/>
        </w:rPr>
        <w:t>before 24 h</w:t>
      </w:r>
      <w:r>
        <w:rPr>
          <w:rFonts w:eastAsia="Batang"/>
          <w:lang w:val="en-US"/>
        </w:rPr>
        <w:t>,</w:t>
      </w:r>
    </w:p>
    <w:p w:rsidR="00261BCE" w:rsidRPr="00FB6A97" w:rsidRDefault="00261BCE" w:rsidP="00B6523F">
      <w:pPr>
        <w:pStyle w:val="Paragraphedeliste"/>
        <w:numPr>
          <w:ilvl w:val="0"/>
          <w:numId w:val="31"/>
        </w:numPr>
        <w:rPr>
          <w:rFonts w:eastAsia="Batang"/>
          <w:lang w:val="en-US"/>
        </w:rPr>
      </w:pPr>
      <w:r>
        <w:rPr>
          <w:rFonts w:eastAsia="Batang"/>
          <w:lang w:val="en-US"/>
        </w:rPr>
        <w:t>French 900, 1300, 1450 MWe PWRs before LTO upgrade: release amount exceeding (</w:t>
      </w:r>
      <w:r w:rsidRPr="00B6523F">
        <w:rPr>
          <w:rFonts w:eastAsia="Batang"/>
          <w:b/>
          <w:lang w:val="en-US"/>
        </w:rPr>
        <w:t>before 24</w:t>
      </w:r>
      <w:r w:rsidR="00034481" w:rsidRPr="00B6523F">
        <w:rPr>
          <w:rFonts w:eastAsia="Batang"/>
          <w:b/>
          <w:lang w:val="en-US"/>
        </w:rPr>
        <w:t xml:space="preserve"> </w:t>
      </w:r>
      <w:r w:rsidRPr="00B6523F">
        <w:rPr>
          <w:rFonts w:eastAsia="Batang"/>
          <w:b/>
          <w:lang w:val="en-US"/>
        </w:rPr>
        <w:t>h</w:t>
      </w:r>
      <w:r>
        <w:rPr>
          <w:rFonts w:eastAsia="Batang"/>
          <w:lang w:val="en-US"/>
        </w:rPr>
        <w:t>) those induced by a late containment filtered venting during a severe accident,</w:t>
      </w:r>
    </w:p>
    <w:p w:rsidR="00207353" w:rsidRPr="00C94556" w:rsidRDefault="00207353" w:rsidP="00C94556">
      <w:pPr>
        <w:pStyle w:val="Paragraphedeliste"/>
        <w:numPr>
          <w:ilvl w:val="0"/>
          <w:numId w:val="31"/>
        </w:numPr>
        <w:rPr>
          <w:rFonts w:eastAsia="Batang"/>
          <w:lang w:val="en-US"/>
        </w:rPr>
      </w:pPr>
      <w:r w:rsidRPr="00C94556">
        <w:rPr>
          <w:rFonts w:eastAsia="Batang"/>
          <w:lang w:val="en-US"/>
        </w:rPr>
        <w:t xml:space="preserve">Temelin NPP (Czech Republic): fission product fraction released early (i.e. </w:t>
      </w:r>
      <w:r w:rsidRPr="00C94556">
        <w:rPr>
          <w:rFonts w:eastAsia="Batang"/>
          <w:b/>
          <w:lang w:val="en-US"/>
        </w:rPr>
        <w:t>within several hours after accident initiator</w:t>
      </w:r>
      <w:r w:rsidRPr="00C94556">
        <w:rPr>
          <w:rFonts w:eastAsia="Batang"/>
          <w:lang w:val="en-US"/>
        </w:rPr>
        <w:t>) through large opening in the containment to the environment,</w:t>
      </w:r>
    </w:p>
    <w:p w:rsidR="00207353" w:rsidRPr="00C94556" w:rsidRDefault="00207353" w:rsidP="00C94556">
      <w:pPr>
        <w:pStyle w:val="Paragraphedeliste"/>
        <w:numPr>
          <w:ilvl w:val="0"/>
          <w:numId w:val="31"/>
        </w:numPr>
        <w:rPr>
          <w:rFonts w:eastAsia="Batang"/>
          <w:lang w:val="en-US"/>
        </w:rPr>
      </w:pPr>
      <w:r w:rsidRPr="00C94556">
        <w:rPr>
          <w:rFonts w:eastAsia="Batang"/>
          <w:lang w:val="en-US"/>
        </w:rPr>
        <w:t xml:space="preserve">Mochovce NPP (VUJE, Slovak Republic): &gt; 3% of volatiles released to the environment </w:t>
      </w:r>
      <w:r w:rsidRPr="00C94556">
        <w:rPr>
          <w:rFonts w:eastAsia="Batang"/>
          <w:b/>
          <w:lang w:val="en-US"/>
        </w:rPr>
        <w:t>within 10 hours after IE occurs</w:t>
      </w:r>
      <w:r w:rsidRPr="00C94556">
        <w:rPr>
          <w:rFonts w:eastAsia="Batang"/>
          <w:lang w:val="en-US"/>
        </w:rPr>
        <w:t>,</w:t>
      </w:r>
    </w:p>
    <w:p w:rsidR="00207353" w:rsidRPr="00C94556" w:rsidRDefault="00207353" w:rsidP="00C94556">
      <w:pPr>
        <w:pStyle w:val="Paragraphedeliste"/>
        <w:numPr>
          <w:ilvl w:val="0"/>
          <w:numId w:val="31"/>
        </w:numPr>
        <w:rPr>
          <w:rFonts w:eastAsia="Batang"/>
          <w:lang w:val="en-US"/>
        </w:rPr>
      </w:pPr>
      <w:r w:rsidRPr="00C94556">
        <w:rPr>
          <w:rFonts w:eastAsia="Batang"/>
          <w:lang w:val="en-US"/>
        </w:rPr>
        <w:t xml:space="preserve">Bohunice NPP (Relko, Slovak Republic): &gt; 1% of Cs137 released from the core inventory to the environment </w:t>
      </w:r>
      <w:r w:rsidRPr="00C94556">
        <w:rPr>
          <w:rFonts w:eastAsia="Batang"/>
          <w:b/>
          <w:lang w:val="en-US"/>
        </w:rPr>
        <w:t>within 10 ho</w:t>
      </w:r>
      <w:r w:rsidR="004A2FD6">
        <w:rPr>
          <w:rFonts w:eastAsia="Batang"/>
          <w:b/>
          <w:lang w:val="en-US"/>
        </w:rPr>
        <w:t>u</w:t>
      </w:r>
      <w:r w:rsidRPr="00C94556">
        <w:rPr>
          <w:rFonts w:eastAsia="Batang"/>
          <w:b/>
          <w:lang w:val="en-US"/>
        </w:rPr>
        <w:t>rs after the beginning of the IE</w:t>
      </w:r>
      <w:r w:rsidRPr="00C94556">
        <w:rPr>
          <w:rFonts w:eastAsia="Batang"/>
          <w:lang w:val="en-US"/>
        </w:rPr>
        <w:t>,</w:t>
      </w:r>
    </w:p>
    <w:p w:rsidR="00207353" w:rsidRPr="00313E82" w:rsidRDefault="00207353" w:rsidP="00C94556">
      <w:pPr>
        <w:pStyle w:val="Paragraphedeliste"/>
        <w:numPr>
          <w:ilvl w:val="0"/>
          <w:numId w:val="31"/>
        </w:numPr>
        <w:rPr>
          <w:rFonts w:eastAsia="Batang"/>
          <w:lang w:val="en-US"/>
        </w:rPr>
      </w:pPr>
      <w:r w:rsidRPr="00C94556">
        <w:rPr>
          <w:rFonts w:eastAsia="Batang"/>
          <w:lang w:val="en-US"/>
        </w:rPr>
        <w:t xml:space="preserve">Paks NPP (VEIKI, Hungary): „Early“ means </w:t>
      </w:r>
      <w:r w:rsidRPr="00C94556">
        <w:rPr>
          <w:rFonts w:eastAsia="Batang"/>
          <w:b/>
          <w:lang w:val="en-US"/>
        </w:rPr>
        <w:t>before or shortly after vessel bottom head failure</w:t>
      </w:r>
      <w:r w:rsidRPr="00C94556">
        <w:rPr>
          <w:rFonts w:eastAsia="Batang"/>
          <w:lang w:val="en-US"/>
        </w:rPr>
        <w:t>; Large: &gt;10000 TBq,</w:t>
      </w:r>
    </w:p>
    <w:p w:rsidR="00207353" w:rsidRPr="00313E82" w:rsidRDefault="00207353" w:rsidP="00C94556">
      <w:pPr>
        <w:pStyle w:val="Paragraphedeliste"/>
        <w:numPr>
          <w:ilvl w:val="0"/>
          <w:numId w:val="31"/>
        </w:numPr>
        <w:rPr>
          <w:rFonts w:eastAsia="Batang"/>
          <w:lang w:val="en-US"/>
        </w:rPr>
      </w:pPr>
      <w:r w:rsidRPr="00313E82">
        <w:rPr>
          <w:rFonts w:eastAsia="Batang"/>
          <w:lang w:val="en-US"/>
        </w:rPr>
        <w:t xml:space="preserve">SARNET recommendation: More than 3% – 10% of the core inventory in the early timeframe (i.e. </w:t>
      </w:r>
      <w:r w:rsidRPr="00313E82">
        <w:rPr>
          <w:rFonts w:eastAsia="Batang"/>
          <w:b/>
          <w:lang w:val="en-US"/>
        </w:rPr>
        <w:t>before off-site countermeasures can reasonably be expected to be in place</w:t>
      </w:r>
      <w:r w:rsidRPr="00313E82">
        <w:rPr>
          <w:rFonts w:eastAsia="Batang"/>
          <w:lang w:val="en-US"/>
        </w:rPr>
        <w:t xml:space="preserve">) </w:t>
      </w:r>
    </w:p>
    <w:p w:rsidR="0080775C" w:rsidRDefault="004E636D" w:rsidP="00C94556">
      <w:pPr>
        <w:rPr>
          <w:rFonts w:eastAsia="Batang"/>
          <w:lang w:val="en-US"/>
        </w:rPr>
      </w:pPr>
      <w:r>
        <w:rPr>
          <w:rFonts w:eastAsia="Batang"/>
          <w:lang w:val="en-US"/>
        </w:rPr>
        <w:t>T</w:t>
      </w:r>
      <w:r w:rsidR="0080775C">
        <w:rPr>
          <w:rFonts w:eastAsia="Batang"/>
          <w:lang w:val="en-US"/>
        </w:rPr>
        <w:t xml:space="preserve">he LRF metric should be the combination of the LRF (section </w:t>
      </w:r>
      <w:r w:rsidR="009E768B">
        <w:rPr>
          <w:rFonts w:eastAsia="Batang"/>
          <w:lang w:val="en-US"/>
        </w:rPr>
        <w:fldChar w:fldCharType="begin"/>
      </w:r>
      <w:r w:rsidR="0080775C">
        <w:rPr>
          <w:rFonts w:eastAsia="Batang"/>
          <w:lang w:val="en-US"/>
        </w:rPr>
        <w:instrText xml:space="preserve"> REF _Ref418001167 \r \h </w:instrText>
      </w:r>
      <w:r w:rsidR="009E768B">
        <w:rPr>
          <w:rFonts w:eastAsia="Batang"/>
          <w:lang w:val="en-US"/>
        </w:rPr>
      </w:r>
      <w:r w:rsidR="009E768B">
        <w:rPr>
          <w:rFonts w:eastAsia="Batang"/>
          <w:lang w:val="en-US"/>
        </w:rPr>
        <w:fldChar w:fldCharType="separate"/>
      </w:r>
      <w:r w:rsidR="00B772CA">
        <w:rPr>
          <w:rFonts w:eastAsia="Batang"/>
          <w:lang w:val="en-US"/>
        </w:rPr>
        <w:t>3.1</w:t>
      </w:r>
      <w:r w:rsidR="009E768B">
        <w:rPr>
          <w:rFonts w:eastAsia="Batang"/>
          <w:lang w:val="en-US"/>
        </w:rPr>
        <w:fldChar w:fldCharType="end"/>
      </w:r>
      <w:r w:rsidR="0080775C">
        <w:rPr>
          <w:rFonts w:eastAsia="Batang"/>
          <w:lang w:val="en-US"/>
        </w:rPr>
        <w:t>) and the ERF (</w:t>
      </w:r>
      <w:r w:rsidR="009E768B">
        <w:rPr>
          <w:rFonts w:eastAsia="Batang"/>
          <w:lang w:val="en-US"/>
        </w:rPr>
        <w:fldChar w:fldCharType="begin"/>
      </w:r>
      <w:r w:rsidR="0080775C">
        <w:rPr>
          <w:rFonts w:eastAsia="Batang"/>
          <w:lang w:val="en-US"/>
        </w:rPr>
        <w:instrText xml:space="preserve"> REF _Ref444685895 \r \h </w:instrText>
      </w:r>
      <w:r w:rsidR="009E768B">
        <w:rPr>
          <w:rFonts w:eastAsia="Batang"/>
          <w:lang w:val="en-US"/>
        </w:rPr>
      </w:r>
      <w:r w:rsidR="009E768B">
        <w:rPr>
          <w:rFonts w:eastAsia="Batang"/>
          <w:lang w:val="en-US"/>
        </w:rPr>
        <w:fldChar w:fldCharType="separate"/>
      </w:r>
      <w:r w:rsidR="00B772CA">
        <w:rPr>
          <w:rFonts w:eastAsia="Batang"/>
          <w:lang w:val="en-US"/>
        </w:rPr>
        <w:t>3.2</w:t>
      </w:r>
      <w:r w:rsidR="009E768B">
        <w:rPr>
          <w:rFonts w:eastAsia="Batang"/>
          <w:lang w:val="en-US"/>
        </w:rPr>
        <w:fldChar w:fldCharType="end"/>
      </w:r>
      <w:r w:rsidR="0080775C">
        <w:rPr>
          <w:rFonts w:eastAsia="Batang"/>
          <w:lang w:val="en-US"/>
        </w:rPr>
        <w:t>) metrics, with the following specifics</w:t>
      </w:r>
      <w:r w:rsidR="00F01E63">
        <w:rPr>
          <w:rFonts w:eastAsia="Batang"/>
          <w:lang w:val="en-US"/>
        </w:rPr>
        <w:t>:</w:t>
      </w:r>
    </w:p>
    <w:p w:rsidR="0080775C" w:rsidRDefault="00F01E63" w:rsidP="00C94556">
      <w:pPr>
        <w:pStyle w:val="Paragraphedeliste"/>
        <w:numPr>
          <w:ilvl w:val="0"/>
          <w:numId w:val="80"/>
        </w:numPr>
        <w:rPr>
          <w:rFonts w:eastAsia="Batang"/>
          <w:lang w:val="en-US"/>
        </w:rPr>
      </w:pPr>
      <w:r>
        <w:rPr>
          <w:rFonts w:eastAsia="Batang"/>
          <w:lang w:val="en-US"/>
        </w:rPr>
        <w:t>t</w:t>
      </w:r>
      <w:r w:rsidR="0080775C">
        <w:rPr>
          <w:rFonts w:eastAsia="Batang"/>
          <w:lang w:val="en-US"/>
        </w:rPr>
        <w:t>he definition of “early” release should be taken from ERF.</w:t>
      </w:r>
    </w:p>
    <w:p w:rsidR="00207353" w:rsidRPr="0080775C" w:rsidRDefault="00F01E63" w:rsidP="00C94556">
      <w:pPr>
        <w:pStyle w:val="Paragraphedeliste"/>
        <w:numPr>
          <w:ilvl w:val="0"/>
          <w:numId w:val="80"/>
        </w:numPr>
        <w:rPr>
          <w:rFonts w:eastAsia="Batang"/>
          <w:lang w:val="en-US"/>
        </w:rPr>
      </w:pPr>
      <w:r>
        <w:rPr>
          <w:rFonts w:eastAsia="Batang"/>
          <w:lang w:val="en-US"/>
        </w:rPr>
        <w:t>t</w:t>
      </w:r>
      <w:r w:rsidR="0080775C">
        <w:rPr>
          <w:rFonts w:eastAsia="Batang"/>
          <w:lang w:val="en-US"/>
        </w:rPr>
        <w:t xml:space="preserve">he definition of “large” should be consistent to LRF. </w:t>
      </w:r>
    </w:p>
    <w:p w:rsidR="00E408B8" w:rsidRPr="00313E82" w:rsidRDefault="00E408B8" w:rsidP="00C94556">
      <w:pPr>
        <w:pStyle w:val="Titre3"/>
        <w:rPr>
          <w:rFonts w:eastAsia="Batang"/>
          <w:lang w:val="en-US"/>
        </w:rPr>
      </w:pPr>
      <w:bookmarkStart w:id="255" w:name="_Toc452560451"/>
      <w:bookmarkStart w:id="256" w:name="_Toc452561389"/>
      <w:bookmarkStart w:id="257" w:name="_Toc452561605"/>
      <w:bookmarkStart w:id="258" w:name="_Toc474430208"/>
      <w:bookmarkEnd w:id="255"/>
      <w:bookmarkEnd w:id="256"/>
      <w:bookmarkEnd w:id="257"/>
      <w:r w:rsidRPr="00313E82">
        <w:rPr>
          <w:rFonts w:eastAsia="Batang"/>
          <w:lang w:val="en-US"/>
        </w:rPr>
        <w:t>Discussion</w:t>
      </w:r>
      <w:bookmarkEnd w:id="258"/>
    </w:p>
    <w:p w:rsidR="00D4338E" w:rsidRDefault="003E53F9" w:rsidP="003E53F9">
      <w:pPr>
        <w:rPr>
          <w:rFonts w:eastAsia="Batang"/>
          <w:lang w:val="en-US"/>
        </w:rPr>
      </w:pPr>
      <w:r>
        <w:rPr>
          <w:rFonts w:eastAsia="Batang"/>
          <w:lang w:val="en-US"/>
        </w:rPr>
        <w:t>Large Early release is</w:t>
      </w:r>
      <w:r w:rsidRPr="00313E82">
        <w:rPr>
          <w:rFonts w:eastAsia="Batang"/>
          <w:lang w:val="en-US"/>
        </w:rPr>
        <w:t xml:space="preserve"> – once defined – a clearly described state in the risk model. </w:t>
      </w:r>
      <w:r w:rsidRPr="00245A36">
        <w:rPr>
          <w:rFonts w:eastAsia="Batang"/>
          <w:lang w:val="en-US"/>
        </w:rPr>
        <w:t>Assigning the likelihood (distribution) to the sequence(s) ending in a</w:t>
      </w:r>
      <w:r>
        <w:rPr>
          <w:rFonts w:eastAsia="Batang"/>
          <w:lang w:val="en-US"/>
        </w:rPr>
        <w:t xml:space="preserve"> large early</w:t>
      </w:r>
      <w:r w:rsidRPr="00245A36">
        <w:rPr>
          <w:rFonts w:eastAsia="Batang"/>
          <w:lang w:val="en-US"/>
        </w:rPr>
        <w:t xml:space="preserve"> release is a clear and traceable quantification procedure. Averaging risk model results over time is a sensible and consistent way of defining a risk measure. In this regard, </w:t>
      </w:r>
      <w:r>
        <w:rPr>
          <w:rFonts w:eastAsia="Batang"/>
          <w:lang w:val="en-US"/>
        </w:rPr>
        <w:t>LE</w:t>
      </w:r>
      <w:r w:rsidRPr="00245A36">
        <w:rPr>
          <w:rFonts w:eastAsia="Batang"/>
          <w:lang w:val="en-US"/>
        </w:rPr>
        <w:t>RF is a valid risk measure.</w:t>
      </w:r>
    </w:p>
    <w:p w:rsidR="00D4338E" w:rsidRDefault="00D4338E" w:rsidP="003E53F9">
      <w:pPr>
        <w:rPr>
          <w:rFonts w:eastAsia="Batang"/>
          <w:lang w:val="en-US"/>
        </w:rPr>
      </w:pPr>
    </w:p>
    <w:p w:rsidR="00D4338E" w:rsidRDefault="003E53F9" w:rsidP="003E53F9">
      <w:pPr>
        <w:rPr>
          <w:rFonts w:eastAsia="Batang"/>
          <w:lang w:val="en-US"/>
        </w:rPr>
      </w:pPr>
      <w:r>
        <w:rPr>
          <w:rFonts w:eastAsia="Batang"/>
          <w:lang w:val="en-US"/>
        </w:rPr>
        <w:t>LERF can be a leading indicator for severe acute irradiation effects to the population in the vicinity of the plant. Moreover, LERF can capture important aspects of risk to on-site personnel. LERF can address the first aspect of the risk objective as stated in WENRA’s objective O3 that accidents “which would lead to early or large</w:t>
      </w:r>
      <w:r w:rsidRPr="007B7974">
        <w:rPr>
          <w:rFonts w:eastAsia="Batang"/>
          <w:lang w:val="en-US"/>
        </w:rPr>
        <w:t xml:space="preserve"> releases have to be practically eliminated</w:t>
      </w:r>
      <w:r>
        <w:rPr>
          <w:rFonts w:eastAsia="Batang"/>
          <w:lang w:val="en-US"/>
        </w:rPr>
        <w:t xml:space="preserve">” </w:t>
      </w:r>
      <w:r w:rsidR="00CD0CBE">
        <w:fldChar w:fldCharType="begin"/>
      </w:r>
      <w:r w:rsidR="00CD0CBE">
        <w:instrText xml:space="preserve"> REF _Ref444680058 \r \h  \* MERGEFORMAT </w:instrText>
      </w:r>
      <w:r w:rsidR="00CD0CBE">
        <w:fldChar w:fldCharType="separate"/>
      </w:r>
      <w:r w:rsidR="00B772CA" w:rsidRPr="00B772CA">
        <w:rPr>
          <w:rFonts w:eastAsia="Batang"/>
          <w:lang w:val="en-US"/>
        </w:rPr>
        <w:t>[111]</w:t>
      </w:r>
      <w:r w:rsidR="00CD0CBE">
        <w:fldChar w:fldCharType="end"/>
      </w:r>
      <w:r w:rsidR="00D4338E">
        <w:rPr>
          <w:rFonts w:eastAsia="Batang"/>
          <w:lang w:val="en-US"/>
        </w:rPr>
        <w:t>, p. 26.</w:t>
      </w:r>
    </w:p>
    <w:p w:rsidR="00D4338E" w:rsidRDefault="00D4338E" w:rsidP="003E53F9">
      <w:pPr>
        <w:rPr>
          <w:rFonts w:eastAsia="Batang"/>
          <w:lang w:val="en-US"/>
        </w:rPr>
      </w:pPr>
    </w:p>
    <w:p w:rsidR="003E53F9" w:rsidRDefault="003E53F9" w:rsidP="003E53F9">
      <w:pPr>
        <w:rPr>
          <w:rFonts w:eastAsia="Batang"/>
          <w:lang w:val="en-US"/>
        </w:rPr>
      </w:pPr>
      <w:r>
        <w:rPr>
          <w:rFonts w:eastAsia="Batang"/>
          <w:lang w:val="en-US"/>
        </w:rPr>
        <w:lastRenderedPageBreak/>
        <w:t xml:space="preserve">As LERF addresses short-time effects, its proper definition should be based on I-131 as leading isotope. Noble gas radionuclides like Xe-133 might </w:t>
      </w:r>
      <w:r w:rsidR="00D171D5">
        <w:rPr>
          <w:rFonts w:eastAsia="Batang"/>
          <w:lang w:val="en-US"/>
        </w:rPr>
        <w:t xml:space="preserve">also </w:t>
      </w:r>
      <w:r>
        <w:rPr>
          <w:rFonts w:eastAsia="Batang"/>
          <w:lang w:val="en-US"/>
        </w:rPr>
        <w:t xml:space="preserve">be radiologically relevant to short-term irradiation </w:t>
      </w:r>
      <w:r w:rsidR="00D4338E">
        <w:rPr>
          <w:rFonts w:eastAsia="Batang"/>
          <w:lang w:val="en-US"/>
        </w:rPr>
        <w:t xml:space="preserve">contributors </w:t>
      </w:r>
      <w:r>
        <w:rPr>
          <w:rFonts w:eastAsia="Batang"/>
          <w:lang w:val="en-US"/>
        </w:rPr>
        <w:t>near to the site (and also on the site).</w:t>
      </w:r>
    </w:p>
    <w:p w:rsidR="003E53F9" w:rsidRPr="00313E82" w:rsidRDefault="003E53F9" w:rsidP="003E53F9">
      <w:pPr>
        <w:rPr>
          <w:rFonts w:eastAsia="Batang"/>
          <w:lang w:val="en-US"/>
        </w:rPr>
      </w:pPr>
    </w:p>
    <w:p w:rsidR="003E53F9" w:rsidRPr="00A16015" w:rsidRDefault="003E53F9" w:rsidP="003E53F9">
      <w:pPr>
        <w:rPr>
          <w:rFonts w:eastAsia="Batang"/>
          <w:lang w:val="en-US"/>
        </w:rPr>
      </w:pPr>
      <w:r w:rsidRPr="00313E82">
        <w:rPr>
          <w:rFonts w:eastAsia="Batang"/>
          <w:lang w:val="en-US"/>
        </w:rPr>
        <w:t xml:space="preserve">There </w:t>
      </w:r>
      <w:r>
        <w:rPr>
          <w:rFonts w:eastAsia="Batang"/>
          <w:lang w:val="en-US"/>
        </w:rPr>
        <w:t>is significant variability in the definitions of the</w:t>
      </w:r>
      <w:r w:rsidRPr="00313E82">
        <w:rPr>
          <w:rFonts w:eastAsia="Batang"/>
          <w:lang w:val="en-US"/>
        </w:rPr>
        <w:t xml:space="preserve"> </w:t>
      </w:r>
      <w:r>
        <w:rPr>
          <w:rFonts w:eastAsia="Batang"/>
          <w:lang w:val="en-US"/>
        </w:rPr>
        <w:t>large release metric, see above</w:t>
      </w:r>
      <w:r w:rsidRPr="00313E82">
        <w:rPr>
          <w:rFonts w:eastAsia="Batang"/>
          <w:lang w:val="en-US"/>
        </w:rPr>
        <w:t xml:space="preserve">. </w:t>
      </w:r>
      <w:r w:rsidRPr="00A16015">
        <w:rPr>
          <w:rFonts w:eastAsia="Batang"/>
          <w:lang w:val="en-US"/>
        </w:rPr>
        <w:t xml:space="preserve">However, if the </w:t>
      </w:r>
      <w:r>
        <w:rPr>
          <w:rFonts w:eastAsia="Batang"/>
          <w:lang w:val="en-US"/>
        </w:rPr>
        <w:t>early release</w:t>
      </w:r>
      <w:r w:rsidRPr="00A16015">
        <w:rPr>
          <w:rFonts w:eastAsia="Batang"/>
          <w:lang w:val="en-US"/>
        </w:rPr>
        <w:t xml:space="preserve"> metric has been clearly established, it allows for – in principle – reproducible PSA modelling of the accident sequence analysis. </w:t>
      </w:r>
      <w:r>
        <w:rPr>
          <w:rFonts w:eastAsia="Batang"/>
          <w:lang w:val="en-US"/>
        </w:rPr>
        <w:t>In that sense, LER</w:t>
      </w:r>
      <w:r w:rsidRPr="00A16015">
        <w:rPr>
          <w:rFonts w:eastAsia="Batang"/>
          <w:lang w:val="en-US"/>
        </w:rPr>
        <w:t>F is a reliable measure.</w:t>
      </w:r>
    </w:p>
    <w:p w:rsidR="003E53F9" w:rsidRDefault="003E53F9" w:rsidP="003E53F9">
      <w:pPr>
        <w:ind w:left="284" w:hanging="284"/>
        <w:rPr>
          <w:rFonts w:eastAsia="Batang"/>
          <w:lang w:val="en-US"/>
        </w:rPr>
      </w:pPr>
    </w:p>
    <w:p w:rsidR="003E53F9" w:rsidRDefault="003E53F9" w:rsidP="003E53F9">
      <w:pPr>
        <w:rPr>
          <w:rFonts w:eastAsia="Batang"/>
          <w:lang w:val="en-US"/>
        </w:rPr>
      </w:pPr>
      <w:r w:rsidRPr="00313E82">
        <w:rPr>
          <w:rFonts w:eastAsia="Batang"/>
          <w:lang w:val="en-US"/>
        </w:rPr>
        <w:t>With respect to risk aggregation, PSA specialists and decision makers have to ackno</w:t>
      </w:r>
      <w:r>
        <w:rPr>
          <w:rFonts w:eastAsia="Batang"/>
          <w:lang w:val="en-US"/>
        </w:rPr>
        <w:t>wledge the limitations of the LER</w:t>
      </w:r>
      <w:r w:rsidRPr="00313E82">
        <w:rPr>
          <w:rFonts w:eastAsia="Batang"/>
          <w:lang w:val="en-US"/>
        </w:rPr>
        <w:t xml:space="preserve">F measure. </w:t>
      </w:r>
      <w:r>
        <w:rPr>
          <w:rFonts w:eastAsia="Batang"/>
          <w:lang w:val="en-US"/>
        </w:rPr>
        <w:t>LERF identify</w:t>
      </w:r>
      <w:r w:rsidRPr="00313E82">
        <w:rPr>
          <w:rFonts w:eastAsia="Batang"/>
          <w:lang w:val="en-US"/>
        </w:rPr>
        <w:t xml:space="preserve"> </w:t>
      </w:r>
      <w:r>
        <w:rPr>
          <w:rFonts w:eastAsia="Batang"/>
          <w:lang w:val="en-US"/>
        </w:rPr>
        <w:t xml:space="preserve">severe release scenarios </w:t>
      </w:r>
      <w:r w:rsidRPr="00313E82">
        <w:rPr>
          <w:rFonts w:eastAsia="Batang"/>
          <w:lang w:val="en-US"/>
        </w:rPr>
        <w:t xml:space="preserve">that </w:t>
      </w:r>
      <w:r>
        <w:rPr>
          <w:rFonts w:eastAsia="Batang"/>
          <w:lang w:val="en-US"/>
        </w:rPr>
        <w:t xml:space="preserve">develop in a short time. </w:t>
      </w:r>
    </w:p>
    <w:p w:rsidR="00D4338E" w:rsidRDefault="00D4338E" w:rsidP="003E53F9">
      <w:pPr>
        <w:rPr>
          <w:rFonts w:eastAsia="Batang"/>
          <w:lang w:val="en-US"/>
        </w:rPr>
      </w:pPr>
    </w:p>
    <w:p w:rsidR="003E53F9" w:rsidRDefault="003E53F9" w:rsidP="003E53F9">
      <w:pPr>
        <w:rPr>
          <w:rFonts w:eastAsia="Batang"/>
          <w:lang w:val="en-US"/>
        </w:rPr>
      </w:pPr>
      <w:r>
        <w:rPr>
          <w:rFonts w:eastAsia="Batang"/>
          <w:lang w:val="en-US"/>
        </w:rPr>
        <w:t xml:space="preserve">In most severe accidents, the release fractions of Cs (indicating long-term consequences) and of Iodine (indicating short-term consequences) are rather similar. Therefore, each scenario which contributes to the LERF is also very likely to contribute to the LRF (assuming consistent values for “large” releases). </w:t>
      </w:r>
    </w:p>
    <w:p w:rsidR="003E53F9" w:rsidRDefault="003E53F9" w:rsidP="003E53F9">
      <w:pPr>
        <w:rPr>
          <w:rFonts w:eastAsia="Batang"/>
          <w:lang w:val="en-US"/>
        </w:rPr>
      </w:pPr>
    </w:p>
    <w:p w:rsidR="003E53F9" w:rsidRDefault="003E53F9" w:rsidP="003E53F9">
      <w:pPr>
        <w:rPr>
          <w:rFonts w:eastAsia="Batang"/>
          <w:lang w:val="en-US"/>
        </w:rPr>
      </w:pPr>
      <w:r>
        <w:rPr>
          <w:rFonts w:eastAsia="Batang"/>
          <w:lang w:val="en-US"/>
        </w:rPr>
        <w:t xml:space="preserve">On the other hand, the LERF does not include late releases. Therefore, safety assessments relying exclusively on LERF may dismiss late releases. </w:t>
      </w:r>
    </w:p>
    <w:p w:rsidR="003E53F9" w:rsidRDefault="003E53F9" w:rsidP="003E53F9">
      <w:pPr>
        <w:rPr>
          <w:rFonts w:eastAsia="Batang"/>
          <w:lang w:val="en-US"/>
        </w:rPr>
      </w:pPr>
    </w:p>
    <w:p w:rsidR="003E53F9" w:rsidRDefault="003E53F9" w:rsidP="003E53F9">
      <w:pPr>
        <w:rPr>
          <w:rFonts w:eastAsia="Batang"/>
          <w:lang w:val="en-US"/>
        </w:rPr>
      </w:pPr>
      <w:r>
        <w:rPr>
          <w:rFonts w:eastAsia="Batang"/>
          <w:lang w:val="en-US"/>
        </w:rPr>
        <w:t>LERF is a frequently</w:t>
      </w:r>
      <w:r w:rsidRPr="00313E82">
        <w:rPr>
          <w:rFonts w:eastAsia="Batang"/>
          <w:lang w:val="en-US"/>
        </w:rPr>
        <w:t xml:space="preserve"> used risk measure. </w:t>
      </w:r>
      <w:r>
        <w:rPr>
          <w:rFonts w:eastAsia="Batang"/>
          <w:lang w:val="en-US"/>
        </w:rPr>
        <w:t xml:space="preserve">The variability in the understanding of “early” and “large” did not hamper a common usage of this risk measure. </w:t>
      </w:r>
    </w:p>
    <w:p w:rsidR="00E408B8" w:rsidRPr="00313E82" w:rsidRDefault="00E408B8" w:rsidP="00C94556">
      <w:pPr>
        <w:pStyle w:val="Titre3"/>
        <w:rPr>
          <w:rFonts w:eastAsia="Batang"/>
          <w:lang w:val="en-US"/>
        </w:rPr>
      </w:pPr>
      <w:bookmarkStart w:id="259" w:name="_Toc474430209"/>
      <w:r w:rsidRPr="00313E82">
        <w:rPr>
          <w:rFonts w:eastAsia="Batang"/>
          <w:lang w:val="en-US"/>
        </w:rPr>
        <w:t>Limitation</w:t>
      </w:r>
      <w:bookmarkEnd w:id="259"/>
    </w:p>
    <w:p w:rsidR="003E53F9" w:rsidRDefault="003E53F9" w:rsidP="003E53F9">
      <w:pPr>
        <w:rPr>
          <w:rFonts w:eastAsia="Batang"/>
          <w:lang w:val="en-US"/>
        </w:rPr>
      </w:pPr>
      <w:r>
        <w:rPr>
          <w:rFonts w:eastAsia="Batang"/>
          <w:lang w:val="en-US"/>
        </w:rPr>
        <w:t>LERF is frequently used, but because there is a large variety in the definition of “large” and “early”, it is nothing more than an indication that under the local conditions severe health effects must be considered with a certain frequency, and without possibility for efficient plant-external mitigation measures.</w:t>
      </w:r>
    </w:p>
    <w:p w:rsidR="003E53F9" w:rsidRDefault="003E53F9" w:rsidP="003E53F9">
      <w:pPr>
        <w:rPr>
          <w:rFonts w:eastAsia="Batang"/>
          <w:lang w:val="en-US"/>
        </w:rPr>
      </w:pPr>
      <w:r>
        <w:rPr>
          <w:rFonts w:eastAsia="Batang"/>
          <w:lang w:val="en-US"/>
        </w:rPr>
        <w:t xml:space="preserve">LERF is per definition insensitive to late releases. Therefore late releases would not be identified. If the three Fukushima core melt accidents had been subject to a time grouping, they had probably all been binned into “late” releases. This is adequate because precautionary emergency measures could be and had been initiated outside of the plant. </w:t>
      </w:r>
    </w:p>
    <w:p w:rsidR="003E53F9" w:rsidRDefault="003E53F9" w:rsidP="003E53F9">
      <w:pPr>
        <w:rPr>
          <w:rFonts w:eastAsia="Batang"/>
          <w:lang w:val="en-US"/>
        </w:rPr>
      </w:pPr>
      <w:r>
        <w:rPr>
          <w:rFonts w:eastAsia="Batang"/>
          <w:lang w:val="en-US"/>
        </w:rPr>
        <w:t xml:space="preserve">However, a PSA focusing exclusively on LERF </w:t>
      </w:r>
      <w:r w:rsidR="00D4338E">
        <w:rPr>
          <w:rFonts w:eastAsia="Batang"/>
          <w:lang w:val="en-US"/>
        </w:rPr>
        <w:t>ignores</w:t>
      </w:r>
      <w:r>
        <w:rPr>
          <w:rFonts w:eastAsia="Batang"/>
          <w:lang w:val="en-US"/>
        </w:rPr>
        <w:t xml:space="preserve"> the large releases </w:t>
      </w:r>
      <w:r w:rsidR="00D4338E">
        <w:rPr>
          <w:rFonts w:eastAsia="Batang"/>
          <w:lang w:val="en-US"/>
        </w:rPr>
        <w:t>occurring</w:t>
      </w:r>
      <w:r>
        <w:rPr>
          <w:rFonts w:eastAsia="Batang"/>
          <w:lang w:val="en-US"/>
        </w:rPr>
        <w:t xml:space="preserve"> later in these sequences. Applying LERF as the only result of a PSA is obviously misleading and inacceptable. </w:t>
      </w:r>
    </w:p>
    <w:p w:rsidR="003E53F9" w:rsidRDefault="003E53F9" w:rsidP="003E53F9">
      <w:pPr>
        <w:rPr>
          <w:rFonts w:eastAsia="Batang"/>
          <w:lang w:val="en-US"/>
        </w:rPr>
      </w:pPr>
      <w:r>
        <w:rPr>
          <w:rFonts w:eastAsia="Batang"/>
          <w:lang w:val="en-US"/>
        </w:rPr>
        <w:t>Therefore, LERF is a valid risk measure, but it must not be used as the only risk measure.</w:t>
      </w:r>
    </w:p>
    <w:p w:rsidR="00E408B8" w:rsidRPr="00313E82" w:rsidRDefault="00E408B8" w:rsidP="00C94556">
      <w:pPr>
        <w:pStyle w:val="Titre3"/>
        <w:rPr>
          <w:rFonts w:eastAsia="Batang"/>
          <w:lang w:val="en-US"/>
        </w:rPr>
      </w:pPr>
      <w:bookmarkStart w:id="260" w:name="_Toc474430210"/>
      <w:r w:rsidRPr="00313E82">
        <w:rPr>
          <w:rFonts w:eastAsia="Batang"/>
          <w:lang w:val="en-US"/>
        </w:rPr>
        <w:t xml:space="preserve">ASAMPSA_E recommendation on </w:t>
      </w:r>
      <w:r w:rsidR="003722F5">
        <w:rPr>
          <w:rFonts w:eastAsia="Batang"/>
          <w:lang w:val="en-US"/>
        </w:rPr>
        <w:t>LERF</w:t>
      </w:r>
      <w:bookmarkEnd w:id="260"/>
    </w:p>
    <w:p w:rsidR="003E53F9" w:rsidRDefault="003E53F9" w:rsidP="003E53F9">
      <w:pPr>
        <w:rPr>
          <w:rFonts w:eastAsia="Batang"/>
          <w:lang w:val="en-US"/>
        </w:rPr>
      </w:pPr>
      <w:r>
        <w:rPr>
          <w:rFonts w:eastAsia="Batang"/>
          <w:lang w:val="en-US"/>
        </w:rPr>
        <w:t>Since LERF is widely used, but not precisely defined, there is urgent need for a harmonized definition. Basically, LERF is based on a qualitative definition (e.g. release of a radioactive quantity which can cause acute health effects befo</w:t>
      </w:r>
      <w:r w:rsidR="00F421D1">
        <w:rPr>
          <w:rFonts w:eastAsia="Batang"/>
          <w:lang w:val="en-US"/>
        </w:rPr>
        <w:t>re any plant-external mitigation</w:t>
      </w:r>
      <w:r>
        <w:rPr>
          <w:rFonts w:eastAsia="Batang"/>
          <w:lang w:val="en-US"/>
        </w:rPr>
        <w:t xml:space="preserve"> measures are possible). However, this example for a qualitative </w:t>
      </w:r>
      <w:r>
        <w:rPr>
          <w:rFonts w:eastAsia="Batang"/>
          <w:lang w:val="en-US"/>
        </w:rPr>
        <w:lastRenderedPageBreak/>
        <w:t xml:space="preserve">definition needs significant input from tasks beyond L2 PSA (health effects assessment, availability of external countermeasures), which are hardly available in a L2 project. </w:t>
      </w:r>
    </w:p>
    <w:p w:rsidR="003E53F9" w:rsidRPr="00313E82" w:rsidRDefault="003E53F9" w:rsidP="003E53F9">
      <w:pPr>
        <w:rPr>
          <w:rFonts w:eastAsia="Batang"/>
          <w:lang w:val="en-US"/>
        </w:rPr>
      </w:pPr>
      <w:r w:rsidRPr="00B76953">
        <w:rPr>
          <w:rFonts w:eastAsia="Batang"/>
          <w:lang w:val="en-US"/>
        </w:rPr>
        <w:t xml:space="preserve">Therefore, for practical reasons a definition is recommended in the form of precise metrics (e.g. release of more than 100 </w:t>
      </w:r>
      <w:r w:rsidR="00D171D5">
        <w:rPr>
          <w:rFonts w:eastAsia="Batang"/>
          <w:lang w:val="en-US"/>
        </w:rPr>
        <w:t>T</w:t>
      </w:r>
      <w:r w:rsidRPr="00B76953">
        <w:rPr>
          <w:rFonts w:eastAsia="Batang"/>
          <w:lang w:val="en-US"/>
        </w:rPr>
        <w:t>Bq of I-131 less than 8 hr after declaration of emergency). A suitable international working group should agree on such a metric. However, given the long lasting wide application of LERF in different local definitions (some of them encoded in rules and regulations) there is little hope for harmonization.</w:t>
      </w:r>
      <w:r>
        <w:rPr>
          <w:rFonts w:eastAsia="Batang"/>
          <w:lang w:val="en-US"/>
        </w:rPr>
        <w:t xml:space="preserve"> </w:t>
      </w:r>
    </w:p>
    <w:p w:rsidR="00F421D1" w:rsidRPr="00313E82" w:rsidRDefault="00F421D1" w:rsidP="00F421D1">
      <w:pPr>
        <w:pStyle w:val="Titre2"/>
        <w:rPr>
          <w:lang w:val="en-US"/>
        </w:rPr>
      </w:pPr>
      <w:bookmarkStart w:id="261" w:name="_Toc452561393"/>
      <w:bookmarkStart w:id="262" w:name="_Toc452561609"/>
      <w:bookmarkStart w:id="263" w:name="_Toc445310081"/>
      <w:bookmarkStart w:id="264" w:name="_Ref323470913"/>
      <w:bookmarkStart w:id="265" w:name="_Toc474430211"/>
      <w:bookmarkEnd w:id="261"/>
      <w:bookmarkEnd w:id="262"/>
      <w:r w:rsidRPr="00313E82">
        <w:rPr>
          <w:lang w:val="en-US"/>
        </w:rPr>
        <w:t>Release Categories Frequency</w:t>
      </w:r>
      <w:bookmarkEnd w:id="263"/>
      <w:r w:rsidR="003722F5">
        <w:rPr>
          <w:lang w:val="en-US"/>
        </w:rPr>
        <w:t xml:space="preserve"> (RCF)</w:t>
      </w:r>
      <w:bookmarkEnd w:id="264"/>
      <w:bookmarkEnd w:id="265"/>
    </w:p>
    <w:p w:rsidR="00372A24" w:rsidRPr="00313E82" w:rsidRDefault="00372A24" w:rsidP="00372A24">
      <w:pPr>
        <w:pStyle w:val="Titre3"/>
        <w:rPr>
          <w:rFonts w:eastAsia="Batang"/>
          <w:lang w:val="en-US"/>
        </w:rPr>
      </w:pPr>
      <w:bookmarkStart w:id="266" w:name="_Toc474430212"/>
      <w:r w:rsidRPr="00313E82">
        <w:rPr>
          <w:rFonts w:eastAsia="Batang"/>
          <w:lang w:val="en-US"/>
        </w:rPr>
        <w:t>Definition of Risk Measure</w:t>
      </w:r>
      <w:bookmarkEnd w:id="266"/>
    </w:p>
    <w:p w:rsidR="00F421D1" w:rsidRPr="00FB6A97" w:rsidRDefault="00F421D1" w:rsidP="00F421D1">
      <w:pPr>
        <w:rPr>
          <w:rFonts w:eastAsia="Batang"/>
          <w:lang w:val="en-US"/>
        </w:rPr>
      </w:pPr>
      <w:r w:rsidRPr="00FB6A97">
        <w:rPr>
          <w:rFonts w:eastAsia="Batang"/>
          <w:lang w:val="en-US"/>
        </w:rPr>
        <w:t xml:space="preserve">The concept of “Release Categories” is a very </w:t>
      </w:r>
      <w:r w:rsidRPr="00A8591D">
        <w:rPr>
          <w:rFonts w:eastAsia="Batang"/>
          <w:lang w:val="en-US"/>
        </w:rPr>
        <w:t>well-known</w:t>
      </w:r>
      <w:r w:rsidRPr="00FB6A97">
        <w:rPr>
          <w:rFonts w:eastAsia="Batang"/>
          <w:lang w:val="en-US"/>
        </w:rPr>
        <w:t xml:space="preserve"> and </w:t>
      </w:r>
      <w:r w:rsidR="00161ABE">
        <w:rPr>
          <w:rFonts w:eastAsia="Batang"/>
          <w:lang w:val="en-US"/>
        </w:rPr>
        <w:t xml:space="preserve">a </w:t>
      </w:r>
      <w:r w:rsidRPr="00FB6A97">
        <w:rPr>
          <w:rFonts w:eastAsia="Batang"/>
          <w:lang w:val="en-US"/>
        </w:rPr>
        <w:t xml:space="preserve">widely used approach in PSA L2 in order to describe consequences of severe accidents. A practical guide to defining and applying release categories is provided in </w:t>
      </w:r>
      <w:r w:rsidR="009E768B">
        <w:rPr>
          <w:rFonts w:eastAsia="Batang"/>
          <w:lang w:val="en-US"/>
        </w:rPr>
        <w:fldChar w:fldCharType="begin"/>
      </w:r>
      <w:r w:rsidR="00161ABE">
        <w:rPr>
          <w:rFonts w:eastAsia="Batang"/>
          <w:lang w:val="en-US"/>
        </w:rPr>
        <w:instrText xml:space="preserve"> REF _Ref393115557 \r \h </w:instrText>
      </w:r>
      <w:r w:rsidR="009E768B">
        <w:rPr>
          <w:rFonts w:eastAsia="Batang"/>
          <w:lang w:val="en-US"/>
        </w:rPr>
      </w:r>
      <w:r w:rsidR="009E768B">
        <w:rPr>
          <w:rFonts w:eastAsia="Batang"/>
          <w:lang w:val="en-US"/>
        </w:rPr>
        <w:fldChar w:fldCharType="separate"/>
      </w:r>
      <w:r w:rsidR="00B772CA">
        <w:rPr>
          <w:rFonts w:eastAsia="Batang"/>
          <w:lang w:val="en-US"/>
        </w:rPr>
        <w:t>[5]</w:t>
      </w:r>
      <w:r w:rsidR="009E768B">
        <w:rPr>
          <w:rFonts w:eastAsia="Batang"/>
          <w:lang w:val="en-US"/>
        </w:rPr>
        <w:fldChar w:fldCharType="end"/>
      </w:r>
      <w:r w:rsidRPr="00FB6A97">
        <w:rPr>
          <w:rFonts w:eastAsia="Batang"/>
          <w:lang w:val="en-US"/>
        </w:rPr>
        <w:t>.</w:t>
      </w:r>
      <w:r>
        <w:rPr>
          <w:rFonts w:eastAsia="Batang"/>
          <w:lang w:val="en-US"/>
        </w:rPr>
        <w:t xml:space="preserve"> Part of the following text is taken from this reference.</w:t>
      </w:r>
    </w:p>
    <w:p w:rsidR="00F421D1" w:rsidRDefault="00F421D1" w:rsidP="00F421D1">
      <w:pPr>
        <w:autoSpaceDE w:val="0"/>
        <w:autoSpaceDN w:val="0"/>
        <w:adjustRightInd w:val="0"/>
        <w:spacing w:line="240" w:lineRule="auto"/>
        <w:jc w:val="left"/>
        <w:rPr>
          <w:rFonts w:eastAsia="Batang"/>
          <w:lang w:val="en-US"/>
        </w:rPr>
      </w:pPr>
    </w:p>
    <w:p w:rsidR="00F421D1" w:rsidRPr="0017708F" w:rsidRDefault="00F421D1" w:rsidP="0017708F">
      <w:pPr>
        <w:rPr>
          <w:rFonts w:eastAsia="Batang"/>
          <w:lang w:val="en-US"/>
        </w:rPr>
      </w:pPr>
      <w:r w:rsidRPr="0017708F">
        <w:rPr>
          <w:rFonts w:eastAsia="Batang"/>
          <w:lang w:val="en-US"/>
        </w:rPr>
        <w:t xml:space="preserve">Many of the end states of the containment event tree are identical or similar in terms of the phenomena that have occurred and the resulting release of radioactive material to the environment. Similar end states should be grouped or binned together to reduce the number of distinct accident sequences that need analysis. In order to do this a set of attributes has to be specified that relate to the possible transport mechanisms of the radioactive material and failure mechanisms of the containment that can be used to characterize the release categories. Typical attributes that have been used in specifying the release categories for light water reactors are shown in Table 7 of </w:t>
      </w:r>
      <w:r w:rsidR="009E768B" w:rsidRPr="0017708F">
        <w:rPr>
          <w:rFonts w:eastAsia="Batang"/>
          <w:lang w:val="en-US"/>
        </w:rPr>
        <w:fldChar w:fldCharType="begin"/>
      </w:r>
      <w:r w:rsidR="00161ABE" w:rsidRPr="0017708F">
        <w:rPr>
          <w:rFonts w:eastAsia="Batang"/>
          <w:lang w:val="en-US"/>
        </w:rPr>
        <w:instrText xml:space="preserve"> REF _Ref393115557 \r \h </w:instrText>
      </w:r>
      <w:r w:rsidR="009E768B" w:rsidRPr="0017708F">
        <w:rPr>
          <w:rFonts w:eastAsia="Batang"/>
          <w:lang w:val="en-US"/>
        </w:rPr>
      </w:r>
      <w:r w:rsidR="009E768B" w:rsidRPr="0017708F">
        <w:rPr>
          <w:rFonts w:eastAsia="Batang"/>
          <w:lang w:val="en-US"/>
        </w:rPr>
        <w:fldChar w:fldCharType="separate"/>
      </w:r>
      <w:r w:rsidR="00B772CA">
        <w:rPr>
          <w:rFonts w:eastAsia="Batang"/>
          <w:lang w:val="en-US"/>
        </w:rPr>
        <w:t>[5]</w:t>
      </w:r>
      <w:r w:rsidR="009E768B" w:rsidRPr="0017708F">
        <w:rPr>
          <w:rFonts w:eastAsia="Batang"/>
          <w:lang w:val="en-US"/>
        </w:rPr>
        <w:fldChar w:fldCharType="end"/>
      </w:r>
      <w:r w:rsidRPr="0017708F">
        <w:rPr>
          <w:rFonts w:eastAsia="Batang"/>
          <w:lang w:val="en-US"/>
        </w:rPr>
        <w:t>. Typically, the</w:t>
      </w:r>
      <w:r w:rsidR="00161ABE" w:rsidRPr="0017708F">
        <w:rPr>
          <w:rFonts w:eastAsia="Batang"/>
          <w:lang w:val="en-US"/>
        </w:rPr>
        <w:t>re are around five attributes. T</w:t>
      </w:r>
      <w:r w:rsidRPr="0017708F">
        <w:rPr>
          <w:rFonts w:eastAsia="Batang"/>
          <w:lang w:val="en-US"/>
        </w:rPr>
        <w:t>he most important one i</w:t>
      </w:r>
      <w:r w:rsidR="00161ABE" w:rsidRPr="0017708F">
        <w:rPr>
          <w:rFonts w:eastAsia="Batang"/>
          <w:lang w:val="en-US"/>
        </w:rPr>
        <w:t>s the containment failure mode</w:t>
      </w:r>
      <w:r w:rsidRPr="0017708F">
        <w:rPr>
          <w:rFonts w:eastAsia="Batang"/>
          <w:lang w:val="en-US"/>
        </w:rPr>
        <w:t xml:space="preserve">, and each attribute may have two to ten variations (e.g. containment intact, containment is vented, containment fails late, containment fails early, containment is bypassed, containment is not isolated). In principle, this process can generate a very large number of release categories, but in practice, most PSA L2 manage to limit the number to around ten release categories. </w:t>
      </w:r>
    </w:p>
    <w:p w:rsidR="00C258C5" w:rsidRDefault="00C258C5" w:rsidP="00F421D1">
      <w:pPr>
        <w:rPr>
          <w:rFonts w:eastAsia="Batang"/>
          <w:lang w:val="en-US"/>
        </w:rPr>
      </w:pPr>
    </w:p>
    <w:p w:rsidR="00CD7161" w:rsidRDefault="00CD7161" w:rsidP="00C258C5">
      <w:pPr>
        <w:rPr>
          <w:lang w:val="en-US"/>
        </w:rPr>
      </w:pPr>
      <w:r>
        <w:rPr>
          <w:lang w:val="en-US"/>
        </w:rPr>
        <w:t xml:space="preserve">Reference </w:t>
      </w:r>
      <w:r w:rsidR="009E768B">
        <w:rPr>
          <w:lang w:val="en-US"/>
        </w:rPr>
        <w:fldChar w:fldCharType="begin"/>
      </w:r>
      <w:r>
        <w:rPr>
          <w:lang w:val="en-US"/>
        </w:rPr>
        <w:instrText xml:space="preserve"> REF _Ref306802100 \r \h </w:instrText>
      </w:r>
      <w:r w:rsidR="009E768B">
        <w:rPr>
          <w:lang w:val="en-US"/>
        </w:rPr>
      </w:r>
      <w:r w:rsidR="009E768B">
        <w:rPr>
          <w:lang w:val="en-US"/>
        </w:rPr>
        <w:fldChar w:fldCharType="separate"/>
      </w:r>
      <w:r w:rsidR="00B772CA">
        <w:rPr>
          <w:lang w:val="en-US"/>
        </w:rPr>
        <w:t>[2]</w:t>
      </w:r>
      <w:r w:rsidR="009E768B">
        <w:rPr>
          <w:lang w:val="en-US"/>
        </w:rPr>
        <w:fldChar w:fldCharType="end"/>
      </w:r>
      <w:r>
        <w:rPr>
          <w:lang w:val="en-US"/>
        </w:rPr>
        <w:t xml:space="preserve"> (ASAMPSA2, Volume 1, page 98) provides some examples for t</w:t>
      </w:r>
      <w:r w:rsidR="00C258C5">
        <w:rPr>
          <w:lang w:val="en-US"/>
        </w:rPr>
        <w:t xml:space="preserve">he presentation of the </w:t>
      </w:r>
      <w:r w:rsidR="00C258C5" w:rsidRPr="008F0C1B">
        <w:rPr>
          <w:lang w:val="en-US"/>
        </w:rPr>
        <w:t>results</w:t>
      </w:r>
      <w:r>
        <w:rPr>
          <w:lang w:val="en-US"/>
        </w:rPr>
        <w:t xml:space="preserve">. </w:t>
      </w:r>
    </w:p>
    <w:p w:rsidR="00F421D1" w:rsidRPr="00313E82" w:rsidRDefault="00F421D1" w:rsidP="00F421D1">
      <w:pPr>
        <w:pStyle w:val="Titre3"/>
        <w:rPr>
          <w:rFonts w:eastAsia="Batang"/>
          <w:lang w:val="en-US"/>
        </w:rPr>
      </w:pPr>
      <w:bookmarkStart w:id="267" w:name="_Toc474430213"/>
      <w:r w:rsidRPr="00313E82">
        <w:rPr>
          <w:rFonts w:eastAsia="Batang"/>
          <w:lang w:val="en-US"/>
        </w:rPr>
        <w:t>Discussion</w:t>
      </w:r>
      <w:bookmarkEnd w:id="267"/>
    </w:p>
    <w:p w:rsidR="00F421D1" w:rsidRDefault="00F421D1" w:rsidP="00F421D1">
      <w:pPr>
        <w:rPr>
          <w:rFonts w:eastAsia="Batang"/>
          <w:lang w:val="en-US"/>
        </w:rPr>
      </w:pPr>
      <w:r>
        <w:rPr>
          <w:rFonts w:eastAsia="Batang"/>
          <w:lang w:val="en-US"/>
        </w:rPr>
        <w:t>Release categories are a good indicator for the validity of the DiD concept: It can be seen how many barriers fail in which way and with which frequency, and whether barriers remain intact. Since release categories do not imply analyses of radionuclide behavior (which may be difficult to track), they will consume less resources and entail less uncertainty than source term based results. Therefore, they are useful indicators for the plant resilience, and a necessary basis for the assessment of source terms.</w:t>
      </w:r>
    </w:p>
    <w:p w:rsidR="00F421D1" w:rsidRDefault="00F421D1" w:rsidP="00F421D1">
      <w:pPr>
        <w:rPr>
          <w:rFonts w:eastAsia="Batang"/>
          <w:lang w:val="en-US"/>
        </w:rPr>
      </w:pPr>
      <w:r>
        <w:rPr>
          <w:rFonts w:eastAsia="Batang"/>
          <w:lang w:val="en-US"/>
        </w:rPr>
        <w:t xml:space="preserve">However, release categories as an end state of a L2 PSA cannot be considered satisfactory, since they cannot provide information on accident consequences in themselves, and all quantitative risk targets are based on some type of radioactive release quantification. </w:t>
      </w:r>
    </w:p>
    <w:p w:rsidR="00F421D1" w:rsidRPr="00313E82" w:rsidRDefault="00F421D1" w:rsidP="00F421D1">
      <w:pPr>
        <w:pStyle w:val="Titre3"/>
        <w:rPr>
          <w:rFonts w:eastAsia="Batang"/>
          <w:lang w:val="en-US"/>
        </w:rPr>
      </w:pPr>
      <w:bookmarkStart w:id="268" w:name="_Toc474430214"/>
      <w:r w:rsidRPr="00313E82">
        <w:rPr>
          <w:rFonts w:eastAsia="Batang"/>
          <w:lang w:val="en-US"/>
        </w:rPr>
        <w:lastRenderedPageBreak/>
        <w:t xml:space="preserve">ASAMPSA_E recommendation </w:t>
      </w:r>
      <w:r>
        <w:rPr>
          <w:rFonts w:eastAsia="Batang"/>
          <w:lang w:val="en-US"/>
        </w:rPr>
        <w:t xml:space="preserve">on </w:t>
      </w:r>
      <w:r w:rsidR="003722F5">
        <w:rPr>
          <w:rFonts w:eastAsia="Batang"/>
          <w:lang w:val="en-US"/>
        </w:rPr>
        <w:t>RCF</w:t>
      </w:r>
      <w:bookmarkEnd w:id="268"/>
    </w:p>
    <w:p w:rsidR="00F421D1" w:rsidRDefault="00F421D1" w:rsidP="00F421D1">
      <w:pPr>
        <w:rPr>
          <w:rFonts w:eastAsia="Batang"/>
          <w:lang w:val="en-US"/>
        </w:rPr>
      </w:pPr>
      <w:r>
        <w:rPr>
          <w:rFonts w:eastAsia="Batang"/>
          <w:lang w:val="en-US"/>
        </w:rPr>
        <w:t>Release categories are a well-known and widely used concept which should be used for:</w:t>
      </w:r>
    </w:p>
    <w:p w:rsidR="00F421D1" w:rsidRPr="002E35D0" w:rsidRDefault="00F421D1" w:rsidP="00F421D1">
      <w:pPr>
        <w:pStyle w:val="Paragraphedeliste"/>
        <w:numPr>
          <w:ilvl w:val="0"/>
          <w:numId w:val="102"/>
        </w:numPr>
        <w:rPr>
          <w:rFonts w:eastAsia="Batang"/>
          <w:lang w:val="en-US"/>
        </w:rPr>
      </w:pPr>
      <w:r>
        <w:rPr>
          <w:rFonts w:eastAsia="Batang"/>
          <w:lang w:val="en-US"/>
        </w:rPr>
        <w:t>Assessing</w:t>
      </w:r>
      <w:r w:rsidRPr="002E35D0">
        <w:rPr>
          <w:rFonts w:eastAsia="Batang"/>
          <w:lang w:val="en-US"/>
        </w:rPr>
        <w:t xml:space="preserve"> the plant response to the challenges of the severe accident,</w:t>
      </w:r>
    </w:p>
    <w:p w:rsidR="00F421D1" w:rsidRPr="002E35D0" w:rsidRDefault="00F421D1" w:rsidP="00F421D1">
      <w:pPr>
        <w:pStyle w:val="Paragraphedeliste"/>
        <w:numPr>
          <w:ilvl w:val="0"/>
          <w:numId w:val="102"/>
        </w:numPr>
        <w:rPr>
          <w:rFonts w:eastAsia="Batang"/>
          <w:lang w:val="en-US"/>
        </w:rPr>
      </w:pPr>
      <w:r>
        <w:rPr>
          <w:rFonts w:eastAsia="Batang"/>
          <w:lang w:val="en-US"/>
        </w:rPr>
        <w:t>c</w:t>
      </w:r>
      <w:r w:rsidRPr="002E35D0">
        <w:rPr>
          <w:rFonts w:eastAsia="Batang"/>
          <w:lang w:val="en-US"/>
        </w:rPr>
        <w:t>hecking the DiD concept under severe accident conditions</w:t>
      </w:r>
      <w:r>
        <w:rPr>
          <w:rFonts w:eastAsia="Batang"/>
          <w:lang w:val="en-US"/>
        </w:rPr>
        <w:t>,</w:t>
      </w:r>
    </w:p>
    <w:p w:rsidR="00F421D1" w:rsidRPr="002E35D0" w:rsidRDefault="00F421D1" w:rsidP="00F421D1">
      <w:pPr>
        <w:pStyle w:val="Paragraphedeliste"/>
        <w:numPr>
          <w:ilvl w:val="0"/>
          <w:numId w:val="102"/>
        </w:numPr>
        <w:rPr>
          <w:rFonts w:eastAsia="Batang"/>
          <w:lang w:val="en-US"/>
        </w:rPr>
      </w:pPr>
      <w:r>
        <w:rPr>
          <w:rFonts w:eastAsia="Batang"/>
          <w:lang w:val="en-US"/>
        </w:rPr>
        <w:t>g</w:t>
      </w:r>
      <w:r w:rsidRPr="002E35D0">
        <w:rPr>
          <w:rFonts w:eastAsia="Batang"/>
          <w:lang w:val="en-US"/>
        </w:rPr>
        <w:t>uiding the assessment of radioactive releases through various release paths</w:t>
      </w:r>
      <w:r>
        <w:rPr>
          <w:rFonts w:eastAsia="Batang"/>
          <w:lang w:val="en-US"/>
        </w:rPr>
        <w:t>.</w:t>
      </w:r>
    </w:p>
    <w:p w:rsidR="00F421D1" w:rsidRDefault="00F421D1" w:rsidP="00F421D1">
      <w:pPr>
        <w:rPr>
          <w:rFonts w:eastAsia="Batang"/>
          <w:lang w:val="en-US"/>
        </w:rPr>
      </w:pPr>
      <w:r>
        <w:rPr>
          <w:rFonts w:eastAsia="Batang"/>
          <w:lang w:val="en-US"/>
        </w:rPr>
        <w:t xml:space="preserve">From an “extended” PSA point of view, there is no need for modifying the existing approach for release category definition and use. A particular case, however, would be the analysis of multiple releases from a multi-unit site undergoing more than one severe accident. No good practice for defining release categories exists for these cases. </w:t>
      </w:r>
    </w:p>
    <w:p w:rsidR="0045109E" w:rsidRDefault="0045109E" w:rsidP="00C94556">
      <w:pPr>
        <w:pStyle w:val="Titre2"/>
        <w:rPr>
          <w:lang w:val="en-US"/>
        </w:rPr>
      </w:pPr>
      <w:bookmarkStart w:id="269" w:name="_Ref323471466"/>
      <w:bookmarkStart w:id="270" w:name="_Toc445310083"/>
      <w:bookmarkStart w:id="271" w:name="_Ref319663015"/>
      <w:bookmarkStart w:id="272" w:name="_Ref323301751"/>
      <w:bookmarkStart w:id="273" w:name="_Ref323470742"/>
      <w:bookmarkStart w:id="274" w:name="_Toc474430215"/>
      <w:r w:rsidRPr="00C94556">
        <w:rPr>
          <w:lang w:val="en-US"/>
        </w:rPr>
        <w:t>Frequenc</w:t>
      </w:r>
      <w:r>
        <w:rPr>
          <w:lang w:val="en-US"/>
        </w:rPr>
        <w:t>y</w:t>
      </w:r>
      <w:r w:rsidRPr="00C94556">
        <w:rPr>
          <w:lang w:val="en-US"/>
        </w:rPr>
        <w:t xml:space="preserve"> of </w:t>
      </w:r>
      <w:r>
        <w:rPr>
          <w:lang w:val="en-US"/>
        </w:rPr>
        <w:t>Loss</w:t>
      </w:r>
      <w:r w:rsidRPr="00C94556">
        <w:rPr>
          <w:lang w:val="en-US"/>
        </w:rPr>
        <w:t xml:space="preserve"> of containment functions</w:t>
      </w:r>
      <w:bookmarkEnd w:id="269"/>
      <w:bookmarkEnd w:id="274"/>
    </w:p>
    <w:p w:rsidR="0045109E" w:rsidRDefault="0045109E" w:rsidP="00B86BA4">
      <w:pPr>
        <w:rPr>
          <w:lang w:val="en-US"/>
        </w:rPr>
      </w:pPr>
      <w:r>
        <w:rPr>
          <w:lang w:val="en-US"/>
        </w:rPr>
        <w:t xml:space="preserve">This section is an extract from </w:t>
      </w:r>
      <w:r w:rsidRPr="008F0C1B">
        <w:rPr>
          <w:lang w:val="en-US"/>
        </w:rPr>
        <w:t xml:space="preserve">Reference </w:t>
      </w:r>
      <w:r w:rsidR="009E768B" w:rsidRPr="008F0C1B">
        <w:rPr>
          <w:lang w:val="en-US"/>
        </w:rPr>
        <w:fldChar w:fldCharType="begin"/>
      </w:r>
      <w:r w:rsidRPr="008F0C1B">
        <w:rPr>
          <w:lang w:val="en-US"/>
        </w:rPr>
        <w:instrText xml:space="preserve"> REF _Ref319760151 \r \h </w:instrText>
      </w:r>
      <w:r w:rsidR="009E768B" w:rsidRPr="008F0C1B">
        <w:rPr>
          <w:lang w:val="en-US"/>
        </w:rPr>
      </w:r>
      <w:r w:rsidR="009E768B" w:rsidRPr="008F0C1B">
        <w:rPr>
          <w:lang w:val="en-US"/>
        </w:rPr>
        <w:fldChar w:fldCharType="separate"/>
      </w:r>
      <w:r w:rsidR="00B772CA">
        <w:rPr>
          <w:lang w:val="en-US"/>
        </w:rPr>
        <w:t>[2]</w:t>
      </w:r>
      <w:r w:rsidR="009E768B" w:rsidRPr="008F0C1B">
        <w:rPr>
          <w:lang w:val="en-US"/>
        </w:rPr>
        <w:fldChar w:fldCharType="end"/>
      </w:r>
      <w:r w:rsidRPr="008F0C1B">
        <w:rPr>
          <w:lang w:val="en-US"/>
        </w:rPr>
        <w:t xml:space="preserve"> (AS</w:t>
      </w:r>
      <w:r>
        <w:rPr>
          <w:lang w:val="en-US"/>
        </w:rPr>
        <w:t>AMPSA2, Volume 1, page 96).</w:t>
      </w:r>
    </w:p>
    <w:p w:rsidR="0045109E" w:rsidRPr="00313E82" w:rsidRDefault="0045109E" w:rsidP="00C94556">
      <w:pPr>
        <w:pStyle w:val="Titre3"/>
        <w:rPr>
          <w:rFonts w:eastAsia="Batang"/>
          <w:lang w:val="en-US"/>
        </w:rPr>
      </w:pPr>
      <w:bookmarkStart w:id="275" w:name="_Toc452561399"/>
      <w:bookmarkStart w:id="276" w:name="_Toc452561615"/>
      <w:bookmarkStart w:id="277" w:name="_Toc474430216"/>
      <w:bookmarkEnd w:id="275"/>
      <w:bookmarkEnd w:id="276"/>
      <w:r w:rsidRPr="00313E82">
        <w:rPr>
          <w:rFonts w:eastAsia="Batang"/>
          <w:lang w:val="en-US"/>
        </w:rPr>
        <w:t>Definition of Risk Measure</w:t>
      </w:r>
      <w:bookmarkEnd w:id="277"/>
    </w:p>
    <w:p w:rsidR="0045109E" w:rsidRPr="00C94556" w:rsidRDefault="0045109E">
      <w:pPr>
        <w:rPr>
          <w:lang w:val="en-US"/>
        </w:rPr>
      </w:pPr>
      <w:r w:rsidRPr="00C94556">
        <w:rPr>
          <w:lang w:val="en-US"/>
        </w:rPr>
        <w:t>In the following paragraphs, the term “containment failure mode” concerns all release paths in the case of an accident</w:t>
      </w:r>
      <w:r>
        <w:rPr>
          <w:lang w:val="en-US"/>
        </w:rPr>
        <w:t xml:space="preserve"> with a loss of the containment function.</w:t>
      </w:r>
      <w:r w:rsidRPr="00C94556">
        <w:rPr>
          <w:lang w:val="en-US"/>
        </w:rPr>
        <w:t xml:space="preserve"> </w:t>
      </w:r>
      <w:r>
        <w:rPr>
          <w:lang w:val="en-US"/>
        </w:rPr>
        <w:t>F</w:t>
      </w:r>
      <w:r w:rsidRPr="00C94556">
        <w:rPr>
          <w:lang w:val="en-US"/>
        </w:rPr>
        <w:t xml:space="preserve">or example, a steam generator tube rupture is considered as a “containment failure mode” although in reality it is the bypass of an intact containment. </w:t>
      </w:r>
    </w:p>
    <w:p w:rsidR="0045109E" w:rsidRPr="00C94556" w:rsidRDefault="0045109E">
      <w:pPr>
        <w:rPr>
          <w:lang w:val="en-US"/>
        </w:rPr>
      </w:pPr>
    </w:p>
    <w:p w:rsidR="0045109E" w:rsidRPr="00C94556" w:rsidRDefault="0045109E">
      <w:pPr>
        <w:rPr>
          <w:u w:val="single"/>
          <w:lang w:val="en-US"/>
        </w:rPr>
      </w:pPr>
      <w:r w:rsidRPr="00C94556">
        <w:rPr>
          <w:u w:val="single"/>
          <w:lang w:val="en-US"/>
        </w:rPr>
        <w:t>Example of risk metric: First containment function failure</w:t>
      </w:r>
    </w:p>
    <w:p w:rsidR="0045109E" w:rsidRPr="00C94556" w:rsidRDefault="0045109E">
      <w:pPr>
        <w:rPr>
          <w:lang w:val="en-US"/>
        </w:rPr>
      </w:pPr>
      <w:r w:rsidRPr="00C94556">
        <w:rPr>
          <w:lang w:val="en-US"/>
        </w:rPr>
        <w:t xml:space="preserve">An approach for presenting the results of a L2 PSA consists of defining the APET outputs (release categories) with the </w:t>
      </w:r>
      <w:r w:rsidRPr="00C94556">
        <w:rPr>
          <w:i/>
          <w:u w:val="single"/>
          <w:lang w:val="en-US"/>
        </w:rPr>
        <w:t>first</w:t>
      </w:r>
      <w:r w:rsidRPr="00C94556">
        <w:rPr>
          <w:lang w:val="en-US"/>
        </w:rPr>
        <w:t xml:space="preserve"> failures of a containment function during the accident progression. This approach is simple to perform with APET tools that take into account the chronology of the accident but may be more difficult if the chronology is not explicitly addressed (L1PSA APET tools).</w:t>
      </w:r>
    </w:p>
    <w:p w:rsidR="0045109E" w:rsidRPr="00C94556" w:rsidRDefault="0045109E">
      <w:pPr>
        <w:rPr>
          <w:lang w:val="en-US"/>
        </w:rPr>
      </w:pPr>
      <w:r w:rsidRPr="00C94556">
        <w:rPr>
          <w:lang w:val="en-US"/>
        </w:rPr>
        <w:t xml:space="preserve">For example, the frequency of an accidental sequence that leads to the containment failure modes Mode 1 </w:t>
      </w:r>
      <w:r w:rsidRPr="00C94556">
        <w:rPr>
          <w:u w:val="single"/>
          <w:lang w:val="en-US"/>
        </w:rPr>
        <w:t xml:space="preserve">and </w:t>
      </w:r>
      <w:r w:rsidRPr="00C94556">
        <w:rPr>
          <w:lang w:val="en-US"/>
        </w:rPr>
        <w:t>Mode 2 will exclusively contribute to the frequency of the containment failure mode Mode 1 if it occurs before failure Mode 2.</w:t>
      </w:r>
    </w:p>
    <w:p w:rsidR="0045109E" w:rsidRPr="00C94556" w:rsidRDefault="0045109E">
      <w:pPr>
        <w:rPr>
          <w:lang w:val="en-US"/>
        </w:rPr>
      </w:pPr>
      <w:r w:rsidRPr="00C94556">
        <w:rPr>
          <w:lang w:val="en-US"/>
        </w:rPr>
        <w:t>This presentation may not be correlated to the severity of the accident (if the worst containment failure is the second one, it will not appear) and must be used carefully.</w:t>
      </w:r>
    </w:p>
    <w:p w:rsidR="0045109E" w:rsidRPr="00C94556" w:rsidRDefault="0045109E">
      <w:pPr>
        <w:rPr>
          <w:lang w:val="en-US"/>
        </w:rPr>
      </w:pPr>
    </w:p>
    <w:p w:rsidR="0045109E" w:rsidRPr="00C94556" w:rsidRDefault="0045109E">
      <w:pPr>
        <w:rPr>
          <w:u w:val="single"/>
          <w:lang w:val="en-US"/>
        </w:rPr>
      </w:pPr>
      <w:r w:rsidRPr="00C94556">
        <w:rPr>
          <w:u w:val="single"/>
          <w:lang w:val="en-US"/>
        </w:rPr>
        <w:t>Example of risk metric: Dominant containment failure mode</w:t>
      </w:r>
    </w:p>
    <w:p w:rsidR="0045109E" w:rsidRPr="00C94556" w:rsidRDefault="0045109E">
      <w:pPr>
        <w:rPr>
          <w:lang w:val="en-US"/>
        </w:rPr>
      </w:pPr>
      <w:r w:rsidRPr="00C94556">
        <w:rPr>
          <w:lang w:val="en-US"/>
        </w:rPr>
        <w:t xml:space="preserve">If the L2 PSA results exhibit sequences including several containment failure modes (for example a leak </w:t>
      </w:r>
      <w:r w:rsidR="00617F9D">
        <w:rPr>
          <w:lang w:val="en-US"/>
        </w:rPr>
        <w:t>into the reactor building</w:t>
      </w:r>
      <w:r w:rsidRPr="00C94556">
        <w:rPr>
          <w:lang w:val="en-US"/>
        </w:rPr>
        <w:t xml:space="preserve"> followed by a basemat penetration), it may be useful to define a scaling of the different containment failure modes related to their severity. The definition of severity may consider both the amplitude of release and the accident kinetics. For example an induced steam generator tube rupture is often considered as one of the worst situations for a PWR as it may combine a short delay before atmospheric radioactive release and high amplitude of release. </w:t>
      </w:r>
    </w:p>
    <w:p w:rsidR="0045109E" w:rsidRPr="00C94556" w:rsidRDefault="0045109E">
      <w:pPr>
        <w:rPr>
          <w:lang w:val="en-US"/>
        </w:rPr>
      </w:pPr>
      <w:r w:rsidRPr="00C94556">
        <w:rPr>
          <w:lang w:val="en-US"/>
        </w:rPr>
        <w:t xml:space="preserve">This presentation can be considered as the standard way for a result presentation of a L2 PSA. However a clear definition on the scale of “dominant” may not be easy. For example, it is not obvious how to compare an early containment failure with limited leak size to a late containment failure with large leak size. The main limitation is </w:t>
      </w:r>
      <w:r w:rsidRPr="00C94556">
        <w:rPr>
          <w:lang w:val="en-US"/>
        </w:rPr>
        <w:lastRenderedPageBreak/>
        <w:t>that the dominant containment failure modes mask other containment failures in a sequence. This can bias the L2 PSA applications, especially if some conservatism has been introduced in the APET assumptions related to some “dominant” containment failure modes.</w:t>
      </w:r>
    </w:p>
    <w:p w:rsidR="0045109E" w:rsidRPr="00C94556" w:rsidRDefault="0045109E">
      <w:pPr>
        <w:rPr>
          <w:lang w:val="en-US"/>
        </w:rPr>
      </w:pPr>
    </w:p>
    <w:p w:rsidR="0045109E" w:rsidRPr="00C94556" w:rsidRDefault="0045109E">
      <w:pPr>
        <w:rPr>
          <w:u w:val="single"/>
          <w:lang w:val="en-US"/>
        </w:rPr>
      </w:pPr>
      <w:r w:rsidRPr="00C94556">
        <w:rPr>
          <w:u w:val="single"/>
          <w:lang w:val="en-US"/>
        </w:rPr>
        <w:t>Example of risk metric: Individual containment failure mode</w:t>
      </w:r>
    </w:p>
    <w:p w:rsidR="0045109E" w:rsidRPr="00C94556" w:rsidRDefault="0045109E">
      <w:pPr>
        <w:rPr>
          <w:lang w:val="en-US"/>
        </w:rPr>
      </w:pPr>
      <w:r w:rsidRPr="00C94556">
        <w:rPr>
          <w:lang w:val="en-US"/>
        </w:rPr>
        <w:t>For the L2 PSA applications, it may be useful to separately calculate the frequency obtained for each containment failure mode in order to discuss the interest of specific plant improvements regarding the specific contribution of the considered containment failure modes to the risk.</w:t>
      </w:r>
    </w:p>
    <w:p w:rsidR="0045109E" w:rsidRPr="00C94556" w:rsidRDefault="0045109E">
      <w:pPr>
        <w:rPr>
          <w:lang w:val="en-US"/>
        </w:rPr>
      </w:pPr>
      <w:r w:rsidRPr="00C94556">
        <w:rPr>
          <w:lang w:val="en-US"/>
        </w:rPr>
        <w:t xml:space="preserve">This should be also used to demonstrate that some specific risks can be excluded: for example, if the frequency of late containment failure by hydrogen combustion during MCCI phase was found to be very low, it should be checked that this result is not obtained because previous </w:t>
      </w:r>
      <w:r w:rsidR="00617F9D">
        <w:rPr>
          <w:lang w:val="en-US"/>
        </w:rPr>
        <w:t xml:space="preserve">failure </w:t>
      </w:r>
      <w:r w:rsidRPr="00C94556">
        <w:rPr>
          <w:lang w:val="en-US"/>
        </w:rPr>
        <w:t>modes have masked it.</w:t>
      </w:r>
    </w:p>
    <w:p w:rsidR="0045109E" w:rsidRPr="00C94556" w:rsidRDefault="0045109E">
      <w:pPr>
        <w:rPr>
          <w:lang w:val="en-US"/>
        </w:rPr>
      </w:pPr>
      <w:r w:rsidRPr="00C94556">
        <w:rPr>
          <w:lang w:val="en-US"/>
        </w:rPr>
        <w:t xml:space="preserve">For example, the frequency of an accidental sequence that leads to the containment failure modes Mode 1 </w:t>
      </w:r>
      <w:r w:rsidRPr="00C94556">
        <w:rPr>
          <w:u w:val="single"/>
          <w:lang w:val="en-US"/>
        </w:rPr>
        <w:t xml:space="preserve">and </w:t>
      </w:r>
      <w:r w:rsidRPr="00C94556">
        <w:rPr>
          <w:lang w:val="en-US"/>
        </w:rPr>
        <w:t>Mode 2 will contribute to both of the frequencies of the containment failure modes Mode 1 and Mode 2. In addition it may be of interest to document the combinations of failures that occur. For example, if a containment bypass is combined with a basemat melt through, the frequency of simultaneous occurrence for both failure modes should be given to complete the information.</w:t>
      </w:r>
    </w:p>
    <w:p w:rsidR="0045109E" w:rsidRPr="00C94556" w:rsidRDefault="0045109E">
      <w:pPr>
        <w:rPr>
          <w:lang w:val="en-US"/>
        </w:rPr>
      </w:pPr>
      <w:r w:rsidRPr="00C94556">
        <w:rPr>
          <w:lang w:val="en-US"/>
        </w:rPr>
        <w:t>For each quantification (or each Monte Carlo run), the sum of each individual containment failure frequency plus the frequency of situations without containment failure, may largely exceed the L1PSA total frequency if the APET allows the quantification of multiple containment failures in each accident sequence. This result has to be clearly explained to the final L2 PSA user.</w:t>
      </w:r>
    </w:p>
    <w:p w:rsidR="0045109E" w:rsidRPr="00C94556" w:rsidRDefault="0045109E" w:rsidP="00C94556">
      <w:pPr>
        <w:pStyle w:val="Titre3"/>
        <w:rPr>
          <w:rFonts w:eastAsia="Batang"/>
          <w:lang w:val="en-US"/>
        </w:rPr>
      </w:pPr>
      <w:bookmarkStart w:id="278" w:name="_Toc474430217"/>
      <w:r w:rsidRPr="00C94556">
        <w:rPr>
          <w:rFonts w:eastAsia="Batang"/>
          <w:lang w:val="en-US"/>
        </w:rPr>
        <w:t>Limitations</w:t>
      </w:r>
      <w:bookmarkEnd w:id="278"/>
    </w:p>
    <w:p w:rsidR="0045109E" w:rsidRDefault="0045109E" w:rsidP="00EE6B33">
      <w:pPr>
        <w:rPr>
          <w:rFonts w:eastAsia="Batang"/>
          <w:lang w:val="en-US"/>
        </w:rPr>
      </w:pPr>
      <w:r>
        <w:rPr>
          <w:rFonts w:eastAsia="Batang"/>
          <w:lang w:val="en-US"/>
        </w:rPr>
        <w:t>In case of a core melt accident, loss of the containment function indicates that practically no engineered safety barrier exists between the melting core and the environment. Therefore, this is synonymous to a very severe release to the environment. But within this category, the release quantity will vary depending of the properties of the accident and its progression, e.g. timing of the release (influencing the degree of deposition and thus retention inside the building volumes), availability of mitigating actions (e.g. sprays, filtered ventilation in buildings), and status of buildings outside of the containment (e.g. intact or damaged by external hazard or by hydrogen burst). The variation of the released quantities can easily attain an order of magnitude. If such uncertainty is tolerable, the frequency of loss of containment function is a valuable measure.</w:t>
      </w:r>
    </w:p>
    <w:p w:rsidR="0045109E" w:rsidRPr="00313E82" w:rsidRDefault="0045109E" w:rsidP="00EE6B33">
      <w:pPr>
        <w:pStyle w:val="Titre3"/>
        <w:rPr>
          <w:rFonts w:eastAsia="Batang"/>
          <w:lang w:val="en-US"/>
        </w:rPr>
      </w:pPr>
      <w:bookmarkStart w:id="279" w:name="_Ref339008039"/>
      <w:bookmarkStart w:id="280" w:name="_Toc474430218"/>
      <w:r w:rsidRPr="00313E82">
        <w:rPr>
          <w:rFonts w:eastAsia="Batang"/>
          <w:lang w:val="en-US"/>
        </w:rPr>
        <w:t xml:space="preserve">ASAMPSA_E recommendation on </w:t>
      </w:r>
      <w:r>
        <w:rPr>
          <w:rFonts w:eastAsia="Batang"/>
          <w:lang w:val="en-US"/>
        </w:rPr>
        <w:t>measure for loss of containment function</w:t>
      </w:r>
      <w:bookmarkEnd w:id="279"/>
      <w:bookmarkEnd w:id="280"/>
      <w:r w:rsidRPr="00313E82">
        <w:rPr>
          <w:rFonts w:eastAsia="Batang"/>
          <w:lang w:val="en-US"/>
        </w:rPr>
        <w:t xml:space="preserve"> </w:t>
      </w:r>
    </w:p>
    <w:p w:rsidR="0045109E" w:rsidRDefault="0045109E" w:rsidP="00EE6B33">
      <w:pPr>
        <w:rPr>
          <w:lang w:val="en-US"/>
        </w:rPr>
      </w:pPr>
      <w:r>
        <w:rPr>
          <w:lang w:val="en-US"/>
        </w:rPr>
        <w:t>There is already a widespread good practice in L2 PSA to identify the frequency of the loss of containment functions. The application of this measure is further encouraged, with the following comment:</w:t>
      </w:r>
      <w:r w:rsidR="00E3611D">
        <w:rPr>
          <w:lang w:val="en-US"/>
        </w:rPr>
        <w:t xml:space="preserve"> </w:t>
      </w:r>
      <w:r>
        <w:rPr>
          <w:lang w:val="en-US"/>
        </w:rPr>
        <w:t>It is recommended to distinguish</w:t>
      </w:r>
      <w:r w:rsidR="00553987">
        <w:rPr>
          <w:lang w:val="en-US"/>
        </w:rPr>
        <w:t xml:space="preserve"> for core melt sequences</w:t>
      </w:r>
      <w:r w:rsidR="00D705C9">
        <w:rPr>
          <w:lang w:val="en-US"/>
        </w:rPr>
        <w:t>:</w:t>
      </w:r>
      <w:r>
        <w:rPr>
          <w:lang w:val="en-US"/>
        </w:rPr>
        <w:t xml:space="preserve"> </w:t>
      </w:r>
    </w:p>
    <w:p w:rsidR="0045109E" w:rsidRPr="00EF24F2" w:rsidRDefault="0045109E" w:rsidP="00EE6B33">
      <w:pPr>
        <w:pStyle w:val="Paragraphedeliste"/>
        <w:numPr>
          <w:ilvl w:val="0"/>
          <w:numId w:val="104"/>
        </w:numPr>
        <w:rPr>
          <w:lang w:val="en-US"/>
        </w:rPr>
      </w:pPr>
      <w:r w:rsidRPr="003849E8">
        <w:rPr>
          <w:lang w:val="en-US"/>
        </w:rPr>
        <w:t>Intact contain</w:t>
      </w:r>
      <w:r w:rsidRPr="00EF24F2">
        <w:rPr>
          <w:lang w:val="en-US"/>
        </w:rPr>
        <w:t>ment with design basis leakage</w:t>
      </w:r>
      <w:r w:rsidR="000C1127">
        <w:rPr>
          <w:lang w:val="en-US"/>
        </w:rPr>
        <w:t>,</w:t>
      </w:r>
    </w:p>
    <w:p w:rsidR="0045109E" w:rsidRPr="009D3F6F" w:rsidRDefault="0045109E" w:rsidP="00EE6B33">
      <w:pPr>
        <w:pStyle w:val="Paragraphedeliste"/>
        <w:numPr>
          <w:ilvl w:val="0"/>
          <w:numId w:val="104"/>
        </w:numPr>
        <w:rPr>
          <w:lang w:val="en-US"/>
        </w:rPr>
      </w:pPr>
      <w:r w:rsidRPr="009D3F6F">
        <w:rPr>
          <w:lang w:val="en-US"/>
        </w:rPr>
        <w:t>Intact containment with filtered venting</w:t>
      </w:r>
      <w:r w:rsidR="000C1127">
        <w:rPr>
          <w:lang w:val="en-US"/>
        </w:rPr>
        <w:t>,</w:t>
      </w:r>
    </w:p>
    <w:p w:rsidR="0045109E" w:rsidRPr="003849E8" w:rsidRDefault="0045109E" w:rsidP="00EE6B33">
      <w:pPr>
        <w:pStyle w:val="Paragraphedeliste"/>
        <w:numPr>
          <w:ilvl w:val="0"/>
          <w:numId w:val="104"/>
        </w:numPr>
        <w:rPr>
          <w:lang w:val="en-US"/>
        </w:rPr>
      </w:pPr>
      <w:r w:rsidRPr="003849E8">
        <w:rPr>
          <w:lang w:val="en-US"/>
        </w:rPr>
        <w:t xml:space="preserve">Loss of containment function due to </w:t>
      </w:r>
      <w:r>
        <w:rPr>
          <w:lang w:val="en-US"/>
        </w:rPr>
        <w:t xml:space="preserve">a </w:t>
      </w:r>
      <w:r w:rsidRPr="003849E8">
        <w:rPr>
          <w:lang w:val="en-US"/>
        </w:rPr>
        <w:t xml:space="preserve">leak or rupture of </w:t>
      </w:r>
      <w:r>
        <w:rPr>
          <w:lang w:val="en-US"/>
        </w:rPr>
        <w:t xml:space="preserve">the </w:t>
      </w:r>
      <w:r w:rsidRPr="003849E8">
        <w:rPr>
          <w:lang w:val="en-US"/>
        </w:rPr>
        <w:t>containment structure</w:t>
      </w:r>
      <w:r w:rsidR="000C1127">
        <w:rPr>
          <w:lang w:val="en-US"/>
        </w:rPr>
        <w:t>,</w:t>
      </w:r>
    </w:p>
    <w:p w:rsidR="0045109E" w:rsidRPr="003849E8" w:rsidRDefault="0045109E" w:rsidP="00EE6B33">
      <w:pPr>
        <w:pStyle w:val="Paragraphedeliste"/>
        <w:numPr>
          <w:ilvl w:val="0"/>
          <w:numId w:val="104"/>
        </w:numPr>
        <w:rPr>
          <w:lang w:val="en-US"/>
        </w:rPr>
      </w:pPr>
      <w:r w:rsidRPr="003849E8">
        <w:rPr>
          <w:lang w:val="en-US"/>
        </w:rPr>
        <w:lastRenderedPageBreak/>
        <w:t xml:space="preserve">Loss of containment function due to failure of </w:t>
      </w:r>
      <w:r>
        <w:rPr>
          <w:lang w:val="en-US"/>
        </w:rPr>
        <w:t xml:space="preserve">the </w:t>
      </w:r>
      <w:r w:rsidRPr="003849E8">
        <w:rPr>
          <w:lang w:val="en-US"/>
        </w:rPr>
        <w:t>containment isolation</w:t>
      </w:r>
      <w:r w:rsidR="000C1127">
        <w:rPr>
          <w:lang w:val="en-US"/>
        </w:rPr>
        <w:t>,</w:t>
      </w:r>
    </w:p>
    <w:p w:rsidR="0045109E" w:rsidRPr="003849E8" w:rsidRDefault="0045109E" w:rsidP="00EE6B33">
      <w:pPr>
        <w:pStyle w:val="Paragraphedeliste"/>
        <w:numPr>
          <w:ilvl w:val="0"/>
          <w:numId w:val="104"/>
        </w:numPr>
        <w:rPr>
          <w:lang w:val="en-US"/>
        </w:rPr>
      </w:pPr>
      <w:r w:rsidRPr="003849E8">
        <w:rPr>
          <w:lang w:val="en-US"/>
        </w:rPr>
        <w:t>Loss of containment function due to bypass through interfacing systems (for BWR including non-isolated break of feedwater or steam lines outside of the containment)</w:t>
      </w:r>
      <w:r w:rsidR="000C1127">
        <w:rPr>
          <w:lang w:val="en-US"/>
        </w:rPr>
        <w:t>,</w:t>
      </w:r>
    </w:p>
    <w:p w:rsidR="0045109E" w:rsidRPr="003849E8" w:rsidRDefault="0045109E" w:rsidP="00EE6B33">
      <w:pPr>
        <w:pStyle w:val="Paragraphedeliste"/>
        <w:numPr>
          <w:ilvl w:val="0"/>
          <w:numId w:val="104"/>
        </w:numPr>
        <w:rPr>
          <w:lang w:val="en-US"/>
        </w:rPr>
      </w:pPr>
      <w:r w:rsidRPr="003849E8">
        <w:rPr>
          <w:lang w:val="en-US"/>
        </w:rPr>
        <w:t>Loss of containment function due bypass through steam generator tube leak (PWR only)</w:t>
      </w:r>
      <w:r w:rsidR="000C1127">
        <w:rPr>
          <w:lang w:val="en-US"/>
        </w:rPr>
        <w:t>.</w:t>
      </w:r>
    </w:p>
    <w:p w:rsidR="0045109E" w:rsidRDefault="0045109E" w:rsidP="00EE6B33">
      <w:pPr>
        <w:rPr>
          <w:lang w:val="en-US"/>
        </w:rPr>
      </w:pPr>
    </w:p>
    <w:p w:rsidR="0045109E" w:rsidRDefault="0045109E" w:rsidP="00EE6B33">
      <w:pPr>
        <w:rPr>
          <w:lang w:val="en-US"/>
        </w:rPr>
      </w:pPr>
      <w:r>
        <w:rPr>
          <w:lang w:val="en-US"/>
        </w:rPr>
        <w:t xml:space="preserve">It may be interesting to introduce an approach, which has similarity to the well-known core damage frequency (CDF) concept of L1 PSA (See Section </w:t>
      </w:r>
      <w:r w:rsidR="009E768B">
        <w:rPr>
          <w:lang w:val="en-US"/>
        </w:rPr>
        <w:fldChar w:fldCharType="begin"/>
      </w:r>
      <w:r>
        <w:rPr>
          <w:lang w:val="en-US"/>
        </w:rPr>
        <w:instrText xml:space="preserve"> REF _Ref293303431 \r \h </w:instrText>
      </w:r>
      <w:r w:rsidR="009E768B">
        <w:rPr>
          <w:lang w:val="en-US"/>
        </w:rPr>
      </w:r>
      <w:r w:rsidR="009E768B">
        <w:rPr>
          <w:lang w:val="en-US"/>
        </w:rPr>
        <w:fldChar w:fldCharType="separate"/>
      </w:r>
      <w:r w:rsidR="00B772CA">
        <w:rPr>
          <w:lang w:val="en-US"/>
        </w:rPr>
        <w:t>2</w:t>
      </w:r>
      <w:r w:rsidR="009E768B">
        <w:rPr>
          <w:lang w:val="en-US"/>
        </w:rPr>
        <w:fldChar w:fldCharType="end"/>
      </w:r>
      <w:r>
        <w:rPr>
          <w:lang w:val="en-US"/>
        </w:rPr>
        <w:t>): Define a “Containment Failure Frequency” (CFF). The CFF would comprise all CDF sequences where the containment function is lost. The CFF could attain the same weight in safety assessment as the traditional CDF. One could imagine assessing plant improvements or comparison with safety targets in terms of CFF. Of course such a general property cannot capture all relevant attributes, but the same applies for the very popular CDF measure. This shortcoming did not prevent the CDF measure from becoming the best known and worldwide accepted measure for severe accidents.</w:t>
      </w:r>
    </w:p>
    <w:p w:rsidR="0045109E" w:rsidRPr="00C94556" w:rsidRDefault="0045109E" w:rsidP="00C94556">
      <w:pPr>
        <w:pStyle w:val="Titre2"/>
        <w:rPr>
          <w:lang w:val="en-US"/>
        </w:rPr>
      </w:pPr>
      <w:bookmarkStart w:id="281" w:name="_Ref323471469"/>
      <w:bookmarkStart w:id="282" w:name="_Toc474430219"/>
      <w:r w:rsidRPr="00C94556">
        <w:rPr>
          <w:lang w:val="en-US"/>
        </w:rPr>
        <w:t>Frequency of “</w:t>
      </w:r>
      <w:r>
        <w:rPr>
          <w:lang w:val="en-US"/>
        </w:rPr>
        <w:t>K</w:t>
      </w:r>
      <w:r w:rsidRPr="00C94556">
        <w:rPr>
          <w:lang w:val="en-US"/>
        </w:rPr>
        <w:t xml:space="preserve">inetics </w:t>
      </w:r>
      <w:r>
        <w:rPr>
          <w:lang w:val="en-US"/>
        </w:rPr>
        <w:t>B</w:t>
      </w:r>
      <w:r w:rsidRPr="00C94556">
        <w:rPr>
          <w:lang w:val="en-US"/>
        </w:rPr>
        <w:t xml:space="preserve">ased” </w:t>
      </w:r>
      <w:r>
        <w:rPr>
          <w:lang w:val="en-US"/>
        </w:rPr>
        <w:t>R</w:t>
      </w:r>
      <w:r w:rsidRPr="00C94556">
        <w:rPr>
          <w:lang w:val="en-US"/>
        </w:rPr>
        <w:t xml:space="preserve">elease </w:t>
      </w:r>
      <w:r>
        <w:rPr>
          <w:lang w:val="en-US"/>
        </w:rPr>
        <w:t>C</w:t>
      </w:r>
      <w:r w:rsidRPr="00C94556">
        <w:rPr>
          <w:lang w:val="en-US"/>
        </w:rPr>
        <w:t>ategories</w:t>
      </w:r>
      <w:bookmarkEnd w:id="281"/>
      <w:bookmarkEnd w:id="282"/>
    </w:p>
    <w:p w:rsidR="0045109E" w:rsidRPr="00C94556" w:rsidRDefault="0045109E">
      <w:pPr>
        <w:rPr>
          <w:lang w:val="en-US"/>
        </w:rPr>
      </w:pPr>
      <w:r w:rsidRPr="00C94556">
        <w:rPr>
          <w:lang w:val="en-US"/>
        </w:rPr>
        <w:t xml:space="preserve">Examples of this risk metric are provided in Reference </w:t>
      </w:r>
      <w:r w:rsidR="009E768B" w:rsidRPr="00C94556">
        <w:rPr>
          <w:lang w:val="en-US"/>
        </w:rPr>
        <w:fldChar w:fldCharType="begin"/>
      </w:r>
      <w:r w:rsidRPr="00C94556">
        <w:rPr>
          <w:lang w:val="en-US"/>
        </w:rPr>
        <w:instrText xml:space="preserve"> REF _Ref319760151 \r \h </w:instrText>
      </w:r>
      <w:r w:rsidR="009E768B" w:rsidRPr="00C94556">
        <w:rPr>
          <w:lang w:val="en-US"/>
        </w:rPr>
      </w:r>
      <w:r w:rsidR="009E768B" w:rsidRPr="00C94556">
        <w:rPr>
          <w:lang w:val="en-US"/>
        </w:rPr>
        <w:fldChar w:fldCharType="separate"/>
      </w:r>
      <w:r w:rsidR="00B772CA">
        <w:rPr>
          <w:lang w:val="en-US"/>
        </w:rPr>
        <w:t>[2]</w:t>
      </w:r>
      <w:r w:rsidR="009E768B" w:rsidRPr="00C94556">
        <w:rPr>
          <w:lang w:val="en-US"/>
        </w:rPr>
        <w:fldChar w:fldCharType="end"/>
      </w:r>
      <w:r w:rsidRPr="00C94556">
        <w:rPr>
          <w:lang w:val="en-US"/>
        </w:rPr>
        <w:t xml:space="preserve"> (ASAMPSA2, Volume 1, page 100).</w:t>
      </w:r>
      <w:r>
        <w:rPr>
          <w:lang w:val="en-US"/>
        </w:rPr>
        <w:t xml:space="preserve"> It’s either based on containment failure time or delay before obtaining an activity release limit depending of the containment failure mode.</w:t>
      </w:r>
    </w:p>
    <w:p w:rsidR="00CA1FF5" w:rsidRPr="00313E82" w:rsidRDefault="00E44EDE" w:rsidP="00C94556">
      <w:pPr>
        <w:pStyle w:val="Titre2"/>
        <w:rPr>
          <w:lang w:val="en-US"/>
        </w:rPr>
      </w:pPr>
      <w:bookmarkStart w:id="283" w:name="_Toc452560464"/>
      <w:bookmarkStart w:id="284" w:name="_Toc452561404"/>
      <w:bookmarkStart w:id="285" w:name="_Toc452561620"/>
      <w:bookmarkStart w:id="286" w:name="_Toc467739310"/>
      <w:bookmarkStart w:id="287" w:name="_Toc467739509"/>
      <w:bookmarkStart w:id="288" w:name="_Toc467739312"/>
      <w:bookmarkStart w:id="289" w:name="_Toc467739511"/>
      <w:bookmarkStart w:id="290" w:name="_Toc467739314"/>
      <w:bookmarkStart w:id="291" w:name="_Toc467739513"/>
      <w:bookmarkStart w:id="292" w:name="_Toc452561407"/>
      <w:bookmarkStart w:id="293" w:name="_Toc452561623"/>
      <w:bookmarkStart w:id="294" w:name="_Toc467739315"/>
      <w:bookmarkStart w:id="295" w:name="_Toc467739514"/>
      <w:bookmarkStart w:id="296" w:name="_Toc467739317"/>
      <w:bookmarkStart w:id="297" w:name="_Toc467739516"/>
      <w:bookmarkStart w:id="298" w:name="_Toc467739324"/>
      <w:bookmarkStart w:id="299" w:name="_Toc467739523"/>
      <w:bookmarkStart w:id="300" w:name="_Toc467739326"/>
      <w:bookmarkStart w:id="301" w:name="_Toc467739525"/>
      <w:bookmarkStart w:id="302" w:name="_Toc467739328"/>
      <w:bookmarkStart w:id="303" w:name="_Toc467739527"/>
      <w:bookmarkStart w:id="304" w:name="_Toc467739329"/>
      <w:bookmarkStart w:id="305" w:name="_Toc467739528"/>
      <w:bookmarkStart w:id="306" w:name="_Toc467739330"/>
      <w:bookmarkStart w:id="307" w:name="_Toc467739529"/>
      <w:bookmarkStart w:id="308" w:name="_Toc467739331"/>
      <w:bookmarkStart w:id="309" w:name="_Toc467739530"/>
      <w:bookmarkStart w:id="310" w:name="_Toc467739332"/>
      <w:bookmarkStart w:id="311" w:name="_Toc467739531"/>
      <w:bookmarkStart w:id="312" w:name="_Toc467739333"/>
      <w:bookmarkStart w:id="313" w:name="_Toc467739532"/>
      <w:bookmarkStart w:id="314" w:name="_Toc467739334"/>
      <w:bookmarkStart w:id="315" w:name="_Toc467739533"/>
      <w:bookmarkStart w:id="316" w:name="_Ref323470922"/>
      <w:bookmarkStart w:id="317" w:name="_Toc474430220"/>
      <w:bookmarkEnd w:id="270"/>
      <w:bookmarkEnd w:id="271"/>
      <w:bookmarkEnd w:id="272"/>
      <w:bookmarkEnd w:id="273"/>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Pr>
          <w:rFonts w:eastAsia="Batang"/>
          <w:lang w:val="en-US"/>
        </w:rPr>
        <w:t xml:space="preserve">Functional and </w:t>
      </w:r>
      <w:r w:rsidR="0089496B" w:rsidRPr="00313E82">
        <w:rPr>
          <w:lang w:val="en-US"/>
        </w:rPr>
        <w:t xml:space="preserve">Phenomena Based </w:t>
      </w:r>
      <w:bookmarkStart w:id="318" w:name="_Ref306875646"/>
      <w:r w:rsidR="00CA1FF5" w:rsidRPr="00313E82">
        <w:rPr>
          <w:lang w:val="en-US"/>
        </w:rPr>
        <w:t>Risk Metric</w:t>
      </w:r>
      <w:bookmarkEnd w:id="316"/>
      <w:bookmarkEnd w:id="317"/>
      <w:r w:rsidR="00CA1FF5" w:rsidRPr="00313E82">
        <w:rPr>
          <w:lang w:val="en-US"/>
        </w:rPr>
        <w:t xml:space="preserve"> </w:t>
      </w:r>
      <w:bookmarkEnd w:id="318"/>
    </w:p>
    <w:p w:rsidR="00CA1FF5" w:rsidRPr="00313E82" w:rsidRDefault="00CA1FF5" w:rsidP="00C94556">
      <w:pPr>
        <w:pStyle w:val="Titre3"/>
        <w:rPr>
          <w:rFonts w:eastAsia="Batang"/>
          <w:lang w:val="en-US"/>
        </w:rPr>
      </w:pPr>
      <w:bookmarkStart w:id="319" w:name="_Toc474430221"/>
      <w:r w:rsidRPr="00313E82">
        <w:rPr>
          <w:rFonts w:eastAsia="Batang"/>
          <w:lang w:val="en-US"/>
        </w:rPr>
        <w:t>Definition of Risk Metric</w:t>
      </w:r>
      <w:bookmarkEnd w:id="319"/>
    </w:p>
    <w:p w:rsidR="00CA1FF5" w:rsidRPr="00313E82" w:rsidRDefault="00CA1FF5">
      <w:pPr>
        <w:rPr>
          <w:lang w:val="en-US"/>
        </w:rPr>
      </w:pPr>
      <w:r w:rsidRPr="00313E82">
        <w:rPr>
          <w:lang w:val="en-US"/>
        </w:rPr>
        <w:t>For French PWR safety reassessment, EDF has chosen a risk metric that focuses on safety insights instead of precise source term quantification. The aim is to get a functional analysis of the risk in order to target area for safety improvement, without focusing on the quantification of the source term depending on specific release hypothesis (leakage rates, iodine behavior, scrubbing factor…).</w:t>
      </w:r>
    </w:p>
    <w:p w:rsidR="00CA1FF5" w:rsidRPr="00313E82" w:rsidRDefault="00CA1FF5">
      <w:pPr>
        <w:rPr>
          <w:lang w:val="en-US"/>
        </w:rPr>
      </w:pPr>
    </w:p>
    <w:p w:rsidR="00CA1FF5" w:rsidRPr="00313E82" w:rsidRDefault="00CA1FF5" w:rsidP="00552F4E">
      <w:pPr>
        <w:spacing w:line="360" w:lineRule="auto"/>
        <w:rPr>
          <w:lang w:val="en-US"/>
        </w:rPr>
      </w:pPr>
      <w:r w:rsidRPr="00313E82">
        <w:rPr>
          <w:lang w:val="en-US"/>
        </w:rPr>
        <w:t>To meet this objective, EDF has defined 7 “functional” release categories:</w:t>
      </w:r>
    </w:p>
    <w:p w:rsidR="00CA1FF5" w:rsidRPr="00313E82" w:rsidRDefault="00CA1FF5" w:rsidP="00552F4E">
      <w:pPr>
        <w:numPr>
          <w:ilvl w:val="0"/>
          <w:numId w:val="26"/>
        </w:numPr>
        <w:spacing w:line="360" w:lineRule="auto"/>
        <w:rPr>
          <w:lang w:val="en-US"/>
        </w:rPr>
      </w:pPr>
      <w:r w:rsidRPr="00313E82">
        <w:rPr>
          <w:lang w:val="en-US"/>
        </w:rPr>
        <w:t>5 release categories for atmospheric releases</w:t>
      </w:r>
      <w:r w:rsidR="00B22EA1">
        <w:rPr>
          <w:lang w:val="en-US"/>
        </w:rPr>
        <w:t>,</w:t>
      </w:r>
    </w:p>
    <w:p w:rsidR="00CA1FF5" w:rsidRPr="00313E82" w:rsidRDefault="00CA1FF5" w:rsidP="00552F4E">
      <w:pPr>
        <w:numPr>
          <w:ilvl w:val="0"/>
          <w:numId w:val="26"/>
        </w:numPr>
        <w:spacing w:line="360" w:lineRule="auto"/>
        <w:rPr>
          <w:lang w:val="en-US"/>
        </w:rPr>
      </w:pPr>
      <w:r w:rsidRPr="00313E82">
        <w:rPr>
          <w:lang w:val="en-US"/>
        </w:rPr>
        <w:t>2 release categories for underground releases</w:t>
      </w:r>
      <w:r w:rsidR="00B22EA1">
        <w:rPr>
          <w:lang w:val="en-US"/>
        </w:rPr>
        <w:t>.</w:t>
      </w:r>
    </w:p>
    <w:p w:rsidR="00CA1FF5" w:rsidRPr="00313E82" w:rsidRDefault="00CA1FF5">
      <w:pPr>
        <w:rPr>
          <w:lang w:val="en-US"/>
        </w:rPr>
      </w:pPr>
    </w:p>
    <w:p w:rsidR="00CA1FF5" w:rsidRPr="00313E82" w:rsidRDefault="00CA1FF5">
      <w:pPr>
        <w:rPr>
          <w:lang w:val="en-US"/>
        </w:rPr>
      </w:pPr>
      <w:r w:rsidRPr="00313E82">
        <w:rPr>
          <w:lang w:val="en-US"/>
        </w:rPr>
        <w:t xml:space="preserve">The atmospheric and underground releases are assessed for each sequence of each Level 2 PSA event tree. This means that for each sequence of a Level 2 PSA event tree two consequences are assessed: the first one is a release category for atmospheric releases and second one is a release category for underground releases. </w:t>
      </w:r>
    </w:p>
    <w:p w:rsidR="00CA1FF5" w:rsidRPr="00313E82" w:rsidRDefault="00CA1FF5">
      <w:pPr>
        <w:rPr>
          <w:rFonts w:eastAsia="Batang"/>
          <w:lang w:val="en-US"/>
        </w:rPr>
      </w:pPr>
    </w:p>
    <w:p w:rsidR="00CA1FF5" w:rsidRPr="00313E82" w:rsidRDefault="00CA1FF5" w:rsidP="00C94556">
      <w:pPr>
        <w:pStyle w:val="Paragraphedeliste"/>
        <w:numPr>
          <w:ilvl w:val="0"/>
          <w:numId w:val="33"/>
        </w:numPr>
        <w:rPr>
          <w:rFonts w:eastAsia="Batang"/>
          <w:b/>
          <w:lang w:val="en-US"/>
        </w:rPr>
      </w:pPr>
      <w:r w:rsidRPr="00313E82">
        <w:rPr>
          <w:rFonts w:eastAsia="Batang"/>
          <w:b/>
          <w:lang w:val="en-US"/>
        </w:rPr>
        <w:t>Atmospheric Release Categories</w:t>
      </w:r>
    </w:p>
    <w:p w:rsidR="00CA1FF5" w:rsidRPr="00313E82" w:rsidRDefault="00CA1FF5">
      <w:pPr>
        <w:rPr>
          <w:lang w:val="en-US"/>
        </w:rPr>
      </w:pPr>
      <w:r w:rsidRPr="00313E82">
        <w:rPr>
          <w:lang w:val="en-US"/>
        </w:rPr>
        <w:t>5 functional atmospheric release categories are defined related to the emergency countermeasures characteristics:</w:t>
      </w:r>
    </w:p>
    <w:p w:rsidR="00CA1FF5" w:rsidRPr="00313E82" w:rsidRDefault="00CA1FF5" w:rsidP="00552F4E">
      <w:pPr>
        <w:spacing w:line="360" w:lineRule="auto"/>
        <w:rPr>
          <w:lang w:val="en-US"/>
        </w:rPr>
      </w:pPr>
    </w:p>
    <w:p w:rsidR="00CA1FF5" w:rsidRPr="00313E82" w:rsidRDefault="00CA1FF5" w:rsidP="00552F4E">
      <w:pPr>
        <w:numPr>
          <w:ilvl w:val="0"/>
          <w:numId w:val="27"/>
        </w:numPr>
        <w:spacing w:line="360" w:lineRule="auto"/>
        <w:ind w:left="714" w:hanging="357"/>
        <w:rPr>
          <w:lang w:val="en-US"/>
        </w:rPr>
      </w:pPr>
      <w:r w:rsidRPr="00313E82">
        <w:rPr>
          <w:lang w:val="en-US"/>
        </w:rPr>
        <w:lastRenderedPageBreak/>
        <w:t>R1: Large Early Release (containment break or bypass before 24h) =&gt; emergency countermeasures are not sufficient to protect the public due to the short delay and the large amount of release</w:t>
      </w:r>
      <w:r w:rsidR="00B22EA1">
        <w:rPr>
          <w:lang w:val="en-US"/>
        </w:rPr>
        <w:t>.</w:t>
      </w:r>
      <w:r w:rsidRPr="00313E82">
        <w:rPr>
          <w:lang w:val="en-US"/>
        </w:rPr>
        <w:t xml:space="preserve"> </w:t>
      </w:r>
    </w:p>
    <w:p w:rsidR="00CA1FF5" w:rsidRPr="00313E82" w:rsidRDefault="00CA1FF5" w:rsidP="00552F4E">
      <w:pPr>
        <w:numPr>
          <w:ilvl w:val="0"/>
          <w:numId w:val="27"/>
        </w:numPr>
        <w:spacing w:line="360" w:lineRule="auto"/>
        <w:ind w:left="714" w:hanging="357"/>
        <w:rPr>
          <w:lang w:val="en-US"/>
        </w:rPr>
      </w:pPr>
      <w:r w:rsidRPr="00313E82">
        <w:rPr>
          <w:lang w:val="en-US"/>
        </w:rPr>
        <w:t>R2: Large Late Release (containment break after 24h) =&gt; emergency countermeasure are not sufficient to protect the public due to the large amount of release</w:t>
      </w:r>
      <w:r w:rsidR="00B22EA1">
        <w:rPr>
          <w:lang w:val="en-US"/>
        </w:rPr>
        <w:t>.</w:t>
      </w:r>
      <w:r w:rsidRPr="00313E82">
        <w:rPr>
          <w:lang w:val="en-US"/>
        </w:rPr>
        <w:t xml:space="preserve"> </w:t>
      </w:r>
    </w:p>
    <w:p w:rsidR="00CA1FF5" w:rsidRPr="00313E82" w:rsidRDefault="00CA1FF5" w:rsidP="00552F4E">
      <w:pPr>
        <w:numPr>
          <w:ilvl w:val="0"/>
          <w:numId w:val="27"/>
        </w:numPr>
        <w:spacing w:line="360" w:lineRule="auto"/>
        <w:ind w:left="714" w:hanging="357"/>
        <w:rPr>
          <w:lang w:val="en-US"/>
        </w:rPr>
      </w:pPr>
      <w:r w:rsidRPr="00313E82">
        <w:rPr>
          <w:lang w:val="en-US"/>
        </w:rPr>
        <w:t>R3: Late filtered releases (Filtered Containment Venting after 24h) =&gt; this Release Category is the reference one for the application of Stringent Countermeasures (evacuation of the public up to 5 km and sheltering up to 10 km)</w:t>
      </w:r>
      <w:r w:rsidR="00B22EA1">
        <w:rPr>
          <w:lang w:val="en-US"/>
        </w:rPr>
        <w:t>.</w:t>
      </w:r>
      <w:r w:rsidRPr="00313E82">
        <w:rPr>
          <w:lang w:val="en-US"/>
        </w:rPr>
        <w:t xml:space="preserve"> </w:t>
      </w:r>
    </w:p>
    <w:p w:rsidR="00CA1FF5" w:rsidRPr="00313E82" w:rsidRDefault="00CA1FF5" w:rsidP="00552F4E">
      <w:pPr>
        <w:numPr>
          <w:ilvl w:val="0"/>
          <w:numId w:val="27"/>
        </w:numPr>
        <w:spacing w:line="360" w:lineRule="auto"/>
        <w:ind w:left="714" w:hanging="357"/>
        <w:rPr>
          <w:lang w:val="en-US"/>
        </w:rPr>
      </w:pPr>
      <w:r w:rsidRPr="00313E82">
        <w:rPr>
          <w:lang w:val="en-US"/>
        </w:rPr>
        <w:t>R4: core melt releases without containment loss (or bypass) and without Filtered Containment Venting opening =&gt; Release Category for Limited Countermeasures (sheltering or limited evacuation)</w:t>
      </w:r>
      <w:r w:rsidR="00B22EA1">
        <w:rPr>
          <w:lang w:val="en-US"/>
        </w:rPr>
        <w:t>.</w:t>
      </w:r>
      <w:r w:rsidRPr="00313E82">
        <w:rPr>
          <w:lang w:val="en-US"/>
        </w:rPr>
        <w:t xml:space="preserve"> </w:t>
      </w:r>
    </w:p>
    <w:p w:rsidR="00CA1FF5" w:rsidRPr="00313E82" w:rsidRDefault="00CA1FF5" w:rsidP="00552F4E">
      <w:pPr>
        <w:numPr>
          <w:ilvl w:val="0"/>
          <w:numId w:val="27"/>
        </w:numPr>
        <w:spacing w:line="360" w:lineRule="auto"/>
        <w:ind w:left="714" w:hanging="357"/>
        <w:rPr>
          <w:lang w:val="en-US"/>
        </w:rPr>
      </w:pPr>
      <w:r w:rsidRPr="00313E82">
        <w:rPr>
          <w:lang w:val="en-US"/>
        </w:rPr>
        <w:t xml:space="preserve">RD: Design Basis Accidents (LOCA, SGTR... </w:t>
      </w:r>
      <w:r w:rsidRPr="00313E82">
        <w:rPr>
          <w:i/>
          <w:iCs/>
          <w:lang w:val="en-US"/>
        </w:rPr>
        <w:t>without core melt</w:t>
      </w:r>
      <w:r w:rsidRPr="00313E82">
        <w:rPr>
          <w:lang w:val="en-US"/>
        </w:rPr>
        <w:t>) =&gt; very limited or no countermeasures.</w:t>
      </w:r>
    </w:p>
    <w:p w:rsidR="00CA1FF5" w:rsidRPr="00313E82" w:rsidRDefault="00CA1FF5">
      <w:pPr>
        <w:rPr>
          <w:lang w:val="en-US"/>
        </w:rPr>
      </w:pPr>
    </w:p>
    <w:p w:rsidR="00CA1FF5" w:rsidRPr="00313E82" w:rsidRDefault="00CA1FF5">
      <w:pPr>
        <w:rPr>
          <w:lang w:val="en-US"/>
        </w:rPr>
      </w:pPr>
      <w:r w:rsidRPr="00313E82">
        <w:rPr>
          <w:lang w:val="en-US"/>
        </w:rPr>
        <w:t xml:space="preserve">According to these definitions, correspondence with international </w:t>
      </w:r>
      <w:r w:rsidR="0087635C">
        <w:rPr>
          <w:lang w:val="en-US"/>
        </w:rPr>
        <w:t>L</w:t>
      </w:r>
      <w:r w:rsidRPr="00313E82">
        <w:rPr>
          <w:lang w:val="en-US"/>
        </w:rPr>
        <w:t xml:space="preserve">2 risk metric can be provided: </w:t>
      </w:r>
    </w:p>
    <w:p w:rsidR="00CA1FF5" w:rsidRPr="00313E82" w:rsidRDefault="00CA1FF5">
      <w:pPr>
        <w:rPr>
          <w:lang w:val="en-US"/>
        </w:rPr>
      </w:pPr>
      <w:r w:rsidRPr="00313E82">
        <w:rPr>
          <w:lang w:val="en-US"/>
        </w:rPr>
        <w:t xml:space="preserve">R1 is associated to </w:t>
      </w:r>
      <w:r w:rsidR="00EA2F25" w:rsidRPr="00313E82">
        <w:rPr>
          <w:lang w:val="en-US"/>
        </w:rPr>
        <w:t>“</w:t>
      </w:r>
      <w:r w:rsidRPr="00313E82">
        <w:rPr>
          <w:lang w:val="en-US"/>
        </w:rPr>
        <w:t>Large Early Release Frequency (</w:t>
      </w:r>
      <w:r w:rsidRPr="00313E82">
        <w:rPr>
          <w:b/>
          <w:lang w:val="en-US"/>
        </w:rPr>
        <w:t>LERF</w:t>
      </w:r>
      <w:r w:rsidR="00EA2F25" w:rsidRPr="00313E82">
        <w:rPr>
          <w:lang w:val="en-US"/>
        </w:rPr>
        <w:t>)”.</w:t>
      </w:r>
      <w:r w:rsidRPr="00313E82">
        <w:rPr>
          <w:lang w:val="en-US"/>
        </w:rPr>
        <w:t xml:space="preserve"> R2 could be seen as a “Large Late Release Frequency” (LLRF, but neither defined nor used in international </w:t>
      </w:r>
      <w:r w:rsidR="0087635C" w:rsidRPr="0087635C">
        <w:rPr>
          <w:lang w:val="en-US"/>
        </w:rPr>
        <w:t>L</w:t>
      </w:r>
      <w:r w:rsidRPr="0087635C">
        <w:rPr>
          <w:lang w:val="en-US"/>
        </w:rPr>
        <w:t>2</w:t>
      </w:r>
      <w:r w:rsidRPr="00313E82">
        <w:rPr>
          <w:lang w:val="en-US"/>
        </w:rPr>
        <w:t xml:space="preserve"> risk metrics), and (R1 + R2) is associated to Large Release Frequency (</w:t>
      </w:r>
      <w:r w:rsidRPr="00313E82">
        <w:rPr>
          <w:b/>
          <w:lang w:val="en-US"/>
        </w:rPr>
        <w:t>LRF</w:t>
      </w:r>
      <w:r w:rsidRPr="00313E82">
        <w:rPr>
          <w:lang w:val="en-US"/>
        </w:rPr>
        <w:t>).</w:t>
      </w:r>
    </w:p>
    <w:p w:rsidR="00CA1FF5" w:rsidRPr="00313E82" w:rsidRDefault="00CA1FF5">
      <w:pPr>
        <w:rPr>
          <w:lang w:val="en-US"/>
        </w:rPr>
      </w:pPr>
    </w:p>
    <w:p w:rsidR="00CA1FF5" w:rsidRPr="00313E82" w:rsidRDefault="00CA1FF5" w:rsidP="00552F4E">
      <w:pPr>
        <w:spacing w:line="360" w:lineRule="auto"/>
        <w:rPr>
          <w:lang w:val="en-US"/>
        </w:rPr>
      </w:pPr>
      <w:r w:rsidRPr="00313E82">
        <w:rPr>
          <w:lang w:val="en-US"/>
        </w:rPr>
        <w:t xml:space="preserve">Additionally, as these release categories cover a large scale of release (even possibly different orders of magnitude), it is necessary to include additional functional information for safety analysis. For example: </w:t>
      </w:r>
    </w:p>
    <w:p w:rsidR="00CA1FF5" w:rsidRPr="00313E82" w:rsidRDefault="00CA1FF5" w:rsidP="00552F4E">
      <w:pPr>
        <w:numPr>
          <w:ilvl w:val="0"/>
          <w:numId w:val="29"/>
        </w:numPr>
        <w:spacing w:line="360" w:lineRule="auto"/>
        <w:rPr>
          <w:lang w:val="en-US"/>
        </w:rPr>
      </w:pPr>
      <w:r w:rsidRPr="00313E82">
        <w:rPr>
          <w:lang w:val="en-US"/>
        </w:rPr>
        <w:t xml:space="preserve">For R1 release category: release contribution from ß mode (with distinction between equipment hatch releases -if equipment hatch has a direct opening to the outside- and other penetration releases), release contribution from Severe Accident Phenomena involved (for example H2 or steam explosion risk), release contribution from </w:t>
      </w:r>
      <w:r w:rsidR="004346C5">
        <w:rPr>
          <w:lang w:val="en-US"/>
        </w:rPr>
        <w:t>a</w:t>
      </w:r>
      <w:r w:rsidRPr="00313E82">
        <w:rPr>
          <w:lang w:val="en-US"/>
        </w:rPr>
        <w:t xml:space="preserve"> LOCA, from SGTR…</w:t>
      </w:r>
    </w:p>
    <w:p w:rsidR="00CA1FF5" w:rsidRPr="00313E82" w:rsidRDefault="00CA1FF5" w:rsidP="00552F4E">
      <w:pPr>
        <w:numPr>
          <w:ilvl w:val="0"/>
          <w:numId w:val="29"/>
        </w:numPr>
        <w:spacing w:line="360" w:lineRule="auto"/>
        <w:rPr>
          <w:lang w:val="en-US"/>
        </w:rPr>
      </w:pPr>
      <w:r w:rsidRPr="00313E82">
        <w:rPr>
          <w:lang w:val="en-US"/>
        </w:rPr>
        <w:t xml:space="preserve"> For R2 release category: release contribution from Filtered Containment Venting failure, from H2 risk in inter containment space....</w:t>
      </w:r>
    </w:p>
    <w:p w:rsidR="00CA1FF5" w:rsidRPr="00313E82" w:rsidRDefault="00CA1FF5" w:rsidP="00552F4E">
      <w:pPr>
        <w:spacing w:line="360" w:lineRule="auto"/>
        <w:rPr>
          <w:rFonts w:eastAsia="Batang"/>
          <w:lang w:val="en-US"/>
        </w:rPr>
      </w:pPr>
    </w:p>
    <w:p w:rsidR="00CA1FF5" w:rsidRPr="00313E82" w:rsidRDefault="00CA1FF5" w:rsidP="00552F4E">
      <w:pPr>
        <w:pStyle w:val="Paragraphedeliste"/>
        <w:numPr>
          <w:ilvl w:val="0"/>
          <w:numId w:val="33"/>
        </w:numPr>
        <w:spacing w:line="360" w:lineRule="auto"/>
        <w:rPr>
          <w:rFonts w:eastAsia="Batang"/>
          <w:b/>
          <w:lang w:val="en-US"/>
        </w:rPr>
      </w:pPr>
      <w:r w:rsidRPr="00313E82">
        <w:rPr>
          <w:rFonts w:eastAsia="Batang"/>
          <w:b/>
          <w:lang w:val="en-US"/>
        </w:rPr>
        <w:t>Underground Release Categories</w:t>
      </w:r>
    </w:p>
    <w:p w:rsidR="00CA1FF5" w:rsidRPr="00313E82" w:rsidRDefault="00993B7F" w:rsidP="00552F4E">
      <w:pPr>
        <w:spacing w:line="360" w:lineRule="auto"/>
        <w:rPr>
          <w:lang w:val="en-US"/>
        </w:rPr>
      </w:pPr>
      <w:r w:rsidRPr="00313E82">
        <w:rPr>
          <w:lang w:val="en-US"/>
        </w:rPr>
        <w:t>There are only two</w:t>
      </w:r>
      <w:r w:rsidR="00CA1FF5" w:rsidRPr="00313E82">
        <w:rPr>
          <w:lang w:val="en-US"/>
        </w:rPr>
        <w:t xml:space="preserve"> functional underground release categories (intact or failed basemat), as it is stated that the long term consequences of radioactive releases through basemat are difficult to manage.</w:t>
      </w:r>
    </w:p>
    <w:p w:rsidR="00CA1FF5" w:rsidRPr="00C94556" w:rsidRDefault="00CA1FF5" w:rsidP="00552F4E">
      <w:pPr>
        <w:numPr>
          <w:ilvl w:val="0"/>
          <w:numId w:val="28"/>
        </w:numPr>
        <w:spacing w:line="360" w:lineRule="auto"/>
        <w:rPr>
          <w:lang w:val="en-US"/>
        </w:rPr>
      </w:pPr>
      <w:r w:rsidRPr="00C94556">
        <w:rPr>
          <w:lang w:val="en-US"/>
        </w:rPr>
        <w:t>RP: basemat failure</w:t>
      </w:r>
    </w:p>
    <w:p w:rsidR="00CA1FF5" w:rsidRPr="00C94556" w:rsidRDefault="00CA1FF5" w:rsidP="00552F4E">
      <w:pPr>
        <w:numPr>
          <w:ilvl w:val="0"/>
          <w:numId w:val="28"/>
        </w:numPr>
        <w:spacing w:line="360" w:lineRule="auto"/>
        <w:rPr>
          <w:lang w:val="en-US"/>
        </w:rPr>
      </w:pPr>
      <w:r w:rsidRPr="00C94556">
        <w:rPr>
          <w:lang w:val="en-US"/>
        </w:rPr>
        <w:t xml:space="preserve">RI: intact basemat </w:t>
      </w:r>
    </w:p>
    <w:p w:rsidR="00CA1FF5" w:rsidRPr="00313E82" w:rsidRDefault="00CA1FF5">
      <w:pPr>
        <w:rPr>
          <w:rFonts w:eastAsia="Batang"/>
          <w:lang w:val="en-US"/>
        </w:rPr>
      </w:pPr>
    </w:p>
    <w:p w:rsidR="00CA1FF5" w:rsidRPr="00313E82" w:rsidRDefault="00CA1FF5">
      <w:pPr>
        <w:rPr>
          <w:b/>
          <w:u w:val="single"/>
          <w:lang w:val="en-US"/>
        </w:rPr>
      </w:pPr>
      <w:r w:rsidRPr="00313E82">
        <w:rPr>
          <w:b/>
          <w:u w:val="single"/>
          <w:lang w:val="en-US"/>
        </w:rPr>
        <w:t>Illustration</w:t>
      </w:r>
    </w:p>
    <w:p w:rsidR="00CA1FF5" w:rsidRPr="00313E82" w:rsidRDefault="00CA1FF5">
      <w:pPr>
        <w:rPr>
          <w:lang w:val="en-US"/>
        </w:rPr>
      </w:pPr>
    </w:p>
    <w:p w:rsidR="00CA1FF5" w:rsidRPr="00313E82" w:rsidRDefault="00CA1FF5">
      <w:pPr>
        <w:rPr>
          <w:lang w:val="en-US"/>
        </w:rPr>
      </w:pPr>
      <w:r w:rsidRPr="00313E82">
        <w:rPr>
          <w:lang w:val="en-US"/>
        </w:rPr>
        <w:t>According to the above risk metric definition</w:t>
      </w:r>
      <w:r w:rsidR="0087635C">
        <w:rPr>
          <w:lang w:val="en-US"/>
        </w:rPr>
        <w:t>s</w:t>
      </w:r>
      <w:r w:rsidRPr="00313E82">
        <w:rPr>
          <w:lang w:val="en-US"/>
        </w:rPr>
        <w:t>, an illustration of the results (Risk Measure) that can be provided from a level 2 PSA is given on the figure thereafter:</w:t>
      </w:r>
    </w:p>
    <w:p w:rsidR="008B4A42" w:rsidRPr="00552F4E" w:rsidRDefault="00CA1FF5" w:rsidP="008B4A42">
      <w:pPr>
        <w:keepNext/>
        <w:rPr>
          <w:lang w:val="en-US"/>
        </w:rPr>
      </w:pPr>
      <w:r w:rsidRPr="00313E82">
        <w:rPr>
          <w:lang w:val="en-US"/>
        </w:rPr>
        <w:lastRenderedPageBreak/>
        <w:t xml:space="preserve">. </w:t>
      </w:r>
      <w:r w:rsidRPr="004D7C87">
        <w:rPr>
          <w:noProof/>
        </w:rPr>
        <w:drawing>
          <wp:inline distT="0" distB="0" distL="0" distR="0" wp14:anchorId="5EFC1D08" wp14:editId="08F2ADF3">
            <wp:extent cx="5940425" cy="3735272"/>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735272"/>
                    </a:xfrm>
                    <a:prstGeom prst="rect">
                      <a:avLst/>
                    </a:prstGeom>
                    <a:noFill/>
                    <a:ln>
                      <a:noFill/>
                    </a:ln>
                  </pic:spPr>
                </pic:pic>
              </a:graphicData>
            </a:graphic>
          </wp:inline>
        </w:drawing>
      </w:r>
    </w:p>
    <w:p w:rsidR="0089496B" w:rsidRPr="00C94556" w:rsidRDefault="008B4A42" w:rsidP="00552F4E">
      <w:pPr>
        <w:pStyle w:val="Lgende"/>
        <w:rPr>
          <w:lang w:val="en-US"/>
        </w:rPr>
      </w:pPr>
      <w:bookmarkStart w:id="320" w:name="_Toc474428909"/>
      <w:r w:rsidRPr="00552F4E">
        <w:rPr>
          <w:lang w:val="en-US"/>
        </w:rPr>
        <w:t xml:space="preserve">Figure </w:t>
      </w:r>
      <w:r w:rsidR="009E768B">
        <w:fldChar w:fldCharType="begin"/>
      </w:r>
      <w:r w:rsidRPr="00552F4E">
        <w:rPr>
          <w:lang w:val="en-US"/>
        </w:rPr>
        <w:instrText xml:space="preserve"> SEQ Figure \* ARABIC </w:instrText>
      </w:r>
      <w:r w:rsidR="009E768B">
        <w:fldChar w:fldCharType="separate"/>
      </w:r>
      <w:r w:rsidR="00B772CA">
        <w:rPr>
          <w:noProof/>
          <w:lang w:val="en-US"/>
        </w:rPr>
        <w:t>2</w:t>
      </w:r>
      <w:r w:rsidR="009E768B">
        <w:fldChar w:fldCharType="end"/>
      </w:r>
      <w:r w:rsidRPr="00552F4E">
        <w:rPr>
          <w:lang w:val="en-US"/>
        </w:rPr>
        <w:t xml:space="preserve"> : </w:t>
      </w:r>
      <w:r w:rsidRPr="00C94556">
        <w:rPr>
          <w:lang w:val="en-US"/>
        </w:rPr>
        <w:t>Example of Results Provided b</w:t>
      </w:r>
      <w:r>
        <w:rPr>
          <w:lang w:val="en-US"/>
        </w:rPr>
        <w:t>y</w:t>
      </w:r>
      <w:r w:rsidRPr="00C94556">
        <w:rPr>
          <w:lang w:val="en-US"/>
        </w:rPr>
        <w:t xml:space="preserve"> L2 PSA</w:t>
      </w:r>
      <w:bookmarkEnd w:id="320"/>
    </w:p>
    <w:p w:rsidR="008B4A42" w:rsidRDefault="008B4A42">
      <w:pPr>
        <w:rPr>
          <w:lang w:val="en-US" w:eastAsia="en-US"/>
        </w:rPr>
      </w:pPr>
    </w:p>
    <w:p w:rsidR="00CA1FF5" w:rsidRPr="00313E82" w:rsidRDefault="00CA1FF5">
      <w:pPr>
        <w:rPr>
          <w:lang w:val="en-US" w:eastAsia="en-US"/>
        </w:rPr>
      </w:pPr>
      <w:r w:rsidRPr="00313E82">
        <w:rPr>
          <w:lang w:val="en-US" w:eastAsia="en-US"/>
        </w:rPr>
        <w:t xml:space="preserve">While analyzing results as presented as above and additionally analyzing the related initiating event family for each release category, it is quite easy to efficiently define priorities for safety enhancement, depending on the objectives fixed in the safety reassessment context: plant modifications, operating procedures, human training…. </w:t>
      </w:r>
    </w:p>
    <w:p w:rsidR="00AD6996" w:rsidRPr="00AD6996" w:rsidRDefault="00AD6996" w:rsidP="00B6523F">
      <w:pPr>
        <w:pStyle w:val="Titre3"/>
        <w:rPr>
          <w:rFonts w:eastAsia="Batang"/>
          <w:lang w:val="en-US"/>
        </w:rPr>
      </w:pPr>
      <w:bookmarkStart w:id="321" w:name="_Toc474430222"/>
      <w:r w:rsidRPr="00AD6996">
        <w:rPr>
          <w:rFonts w:eastAsia="Batang"/>
          <w:lang w:val="en-US"/>
        </w:rPr>
        <w:t>Limitation</w:t>
      </w:r>
      <w:bookmarkEnd w:id="321"/>
    </w:p>
    <w:p w:rsidR="00AD6996" w:rsidRPr="00313E82" w:rsidRDefault="00AD6996" w:rsidP="00AD6996">
      <w:pPr>
        <w:rPr>
          <w:lang w:val="en-US"/>
        </w:rPr>
      </w:pPr>
      <w:r w:rsidRPr="00313E82">
        <w:rPr>
          <w:lang w:val="en-US"/>
        </w:rPr>
        <w:t>This risk metric is not adequate if Level 3 assessments are required.</w:t>
      </w:r>
    </w:p>
    <w:p w:rsidR="00CA1FF5" w:rsidRPr="00313E82" w:rsidRDefault="00AD6996" w:rsidP="00C94556">
      <w:pPr>
        <w:pStyle w:val="Titre3"/>
        <w:rPr>
          <w:rFonts w:eastAsia="Batang"/>
          <w:lang w:val="en-US"/>
        </w:rPr>
      </w:pPr>
      <w:bookmarkStart w:id="322" w:name="_Toc474430223"/>
      <w:r w:rsidRPr="009D3F6F">
        <w:rPr>
          <w:rFonts w:eastAsia="Batang"/>
          <w:lang w:val="en-US"/>
        </w:rPr>
        <w:t xml:space="preserve">ASAMPSA_E recommendation </w:t>
      </w:r>
      <w:r>
        <w:rPr>
          <w:rFonts w:eastAsia="Batang"/>
          <w:lang w:val="en-US"/>
        </w:rPr>
        <w:t>on phenomena-based measure</w:t>
      </w:r>
      <w:bookmarkEnd w:id="322"/>
    </w:p>
    <w:p w:rsidR="00CA1FF5" w:rsidRPr="00313E82" w:rsidRDefault="00CA1FF5">
      <w:pPr>
        <w:rPr>
          <w:lang w:val="en-US"/>
        </w:rPr>
      </w:pPr>
      <w:r w:rsidRPr="00313E82">
        <w:rPr>
          <w:lang w:val="en-US" w:eastAsia="en-US"/>
        </w:rPr>
        <w:t xml:space="preserve">The functional risk metric developed by EDF is as a pragmatic and industrial way to focus on safety insights and improvements instead of being polluted </w:t>
      </w:r>
      <w:r w:rsidR="00CE2071">
        <w:rPr>
          <w:lang w:val="en-US" w:eastAsia="en-US"/>
        </w:rPr>
        <w:t>burdened</w:t>
      </w:r>
      <w:r w:rsidR="00CE2071" w:rsidRPr="00313E82">
        <w:rPr>
          <w:lang w:val="en-US" w:eastAsia="en-US"/>
        </w:rPr>
        <w:t xml:space="preserve"> </w:t>
      </w:r>
      <w:r w:rsidRPr="00313E82">
        <w:rPr>
          <w:lang w:val="en-US" w:eastAsia="en-US"/>
        </w:rPr>
        <w:t xml:space="preserve">by </w:t>
      </w:r>
      <w:r w:rsidRPr="00313E82">
        <w:rPr>
          <w:lang w:val="en-US"/>
        </w:rPr>
        <w:t>specific release hypothesis and source term calculations.</w:t>
      </w:r>
    </w:p>
    <w:p w:rsidR="00CA1FF5" w:rsidRPr="00313E82" w:rsidRDefault="00CA1FF5">
      <w:pPr>
        <w:rPr>
          <w:lang w:val="en-US"/>
        </w:rPr>
      </w:pPr>
      <w:r w:rsidRPr="00313E82">
        <w:rPr>
          <w:lang w:val="en-US"/>
        </w:rPr>
        <w:t xml:space="preserve">This risk metric is easy </w:t>
      </w:r>
      <w:r w:rsidR="00993B7F" w:rsidRPr="00C94556">
        <w:rPr>
          <w:lang w:val="en-US"/>
        </w:rPr>
        <w:t>to understand, even for non-</w:t>
      </w:r>
      <w:r w:rsidRPr="00C94556">
        <w:rPr>
          <w:lang w:val="en-US"/>
        </w:rPr>
        <w:t>specialists. It is suitable for hazards, but it should be asso</w:t>
      </w:r>
      <w:r w:rsidR="007A22A0" w:rsidRPr="00313E82">
        <w:rPr>
          <w:lang w:val="en-US"/>
        </w:rPr>
        <w:t xml:space="preserve">ciated with a hazard extension </w:t>
      </w:r>
      <w:r w:rsidRPr="00313E82">
        <w:rPr>
          <w:lang w:val="en-US"/>
        </w:rPr>
        <w:t xml:space="preserve">to avoid inappropriate summation / aggregation between inhomogeneous risk evaluations. </w:t>
      </w:r>
    </w:p>
    <w:p w:rsidR="002C455E" w:rsidRPr="002C455E" w:rsidRDefault="002C455E" w:rsidP="00B76953">
      <w:pPr>
        <w:pStyle w:val="Titre2"/>
        <w:rPr>
          <w:lang w:val="en-US"/>
        </w:rPr>
      </w:pPr>
      <w:bookmarkStart w:id="323" w:name="_Toc452560474"/>
      <w:bookmarkStart w:id="324" w:name="_Toc452561415"/>
      <w:bookmarkStart w:id="325" w:name="_Toc452561631"/>
      <w:bookmarkStart w:id="326" w:name="_Ref305595874"/>
      <w:bookmarkStart w:id="327" w:name="_Toc345086759"/>
      <w:bookmarkStart w:id="328" w:name="_Toc474430224"/>
      <w:bookmarkEnd w:id="323"/>
      <w:bookmarkEnd w:id="324"/>
      <w:bookmarkEnd w:id="325"/>
      <w:r w:rsidRPr="002C455E">
        <w:rPr>
          <w:lang w:val="en-US"/>
        </w:rPr>
        <w:t xml:space="preserve">Frequency of Release </w:t>
      </w:r>
      <w:r>
        <w:rPr>
          <w:lang w:val="en-US"/>
        </w:rPr>
        <w:t xml:space="preserve">Based </w:t>
      </w:r>
      <w:r w:rsidRPr="002C455E">
        <w:rPr>
          <w:lang w:val="en-US"/>
        </w:rPr>
        <w:t>Categories</w:t>
      </w:r>
      <w:bookmarkEnd w:id="328"/>
    </w:p>
    <w:p w:rsidR="002C455E" w:rsidRPr="00C94556" w:rsidRDefault="002C455E" w:rsidP="002C455E">
      <w:pPr>
        <w:rPr>
          <w:lang w:val="en-US"/>
        </w:rPr>
      </w:pPr>
      <w:r>
        <w:rPr>
          <w:lang w:val="en-US"/>
        </w:rPr>
        <w:t>The previous section presents risk metrics that provide</w:t>
      </w:r>
      <w:r w:rsidRPr="002E6FD3">
        <w:rPr>
          <w:lang w:val="en-US"/>
        </w:rPr>
        <w:t xml:space="preserve"> information related to the failure of the different containment functions during a severe accident. This is a “system-ori</w:t>
      </w:r>
      <w:r>
        <w:rPr>
          <w:lang w:val="en-US"/>
        </w:rPr>
        <w:t xml:space="preserve">ented” presentation of results. </w:t>
      </w:r>
      <w:r w:rsidRPr="002E6FD3">
        <w:rPr>
          <w:lang w:val="en-US"/>
        </w:rPr>
        <w:t xml:space="preserve">Another approach is to present the results through the level of consequences, for example the total atmospheric release of </w:t>
      </w:r>
      <w:r w:rsidRPr="002E6FD3">
        <w:rPr>
          <w:lang w:val="en-US"/>
        </w:rPr>
        <w:lastRenderedPageBreak/>
        <w:t>activity (Bq)</w:t>
      </w:r>
      <w:r>
        <w:rPr>
          <w:lang w:val="en-US"/>
        </w:rPr>
        <w:t xml:space="preserve">, with a containment failure. </w:t>
      </w:r>
      <w:r w:rsidRPr="00C94556">
        <w:rPr>
          <w:lang w:val="en-US"/>
        </w:rPr>
        <w:t xml:space="preserve">Examples of this risk metric are provided in Reference </w:t>
      </w:r>
      <w:r w:rsidR="009E768B" w:rsidRPr="00C94556">
        <w:rPr>
          <w:lang w:val="en-US"/>
        </w:rPr>
        <w:fldChar w:fldCharType="begin"/>
      </w:r>
      <w:r w:rsidRPr="00C94556">
        <w:rPr>
          <w:lang w:val="en-US"/>
        </w:rPr>
        <w:instrText xml:space="preserve"> REF _Ref319760151 \r \h </w:instrText>
      </w:r>
      <w:r w:rsidR="009E768B" w:rsidRPr="00C94556">
        <w:rPr>
          <w:lang w:val="en-US"/>
        </w:rPr>
      </w:r>
      <w:r w:rsidR="009E768B" w:rsidRPr="00C94556">
        <w:rPr>
          <w:lang w:val="en-US"/>
        </w:rPr>
        <w:fldChar w:fldCharType="separate"/>
      </w:r>
      <w:r w:rsidR="00B772CA">
        <w:rPr>
          <w:lang w:val="en-US"/>
        </w:rPr>
        <w:t>[2]</w:t>
      </w:r>
      <w:r w:rsidR="009E768B" w:rsidRPr="00C94556">
        <w:rPr>
          <w:lang w:val="en-US"/>
        </w:rPr>
        <w:fldChar w:fldCharType="end"/>
      </w:r>
      <w:r>
        <w:rPr>
          <w:lang w:val="en-US"/>
        </w:rPr>
        <w:t xml:space="preserve"> (ASAMPSA2, Volume 1, page 98</w:t>
      </w:r>
      <w:r w:rsidRPr="00C94556">
        <w:rPr>
          <w:lang w:val="en-US"/>
        </w:rPr>
        <w:t>).</w:t>
      </w:r>
    </w:p>
    <w:p w:rsidR="00815584" w:rsidRPr="00C94556" w:rsidRDefault="00613146" w:rsidP="00C94556">
      <w:pPr>
        <w:pStyle w:val="Titre2"/>
        <w:rPr>
          <w:lang w:val="en-US"/>
        </w:rPr>
      </w:pPr>
      <w:bookmarkStart w:id="329" w:name="_Toc452560476"/>
      <w:bookmarkStart w:id="330" w:name="_Toc452561417"/>
      <w:bookmarkStart w:id="331" w:name="_Toc452561633"/>
      <w:bookmarkStart w:id="332" w:name="_Toc273619298"/>
      <w:bookmarkStart w:id="333" w:name="_Toc273619580"/>
      <w:bookmarkStart w:id="334" w:name="_Ref273521497"/>
      <w:bookmarkStart w:id="335" w:name="_Toc345086785"/>
      <w:bookmarkStart w:id="336" w:name="_Toc474430225"/>
      <w:bookmarkEnd w:id="329"/>
      <w:bookmarkEnd w:id="330"/>
      <w:bookmarkEnd w:id="331"/>
      <w:bookmarkEnd w:id="332"/>
      <w:bookmarkEnd w:id="333"/>
      <w:r>
        <w:rPr>
          <w:lang w:val="en-US"/>
        </w:rPr>
        <w:t>Absolute Severity Metric</w:t>
      </w:r>
      <w:bookmarkEnd w:id="336"/>
      <w:r w:rsidR="00815584" w:rsidRPr="00C94556">
        <w:rPr>
          <w:lang w:val="en-US"/>
        </w:rPr>
        <w:t xml:space="preserve"> </w:t>
      </w:r>
      <w:bookmarkEnd w:id="334"/>
      <w:bookmarkEnd w:id="335"/>
    </w:p>
    <w:p w:rsidR="00A328FD" w:rsidRDefault="00A328FD">
      <w:pPr>
        <w:rPr>
          <w:lang w:val="en-US"/>
        </w:rPr>
      </w:pPr>
      <w:r>
        <w:rPr>
          <w:lang w:val="en-US"/>
        </w:rPr>
        <w:t xml:space="preserve">This section is an extract from </w:t>
      </w:r>
      <w:r w:rsidRPr="008F0C1B">
        <w:rPr>
          <w:lang w:val="en-US"/>
        </w:rPr>
        <w:t xml:space="preserve">Reference </w:t>
      </w:r>
      <w:r w:rsidR="009E768B" w:rsidRPr="008F0C1B">
        <w:rPr>
          <w:lang w:val="en-US"/>
        </w:rPr>
        <w:fldChar w:fldCharType="begin"/>
      </w:r>
      <w:r w:rsidRPr="008F0C1B">
        <w:rPr>
          <w:lang w:val="en-US"/>
        </w:rPr>
        <w:instrText xml:space="preserve"> REF _Ref319760151 \r \h </w:instrText>
      </w:r>
      <w:r w:rsidR="009E768B" w:rsidRPr="008F0C1B">
        <w:rPr>
          <w:lang w:val="en-US"/>
        </w:rPr>
      </w:r>
      <w:r w:rsidR="009E768B" w:rsidRPr="008F0C1B">
        <w:rPr>
          <w:lang w:val="en-US"/>
        </w:rPr>
        <w:fldChar w:fldCharType="separate"/>
      </w:r>
      <w:r w:rsidR="00B772CA">
        <w:rPr>
          <w:lang w:val="en-US"/>
        </w:rPr>
        <w:t>[2]</w:t>
      </w:r>
      <w:r w:rsidR="009E768B" w:rsidRPr="008F0C1B">
        <w:rPr>
          <w:lang w:val="en-US"/>
        </w:rPr>
        <w:fldChar w:fldCharType="end"/>
      </w:r>
      <w:r w:rsidRPr="008F0C1B">
        <w:rPr>
          <w:lang w:val="en-US"/>
        </w:rPr>
        <w:t xml:space="preserve"> (AS</w:t>
      </w:r>
      <w:r>
        <w:rPr>
          <w:lang w:val="en-US"/>
        </w:rPr>
        <w:t>AMPSA2, Volume 1, page 108).</w:t>
      </w:r>
    </w:p>
    <w:p w:rsidR="00A328FD" w:rsidRDefault="00A328FD">
      <w:pPr>
        <w:rPr>
          <w:lang w:val="en-US"/>
        </w:rPr>
      </w:pPr>
    </w:p>
    <w:p w:rsidR="00815584" w:rsidRPr="00C94556" w:rsidRDefault="00D3487C">
      <w:pPr>
        <w:rPr>
          <w:lang w:val="en-US"/>
        </w:rPr>
      </w:pPr>
      <w:r w:rsidRPr="00C94556">
        <w:rPr>
          <w:lang w:val="en-US"/>
        </w:rPr>
        <w:t>L2 PSA</w:t>
      </w:r>
      <w:r w:rsidR="00815584" w:rsidRPr="00C94556">
        <w:rPr>
          <w:lang w:val="en-US"/>
        </w:rPr>
        <w:t xml:space="preserve"> aims to calculate the possible sequences of release and their frequencies. The releases are supposed to be defined by their amplitude (expressed in Becquerel for each important isotope) and their kinetics. Any assessment of consequences </w:t>
      </w:r>
      <w:r w:rsidR="004C2710">
        <w:rPr>
          <w:lang w:val="en-US"/>
        </w:rPr>
        <w:t>beyond the plant perimeter</w:t>
      </w:r>
      <w:r w:rsidR="004C2710" w:rsidRPr="008F0C1B">
        <w:rPr>
          <w:lang w:val="en-US"/>
        </w:rPr>
        <w:t xml:space="preserve"> </w:t>
      </w:r>
      <w:r w:rsidR="00815584" w:rsidRPr="00C94556">
        <w:rPr>
          <w:lang w:val="en-US"/>
        </w:rPr>
        <w:t xml:space="preserve">is considered to be part of L3 PSA and is not state-of-the-art for </w:t>
      </w:r>
      <w:r w:rsidRPr="00C94556">
        <w:rPr>
          <w:lang w:val="en-US"/>
        </w:rPr>
        <w:t>L2 PSA</w:t>
      </w:r>
      <w:r w:rsidR="00815584" w:rsidRPr="00C94556">
        <w:rPr>
          <w:lang w:val="en-US"/>
        </w:rPr>
        <w:t>.</w:t>
      </w:r>
    </w:p>
    <w:p w:rsidR="00815584" w:rsidRPr="00C94556" w:rsidRDefault="00815584">
      <w:pPr>
        <w:rPr>
          <w:lang w:val="en-US"/>
        </w:rPr>
      </w:pPr>
      <w:r w:rsidRPr="00C94556">
        <w:rPr>
          <w:lang w:val="en-US"/>
        </w:rPr>
        <w:t>In the practical application, the L2 PSA analysts need to make the link between the amplitude and kinetics of release and the consequences of the accident before deriving relevant conclusions. This may lead to the need for L3 PSA but for many organi</w:t>
      </w:r>
      <w:r w:rsidR="004C2710">
        <w:rPr>
          <w:lang w:val="en-US"/>
        </w:rPr>
        <w:t>z</w:t>
      </w:r>
      <w:r w:rsidRPr="00C94556">
        <w:rPr>
          <w:lang w:val="en-US"/>
        </w:rPr>
        <w:t>ations the development of a full-scope L3 PSA (including assessment of health and environmental impact, taking into account all the local conditions) would be a huge task regarding internal resources.</w:t>
      </w:r>
    </w:p>
    <w:p w:rsidR="00815584" w:rsidRPr="00C94556" w:rsidRDefault="00815584">
      <w:pPr>
        <w:rPr>
          <w:lang w:val="en-US"/>
        </w:rPr>
      </w:pPr>
      <w:r w:rsidRPr="00C94556">
        <w:rPr>
          <w:lang w:val="en-US"/>
        </w:rPr>
        <w:t>To overcome this difficulty, some organi</w:t>
      </w:r>
      <w:r w:rsidR="004C2710">
        <w:rPr>
          <w:lang w:val="en-US"/>
        </w:rPr>
        <w:t>z</w:t>
      </w:r>
      <w:r w:rsidRPr="00C94556">
        <w:rPr>
          <w:lang w:val="en-US"/>
        </w:rPr>
        <w:t xml:space="preserve">ations have developed extended </w:t>
      </w:r>
      <w:r w:rsidR="003B524E">
        <w:rPr>
          <w:lang w:val="en-US"/>
        </w:rPr>
        <w:t>“</w:t>
      </w:r>
      <w:r w:rsidRPr="00C94556">
        <w:rPr>
          <w:lang w:val="en-US"/>
        </w:rPr>
        <w:t>L2 PSA”</w:t>
      </w:r>
      <w:r w:rsidR="004C2710">
        <w:rPr>
          <w:lang w:val="en-US"/>
        </w:rPr>
        <w:t xml:space="preserve"> </w:t>
      </w:r>
      <w:r w:rsidR="003B524E">
        <w:rPr>
          <w:lang w:val="en-US"/>
        </w:rPr>
        <w:t xml:space="preserve">(“L2+ PSA”) </w:t>
      </w:r>
      <w:r w:rsidRPr="00C94556">
        <w:rPr>
          <w:lang w:val="en-US"/>
        </w:rPr>
        <w:t>and have added some simplified assessments of the release consequences to help in the presentation of the conclusions. For example, the L2 PSA developed by IRSN for the French 900 MWe and 1300 MWe PWRs is a “L2+ PSA” and include, for each Release Category, a calculation of the atmospheric dispersion and dosimetric impact (with standard meteorological conditions and without any assumptions regarding counter-measures).</w:t>
      </w:r>
    </w:p>
    <w:p w:rsidR="00815584" w:rsidRPr="00C94556" w:rsidRDefault="00815584">
      <w:pPr>
        <w:rPr>
          <w:lang w:val="en-US"/>
        </w:rPr>
      </w:pPr>
      <w:r w:rsidRPr="00C94556">
        <w:rPr>
          <w:lang w:val="en-US"/>
        </w:rPr>
        <w:t xml:space="preserve">GRS has performed a L2 PSA for a German 900 MWe BWR. Parts of the final result consisted of a frequency distribution of “radiological relevance”. For this purpose, the APET was linked to a simple and fast running source term assessment module. This module produced a source term for each individual sequence of the APET. The source term considered four different radioisotopes (I-131, Cs-137, Te-132, Kr-88). For each of these isotopes a relative radiological impact per Bq of release has been defined based on short term health effects. Finally, the total radiological relevance of the combined release of all four isotopes has been calculated for all source terms. Combined with the frequency of source terms, a frequency distribution of the radiological relevance could be produced. </w:t>
      </w:r>
    </w:p>
    <w:p w:rsidR="00815584" w:rsidRPr="00C94556" w:rsidRDefault="00815584">
      <w:pPr>
        <w:rPr>
          <w:lang w:val="en-US"/>
        </w:rPr>
      </w:pPr>
      <w:r w:rsidRPr="00C94556">
        <w:rPr>
          <w:lang w:val="en-US"/>
        </w:rPr>
        <w:t xml:space="preserve">The objective of this chapter is to describe some complementary risk measures / safety indicators that may be calculated by a </w:t>
      </w:r>
      <w:r w:rsidR="00D3487C" w:rsidRPr="00C94556">
        <w:rPr>
          <w:lang w:val="en-US"/>
        </w:rPr>
        <w:t>L2</w:t>
      </w:r>
      <w:r w:rsidR="00F77061">
        <w:rPr>
          <w:lang w:val="en-US"/>
        </w:rPr>
        <w:t>+</w:t>
      </w:r>
      <w:r w:rsidR="00D3487C" w:rsidRPr="00C94556">
        <w:rPr>
          <w:lang w:val="en-US"/>
        </w:rPr>
        <w:t xml:space="preserve"> PSA</w:t>
      </w:r>
      <w:r w:rsidRPr="00C94556">
        <w:rPr>
          <w:lang w:val="en-US"/>
        </w:rPr>
        <w:t>. This part should not be considered as state-of-the-art but it proposes some ideas for a multi-criteria analysis and some flexible views regarding the link between risk measures and quantitative safety goals.</w:t>
      </w:r>
    </w:p>
    <w:p w:rsidR="00815584" w:rsidRPr="00C94556" w:rsidRDefault="0035766A" w:rsidP="00C94556">
      <w:pPr>
        <w:pStyle w:val="Titre3"/>
        <w:rPr>
          <w:lang w:val="en-US"/>
        </w:rPr>
      </w:pPr>
      <w:bookmarkStart w:id="337" w:name="_Toc474430226"/>
      <w:r>
        <w:rPr>
          <w:lang w:val="en-US"/>
        </w:rPr>
        <w:t>Definition of Risk Measures</w:t>
      </w:r>
      <w:bookmarkEnd w:id="337"/>
    </w:p>
    <w:p w:rsidR="00815584" w:rsidRPr="00C94556" w:rsidRDefault="00815584">
      <w:pPr>
        <w:rPr>
          <w:lang w:val="en-US"/>
        </w:rPr>
      </w:pPr>
      <w:r w:rsidRPr="00C94556">
        <w:rPr>
          <w:lang w:val="en-US"/>
        </w:rPr>
        <w:t>The main difficulty in assessing the severity of an accident is to take into account the different nature of the potential accident consequences:</w:t>
      </w:r>
    </w:p>
    <w:p w:rsidR="00815584" w:rsidRPr="00C94556" w:rsidRDefault="00B36B31" w:rsidP="00D873A7">
      <w:pPr>
        <w:numPr>
          <w:ilvl w:val="0"/>
          <w:numId w:val="17"/>
        </w:numPr>
        <w:rPr>
          <w:lang w:val="en-US"/>
        </w:rPr>
      </w:pPr>
      <w:r>
        <w:rPr>
          <w:lang w:val="en-US"/>
        </w:rPr>
        <w:t>e</w:t>
      </w:r>
      <w:r w:rsidR="00815584" w:rsidRPr="00C94556">
        <w:rPr>
          <w:lang w:val="en-US"/>
        </w:rPr>
        <w:t>arly fatalities,</w:t>
      </w:r>
    </w:p>
    <w:p w:rsidR="00815584" w:rsidRPr="00C94556" w:rsidRDefault="00B36B31" w:rsidP="00D873A7">
      <w:pPr>
        <w:numPr>
          <w:ilvl w:val="0"/>
          <w:numId w:val="17"/>
        </w:numPr>
        <w:rPr>
          <w:lang w:val="en-US"/>
        </w:rPr>
      </w:pPr>
      <w:r>
        <w:rPr>
          <w:lang w:val="en-US"/>
        </w:rPr>
        <w:t>e</w:t>
      </w:r>
      <w:r w:rsidR="00815584" w:rsidRPr="00C94556">
        <w:rPr>
          <w:lang w:val="en-US"/>
        </w:rPr>
        <w:t>arly injuries,</w:t>
      </w:r>
    </w:p>
    <w:p w:rsidR="00815584" w:rsidRPr="00C94556" w:rsidRDefault="00B36B31" w:rsidP="003651CB">
      <w:pPr>
        <w:numPr>
          <w:ilvl w:val="0"/>
          <w:numId w:val="17"/>
        </w:numPr>
        <w:rPr>
          <w:lang w:val="en-US"/>
        </w:rPr>
      </w:pPr>
      <w:r>
        <w:rPr>
          <w:lang w:val="en-US"/>
        </w:rPr>
        <w:lastRenderedPageBreak/>
        <w:t>l</w:t>
      </w:r>
      <w:r w:rsidR="00815584" w:rsidRPr="00C94556">
        <w:rPr>
          <w:lang w:val="en-US"/>
        </w:rPr>
        <w:t>ate cancer fatalities</w:t>
      </w:r>
      <w:r w:rsidR="00AF14D4">
        <w:rPr>
          <w:lang w:val="en-US"/>
        </w:rPr>
        <w:t xml:space="preserve"> and related severe diseases or injuries</w:t>
      </w:r>
      <w:r w:rsidR="00815584" w:rsidRPr="00C94556">
        <w:rPr>
          <w:lang w:val="en-US"/>
        </w:rPr>
        <w:t>,</w:t>
      </w:r>
    </w:p>
    <w:p w:rsidR="00815584" w:rsidRPr="00C94556" w:rsidRDefault="00B36B31" w:rsidP="009E13CC">
      <w:pPr>
        <w:numPr>
          <w:ilvl w:val="0"/>
          <w:numId w:val="17"/>
        </w:numPr>
        <w:rPr>
          <w:lang w:val="en-US"/>
        </w:rPr>
      </w:pPr>
      <w:r>
        <w:rPr>
          <w:lang w:val="en-US"/>
        </w:rPr>
        <w:t>p</w:t>
      </w:r>
      <w:r w:rsidR="00815584" w:rsidRPr="00C94556">
        <w:rPr>
          <w:lang w:val="en-US"/>
        </w:rPr>
        <w:t>ermanent or temporary loss of land,</w:t>
      </w:r>
    </w:p>
    <w:p w:rsidR="00815584" w:rsidRPr="00C94556" w:rsidRDefault="00B36B31" w:rsidP="000C1ABB">
      <w:pPr>
        <w:numPr>
          <w:ilvl w:val="0"/>
          <w:numId w:val="17"/>
        </w:numPr>
        <w:rPr>
          <w:lang w:val="en-US"/>
        </w:rPr>
      </w:pPr>
      <w:r>
        <w:rPr>
          <w:lang w:val="en-US"/>
        </w:rPr>
        <w:t>n</w:t>
      </w:r>
      <w:r w:rsidR="00815584" w:rsidRPr="00C94556">
        <w:rPr>
          <w:lang w:val="en-US"/>
        </w:rPr>
        <w:t>umber of persons relocated temporarily or permanently,</w:t>
      </w:r>
    </w:p>
    <w:p w:rsidR="00815584" w:rsidRPr="00C94556" w:rsidRDefault="00B36B31" w:rsidP="0077117F">
      <w:pPr>
        <w:numPr>
          <w:ilvl w:val="0"/>
          <w:numId w:val="17"/>
        </w:numPr>
        <w:rPr>
          <w:lang w:val="en-US"/>
        </w:rPr>
      </w:pPr>
      <w:r>
        <w:rPr>
          <w:lang w:val="en-US"/>
        </w:rPr>
        <w:t>t</w:t>
      </w:r>
      <w:r w:rsidR="00815584" w:rsidRPr="00C94556">
        <w:rPr>
          <w:lang w:val="en-US"/>
        </w:rPr>
        <w:t>he ground contamination (soil surface, groundwater, river ….),</w:t>
      </w:r>
    </w:p>
    <w:p w:rsidR="00815584" w:rsidRPr="00C94556" w:rsidRDefault="00B36B31" w:rsidP="0077117F">
      <w:pPr>
        <w:numPr>
          <w:ilvl w:val="0"/>
          <w:numId w:val="17"/>
        </w:numPr>
        <w:rPr>
          <w:lang w:val="en-US"/>
        </w:rPr>
      </w:pPr>
      <w:r>
        <w:rPr>
          <w:lang w:val="en-US"/>
        </w:rPr>
        <w:t>t</w:t>
      </w:r>
      <w:r w:rsidR="00815584" w:rsidRPr="00C94556">
        <w:rPr>
          <w:lang w:val="en-US"/>
        </w:rPr>
        <w:t xml:space="preserve">he loss of </w:t>
      </w:r>
      <w:r w:rsidR="00CE2071" w:rsidRPr="00C94556">
        <w:rPr>
          <w:lang w:val="en-US"/>
        </w:rPr>
        <w:t>economic</w:t>
      </w:r>
      <w:r w:rsidR="00815584" w:rsidRPr="00C94556">
        <w:rPr>
          <w:lang w:val="en-US"/>
        </w:rPr>
        <w:t xml:space="preserve"> resources (industry, agriculture …),</w:t>
      </w:r>
    </w:p>
    <w:p w:rsidR="00815584" w:rsidRPr="00C94556" w:rsidRDefault="00B36B31" w:rsidP="0077117F">
      <w:pPr>
        <w:numPr>
          <w:ilvl w:val="0"/>
          <w:numId w:val="17"/>
        </w:numPr>
        <w:rPr>
          <w:lang w:val="en-US"/>
        </w:rPr>
      </w:pPr>
      <w:r>
        <w:rPr>
          <w:lang w:val="en-US"/>
        </w:rPr>
        <w:t>t</w:t>
      </w:r>
      <w:r w:rsidR="00815584" w:rsidRPr="00C94556">
        <w:rPr>
          <w:lang w:val="en-US"/>
        </w:rPr>
        <w:t>he negative image impact (locally, regionally, nationally depending on the amplitude of the consequence),</w:t>
      </w:r>
    </w:p>
    <w:p w:rsidR="00815584" w:rsidRPr="00C94556" w:rsidRDefault="00B36B31" w:rsidP="008F58CE">
      <w:pPr>
        <w:numPr>
          <w:ilvl w:val="0"/>
          <w:numId w:val="17"/>
        </w:numPr>
        <w:rPr>
          <w:lang w:val="en-US"/>
        </w:rPr>
      </w:pPr>
      <w:r>
        <w:rPr>
          <w:lang w:val="en-US"/>
        </w:rPr>
        <w:t>t</w:t>
      </w:r>
      <w:r w:rsidR="00815584" w:rsidRPr="00C94556">
        <w:rPr>
          <w:lang w:val="en-US"/>
        </w:rPr>
        <w:t>he negative impact for nuclear industry (for the specific plant type but also the whole industry … ),</w:t>
      </w:r>
    </w:p>
    <w:p w:rsidR="00815584" w:rsidRPr="00C94556" w:rsidRDefault="00815584" w:rsidP="008F58CE">
      <w:pPr>
        <w:numPr>
          <w:ilvl w:val="0"/>
          <w:numId w:val="17"/>
        </w:numPr>
        <w:rPr>
          <w:lang w:val="en-US"/>
        </w:rPr>
      </w:pPr>
      <w:r w:rsidRPr="00C94556">
        <w:rPr>
          <w:lang w:val="en-US"/>
        </w:rPr>
        <w:t>etc.</w:t>
      </w:r>
    </w:p>
    <w:p w:rsidR="00815584" w:rsidRPr="00C94556" w:rsidRDefault="00815584">
      <w:pPr>
        <w:rPr>
          <w:szCs w:val="18"/>
          <w:lang w:val="en-US"/>
        </w:rPr>
      </w:pPr>
    </w:p>
    <w:p w:rsidR="00815584" w:rsidRPr="00C94556" w:rsidRDefault="00815584">
      <w:pPr>
        <w:rPr>
          <w:szCs w:val="18"/>
          <w:lang w:val="en-US"/>
        </w:rPr>
      </w:pPr>
      <w:r w:rsidRPr="00C94556">
        <w:rPr>
          <w:szCs w:val="18"/>
          <w:lang w:val="en-US"/>
        </w:rPr>
        <w:t>A precise assessment of all potential accident consequences for every release category would need the development of L3 PSA, and would highly depend on the plant location.</w:t>
      </w:r>
    </w:p>
    <w:p w:rsidR="00815584" w:rsidRPr="00C94556" w:rsidRDefault="00815584">
      <w:pPr>
        <w:rPr>
          <w:lang w:val="en-US"/>
        </w:rPr>
      </w:pPr>
      <w:r w:rsidRPr="00C94556">
        <w:rPr>
          <w:lang w:val="en-US"/>
        </w:rPr>
        <w:t xml:space="preserve">For the simplicity and the clarity of the presentation of </w:t>
      </w:r>
      <w:r w:rsidR="00D3487C" w:rsidRPr="00C94556">
        <w:rPr>
          <w:lang w:val="en-US"/>
        </w:rPr>
        <w:t>L2 PSA</w:t>
      </w:r>
      <w:r w:rsidRPr="00C94556">
        <w:rPr>
          <w:lang w:val="en-US"/>
        </w:rPr>
        <w:t xml:space="preserve"> results, there is an interest in building an “accident absolute severity metrics” that would provide an indication of the severity of an accident without any considerations related to:</w:t>
      </w:r>
    </w:p>
    <w:p w:rsidR="00815584" w:rsidRPr="00C94556" w:rsidRDefault="00B36B31" w:rsidP="00D873A7">
      <w:pPr>
        <w:numPr>
          <w:ilvl w:val="0"/>
          <w:numId w:val="17"/>
        </w:numPr>
        <w:rPr>
          <w:lang w:val="en-US"/>
        </w:rPr>
      </w:pPr>
      <w:r>
        <w:rPr>
          <w:lang w:val="en-US"/>
        </w:rPr>
        <w:t>t</w:t>
      </w:r>
      <w:r w:rsidR="00815584" w:rsidRPr="00C94556">
        <w:rPr>
          <w:lang w:val="en-US"/>
        </w:rPr>
        <w:t>he location of the plant (the local meteorological conditions, the population density, the economic activities, and the environment are taken into account to assess the “absolute” severity of the accident),</w:t>
      </w:r>
    </w:p>
    <w:p w:rsidR="00815584" w:rsidRPr="00C94556" w:rsidRDefault="00B36B31" w:rsidP="00D873A7">
      <w:pPr>
        <w:numPr>
          <w:ilvl w:val="0"/>
          <w:numId w:val="17"/>
        </w:numPr>
        <w:rPr>
          <w:lang w:val="en-US"/>
        </w:rPr>
      </w:pPr>
      <w:r>
        <w:rPr>
          <w:lang w:val="en-US"/>
        </w:rPr>
        <w:t>t</w:t>
      </w:r>
      <w:r w:rsidR="00815584" w:rsidRPr="00C94556">
        <w:rPr>
          <w:lang w:val="en-US"/>
        </w:rPr>
        <w:t xml:space="preserve">he possibility and the efficiency of the emergency actions for the protection of the </w:t>
      </w:r>
      <w:r w:rsidR="00AF14D4" w:rsidRPr="00265466">
        <w:rPr>
          <w:lang w:val="en-GB"/>
        </w:rPr>
        <w:t>population</w:t>
      </w:r>
      <w:r w:rsidR="00815584" w:rsidRPr="00C94556">
        <w:rPr>
          <w:lang w:val="en-US"/>
        </w:rPr>
        <w:t>.</w:t>
      </w:r>
    </w:p>
    <w:p w:rsidR="00815584" w:rsidRPr="00C94556" w:rsidRDefault="00815584">
      <w:pPr>
        <w:rPr>
          <w:lang w:val="en-US"/>
        </w:rPr>
      </w:pPr>
    </w:p>
    <w:p w:rsidR="00815584" w:rsidRPr="00C94556" w:rsidRDefault="00815584">
      <w:pPr>
        <w:rPr>
          <w:lang w:val="en-US"/>
        </w:rPr>
      </w:pPr>
      <w:r w:rsidRPr="00C94556">
        <w:rPr>
          <w:lang w:val="en-US"/>
        </w:rPr>
        <w:t>Such “absolute severity metrics” would address only the NPP safety features without any consideration of offsite environment and the emergency response prepared by the local and national authorities</w:t>
      </w:r>
      <w:r w:rsidR="007A634B" w:rsidRPr="007A634B">
        <w:rPr>
          <w:lang w:val="en-US"/>
        </w:rPr>
        <w:t xml:space="preserve"> </w:t>
      </w:r>
      <w:r w:rsidR="007A634B">
        <w:rPr>
          <w:lang w:val="en-US"/>
        </w:rPr>
        <w:t>reflecting thus safety of a plant only as a complex technical facility according to IAEA definition of nuclear safety corresponding to a source of radioactivity. The facility in this respect is limited and confined by containment as the last physical barrier of high integrity as part of currently accepted DiD approach</w:t>
      </w:r>
      <w:r w:rsidRPr="00C94556">
        <w:rPr>
          <w:lang w:val="en-US"/>
        </w:rPr>
        <w:t>. It could be named an “intrinsic reactor severity scale”. It is particularly appropriate for the utility (or vendor) analysis when trying to improve the NPP safety features.</w:t>
      </w:r>
    </w:p>
    <w:p w:rsidR="007A634B" w:rsidRDefault="007A634B">
      <w:pPr>
        <w:rPr>
          <w:lang w:val="en-US"/>
        </w:rPr>
      </w:pPr>
    </w:p>
    <w:p w:rsidR="00927643" w:rsidRDefault="00927643">
      <w:pPr>
        <w:rPr>
          <w:lang w:val="en-US"/>
        </w:rPr>
      </w:pPr>
      <w:r>
        <w:rPr>
          <w:lang w:val="en-US"/>
        </w:rPr>
        <w:t>The following approaches provide some examples that could be used.</w:t>
      </w:r>
    </w:p>
    <w:p w:rsidR="00927643" w:rsidRDefault="00927643">
      <w:pPr>
        <w:rPr>
          <w:lang w:val="en-US"/>
        </w:rPr>
      </w:pPr>
    </w:p>
    <w:p w:rsidR="00815584" w:rsidRPr="00C94556" w:rsidRDefault="00815584">
      <w:pPr>
        <w:rPr>
          <w:u w:val="single"/>
          <w:lang w:val="en-US"/>
        </w:rPr>
      </w:pPr>
      <w:r w:rsidRPr="00C94556">
        <w:rPr>
          <w:u w:val="single"/>
          <w:lang w:val="en-US"/>
        </w:rPr>
        <w:t xml:space="preserve">Application of the INES scale </w:t>
      </w:r>
    </w:p>
    <w:p w:rsidR="00815584" w:rsidRPr="00C94556" w:rsidRDefault="00815584" w:rsidP="00C94556">
      <w:pPr>
        <w:rPr>
          <w:color w:val="000000"/>
          <w:szCs w:val="18"/>
          <w:lang w:val="en-US"/>
        </w:rPr>
      </w:pPr>
      <w:r w:rsidRPr="00C94556">
        <w:rPr>
          <w:szCs w:val="18"/>
          <w:lang w:val="en-US"/>
        </w:rPr>
        <w:t xml:space="preserve">A solution may be to use an existing scale </w:t>
      </w:r>
      <w:r w:rsidR="00CE2071">
        <w:rPr>
          <w:szCs w:val="18"/>
          <w:lang w:val="en-US"/>
        </w:rPr>
        <w:t>(</w:t>
      </w:r>
      <w:r w:rsidRPr="00C94556">
        <w:rPr>
          <w:szCs w:val="18"/>
          <w:lang w:val="en-US"/>
        </w:rPr>
        <w:t>example</w:t>
      </w:r>
      <w:r w:rsidR="00CE2071">
        <w:rPr>
          <w:szCs w:val="18"/>
          <w:lang w:val="en-US"/>
        </w:rPr>
        <w:t xml:space="preserve">: </w:t>
      </w:r>
      <w:r w:rsidRPr="00C94556">
        <w:rPr>
          <w:szCs w:val="18"/>
          <w:lang w:val="en-US"/>
        </w:rPr>
        <w:t>INES scale</w:t>
      </w:r>
      <w:r w:rsidR="00355F26">
        <w:rPr>
          <w:szCs w:val="18"/>
          <w:lang w:val="en-US"/>
        </w:rPr>
        <w:t xml:space="preserve"> </w:t>
      </w:r>
      <w:r w:rsidR="009E768B">
        <w:rPr>
          <w:szCs w:val="18"/>
          <w:lang w:val="en-US"/>
        </w:rPr>
        <w:fldChar w:fldCharType="begin"/>
      </w:r>
      <w:r w:rsidR="00355F26">
        <w:rPr>
          <w:szCs w:val="18"/>
          <w:lang w:val="en-US"/>
        </w:rPr>
        <w:instrText xml:space="preserve"> REF _Ref444078422 \r \h </w:instrText>
      </w:r>
      <w:r w:rsidR="009E768B">
        <w:rPr>
          <w:szCs w:val="18"/>
          <w:lang w:val="en-US"/>
        </w:rPr>
      </w:r>
      <w:r w:rsidR="009E768B">
        <w:rPr>
          <w:szCs w:val="18"/>
          <w:lang w:val="en-US"/>
        </w:rPr>
        <w:fldChar w:fldCharType="separate"/>
      </w:r>
      <w:r w:rsidR="00B772CA">
        <w:rPr>
          <w:szCs w:val="18"/>
          <w:lang w:val="en-US"/>
        </w:rPr>
        <w:t>[108]</w:t>
      </w:r>
      <w:r w:rsidR="009E768B">
        <w:rPr>
          <w:szCs w:val="18"/>
          <w:lang w:val="en-US"/>
        </w:rPr>
        <w:fldChar w:fldCharType="end"/>
      </w:r>
      <w:r w:rsidR="00CE2071">
        <w:rPr>
          <w:szCs w:val="18"/>
          <w:lang w:val="en-US"/>
        </w:rPr>
        <w:t>)</w:t>
      </w:r>
      <w:r w:rsidR="008A1B10">
        <w:rPr>
          <w:szCs w:val="18"/>
          <w:lang w:val="en-US"/>
        </w:rPr>
        <w:t>:</w:t>
      </w:r>
      <w:r w:rsidR="009F51DF">
        <w:rPr>
          <w:szCs w:val="18"/>
          <w:lang w:val="en-US"/>
        </w:rPr>
        <w:t xml:space="preserve"> </w:t>
      </w:r>
    </w:p>
    <w:p w:rsidR="008A1B10" w:rsidRPr="008A1B10" w:rsidRDefault="008A1B10" w:rsidP="008A1B10">
      <w:pPr>
        <w:spacing w:before="120" w:line="360" w:lineRule="auto"/>
        <w:rPr>
          <w:lang w:val="en-US"/>
        </w:rPr>
      </w:pPr>
      <w:bookmarkStart w:id="338" w:name="_Toc273619316"/>
      <w:bookmarkStart w:id="339" w:name="_Toc273619598"/>
      <w:bookmarkEnd w:id="338"/>
      <w:bookmarkEnd w:id="339"/>
      <w:r w:rsidRPr="008A1B10">
        <w:rPr>
          <w:u w:val="single"/>
          <w:lang w:val="en-US"/>
        </w:rPr>
        <w:t>Categorization based on INES scale</w:t>
      </w:r>
      <w:r>
        <w:rPr>
          <w:u w:val="single"/>
          <w:lang w:val="en-US"/>
        </w:rPr>
        <w:t xml:space="preserve"> </w:t>
      </w:r>
      <w:r>
        <w:rPr>
          <w:lang w:val="en-US"/>
        </w:rPr>
        <w:t>may be</w:t>
      </w:r>
      <w:r w:rsidRPr="008A1B10" w:rsidDel="00992C1B">
        <w:rPr>
          <w:lang w:val="en-US"/>
        </w:rPr>
        <w:t xml:space="preserve"> use</w:t>
      </w:r>
      <w:r>
        <w:rPr>
          <w:lang w:val="en-US"/>
        </w:rPr>
        <w:t>d</w:t>
      </w:r>
      <w:r w:rsidRPr="008A1B10" w:rsidDel="00992C1B">
        <w:rPr>
          <w:lang w:val="en-US"/>
        </w:rPr>
        <w:t xml:space="preserve"> </w:t>
      </w:r>
      <w:r>
        <w:rPr>
          <w:lang w:val="en-US"/>
        </w:rPr>
        <w:t xml:space="preserve">for </w:t>
      </w:r>
      <w:r w:rsidRPr="008A1B10">
        <w:rPr>
          <w:lang w:val="en-US"/>
        </w:rPr>
        <w:t xml:space="preserve">the assessment of </w:t>
      </w:r>
      <w:r>
        <w:rPr>
          <w:lang w:val="en-US"/>
        </w:rPr>
        <w:t>the “absolute severity metric</w:t>
      </w:r>
      <w:r w:rsidRPr="008A1B10">
        <w:rPr>
          <w:lang w:val="en-US"/>
        </w:rPr>
        <w:t>”, within L2 PSA without need of performing L3 PSA</w:t>
      </w:r>
      <w:r>
        <w:rPr>
          <w:lang w:val="en-US"/>
        </w:rPr>
        <w:t xml:space="preserve"> (see example </w:t>
      </w:r>
      <w:r w:rsidRPr="008A1B10">
        <w:rPr>
          <w:lang w:val="en-US"/>
        </w:rPr>
        <w:t xml:space="preserve">in Section </w:t>
      </w:r>
      <w:r w:rsidR="009E768B">
        <w:rPr>
          <w:lang w:val="en-US"/>
        </w:rPr>
        <w:fldChar w:fldCharType="begin"/>
      </w:r>
      <w:r>
        <w:rPr>
          <w:lang w:val="en-US"/>
        </w:rPr>
        <w:instrText xml:space="preserve"> REF _Ref319769000 \r \h </w:instrText>
      </w:r>
      <w:r w:rsidR="009E768B">
        <w:rPr>
          <w:lang w:val="en-US"/>
        </w:rPr>
      </w:r>
      <w:r w:rsidR="009E768B">
        <w:rPr>
          <w:lang w:val="en-US"/>
        </w:rPr>
        <w:fldChar w:fldCharType="separate"/>
      </w:r>
      <w:r w:rsidR="00B772CA">
        <w:rPr>
          <w:lang w:val="en-US"/>
        </w:rPr>
        <w:t>3.10</w:t>
      </w:r>
      <w:r w:rsidR="009E768B">
        <w:rPr>
          <w:lang w:val="en-US"/>
        </w:rPr>
        <w:fldChar w:fldCharType="end"/>
      </w:r>
      <w:r w:rsidR="00EC70FA">
        <w:rPr>
          <w:lang w:val="en-US"/>
        </w:rPr>
        <w:t>.2</w:t>
      </w:r>
      <w:r>
        <w:rPr>
          <w:lang w:val="en-US"/>
        </w:rPr>
        <w:t>)</w:t>
      </w:r>
      <w:r w:rsidRPr="008A1B10">
        <w:rPr>
          <w:lang w:val="en-US"/>
        </w:rPr>
        <w:t xml:space="preserve">. In this case the existing grades of INES scale originally developed for real accidents is used as the risk parameter for grouping sequences by their severity based on releases aiming to assess their contribution to total risk (i.e. consequences with their frequencies) allowing thus also to judge besides other things if a plant is balanced. </w:t>
      </w:r>
      <w:r w:rsidR="00132ED3" w:rsidRPr="00132ED3">
        <w:rPr>
          <w:lang w:val="en-US"/>
        </w:rPr>
        <w:t xml:space="preserve">Conversion of releases to a range of absolute consequences (example see in Table 6) makes possible to compare Severe Accident risks with other </w:t>
      </w:r>
      <w:r w:rsidR="00132ED3" w:rsidRPr="00132ED3">
        <w:rPr>
          <w:lang w:val="en-US"/>
        </w:rPr>
        <w:lastRenderedPageBreak/>
        <w:t>industrial risks</w:t>
      </w:r>
      <w:r w:rsidR="00132ED3">
        <w:rPr>
          <w:lang w:val="en-US"/>
        </w:rPr>
        <w:t xml:space="preserve">. This can be useful </w:t>
      </w:r>
      <w:r w:rsidR="00132ED3" w:rsidRPr="00132ED3">
        <w:rPr>
          <w:lang w:val="en-US"/>
        </w:rPr>
        <w:t xml:space="preserve">to justify that no significant addition to </w:t>
      </w:r>
      <w:r w:rsidR="00132ED3">
        <w:rPr>
          <w:lang w:val="en-US"/>
        </w:rPr>
        <w:t xml:space="preserve">other </w:t>
      </w:r>
      <w:r w:rsidR="00132ED3" w:rsidRPr="00132ED3">
        <w:rPr>
          <w:lang w:val="en-US"/>
        </w:rPr>
        <w:t>industrial risks exists</w:t>
      </w:r>
      <w:r w:rsidR="00132ED3">
        <w:rPr>
          <w:lang w:val="en-US"/>
        </w:rPr>
        <w:t xml:space="preserve"> (see IAEA basic safety principles for nuclear power </w:t>
      </w:r>
      <w:r w:rsidR="008E43A3">
        <w:rPr>
          <w:lang w:val="en-US"/>
        </w:rPr>
        <w:t>plants, INSAG-3 Rev.1, INSAG-12</w:t>
      </w:r>
      <w:r w:rsidR="008E43A3">
        <w:rPr>
          <w:rStyle w:val="Appelnotedebasdep"/>
          <w:lang w:val="en-US"/>
        </w:rPr>
        <w:footnoteReference w:id="14"/>
      </w:r>
      <w:r w:rsidR="008E43A3">
        <w:rPr>
          <w:lang w:val="en-US"/>
        </w:rPr>
        <w:t>.)</w:t>
      </w:r>
    </w:p>
    <w:p w:rsidR="00815584" w:rsidRPr="00C94556" w:rsidRDefault="00815584">
      <w:pPr>
        <w:spacing w:before="120" w:line="360" w:lineRule="auto"/>
        <w:rPr>
          <w:lang w:val="en-US"/>
        </w:rPr>
      </w:pPr>
    </w:p>
    <w:p w:rsidR="00815584" w:rsidRPr="00C94556" w:rsidRDefault="00815584">
      <w:pPr>
        <w:spacing w:before="120" w:line="360" w:lineRule="auto"/>
        <w:rPr>
          <w:u w:val="single"/>
          <w:lang w:val="en-US"/>
        </w:rPr>
      </w:pPr>
      <w:r w:rsidRPr="00C94556">
        <w:rPr>
          <w:u w:val="single"/>
          <w:lang w:val="en-US"/>
        </w:rPr>
        <w:t>Categori</w:t>
      </w:r>
      <w:r w:rsidR="009F51DF">
        <w:rPr>
          <w:u w:val="single"/>
          <w:lang w:val="en-US"/>
        </w:rPr>
        <w:t>z</w:t>
      </w:r>
      <w:r w:rsidRPr="00C94556">
        <w:rPr>
          <w:u w:val="single"/>
          <w:lang w:val="en-US"/>
        </w:rPr>
        <w:t xml:space="preserve">ation </w:t>
      </w:r>
      <w:bookmarkStart w:id="340" w:name="_Toc345086788"/>
      <w:r w:rsidRPr="00C94556">
        <w:rPr>
          <w:u w:val="single"/>
          <w:lang w:val="en-US"/>
        </w:rPr>
        <w:t>based on projected doses calculations</w:t>
      </w:r>
      <w:bookmarkEnd w:id="340"/>
    </w:p>
    <w:p w:rsidR="00815584" w:rsidRPr="00C94556" w:rsidRDefault="00815584">
      <w:pPr>
        <w:rPr>
          <w:lang w:val="en-US"/>
        </w:rPr>
      </w:pPr>
      <w:r w:rsidRPr="00C94556">
        <w:rPr>
          <w:lang w:val="en-US"/>
        </w:rPr>
        <w:t>Each release category obtained from a L2 PSA is associated, for each considered isotope, to one set of kinetics and amplitude of atmospheric release. It may be useful in the final presentation of the results to calculate the radiation impact of the release for different distances and delays with some standard meteorological conditions.</w:t>
      </w:r>
    </w:p>
    <w:p w:rsidR="00815584" w:rsidRPr="00C94556" w:rsidRDefault="00815584">
      <w:pPr>
        <w:rPr>
          <w:lang w:val="en-US"/>
        </w:rPr>
      </w:pPr>
      <w:r w:rsidRPr="00C94556">
        <w:rPr>
          <w:lang w:val="en-US"/>
        </w:rPr>
        <w:t>Such a presentation of results may help in the communication of L2</w:t>
      </w:r>
      <w:r w:rsidR="00F77061">
        <w:rPr>
          <w:lang w:val="en-US"/>
        </w:rPr>
        <w:t>+</w:t>
      </w:r>
      <w:r w:rsidR="00EF4720" w:rsidRPr="00C94556">
        <w:rPr>
          <w:lang w:val="en-US"/>
        </w:rPr>
        <w:t xml:space="preserve"> </w:t>
      </w:r>
      <w:r w:rsidRPr="00C94556">
        <w:rPr>
          <w:lang w:val="en-US"/>
        </w:rPr>
        <w:t>PSA results. For example the following can be calculated:</w:t>
      </w:r>
    </w:p>
    <w:p w:rsidR="00815584" w:rsidRPr="00C94556" w:rsidRDefault="00815584" w:rsidP="00D873A7">
      <w:pPr>
        <w:numPr>
          <w:ilvl w:val="0"/>
          <w:numId w:val="19"/>
        </w:numPr>
        <w:rPr>
          <w:lang w:val="en-US"/>
        </w:rPr>
      </w:pPr>
      <w:r w:rsidRPr="00C94556">
        <w:rPr>
          <w:lang w:val="en-US"/>
        </w:rPr>
        <w:t>The projected</w:t>
      </w:r>
      <w:r w:rsidR="00EF4720" w:rsidRPr="00C94556">
        <w:rPr>
          <w:lang w:val="en-US"/>
        </w:rPr>
        <w:t xml:space="preserve"> effective</w:t>
      </w:r>
      <w:r w:rsidRPr="00C94556">
        <w:rPr>
          <w:lang w:val="en-US"/>
        </w:rPr>
        <w:t xml:space="preserve"> dose (i.e. the dose likely to be received by an individual through all pathways when no protective actions are implemented) at different distances (e.g. 2,</w:t>
      </w:r>
      <w:r w:rsidR="00EF4720" w:rsidRPr="00C94556">
        <w:rPr>
          <w:lang w:val="en-US"/>
        </w:rPr>
        <w:t xml:space="preserve"> </w:t>
      </w:r>
      <w:r w:rsidRPr="00C94556">
        <w:rPr>
          <w:lang w:val="en-US"/>
        </w:rPr>
        <w:t>10,</w:t>
      </w:r>
      <w:r w:rsidR="00EF4720" w:rsidRPr="00C94556">
        <w:rPr>
          <w:lang w:val="en-US"/>
        </w:rPr>
        <w:t xml:space="preserve"> </w:t>
      </w:r>
      <w:r w:rsidRPr="00C94556">
        <w:rPr>
          <w:lang w:val="en-US"/>
        </w:rPr>
        <w:t>20,</w:t>
      </w:r>
      <w:r w:rsidR="00EF4720" w:rsidRPr="00C94556">
        <w:rPr>
          <w:lang w:val="en-US"/>
        </w:rPr>
        <w:t xml:space="preserve"> </w:t>
      </w:r>
      <w:r w:rsidRPr="00C94556">
        <w:rPr>
          <w:lang w:val="en-US"/>
        </w:rPr>
        <w:t>50 km) and time scales (e.g. 15 days, one year, 50 years),</w:t>
      </w:r>
    </w:p>
    <w:p w:rsidR="00815584" w:rsidRPr="00C94556" w:rsidRDefault="00815584" w:rsidP="00D873A7">
      <w:pPr>
        <w:numPr>
          <w:ilvl w:val="0"/>
          <w:numId w:val="19"/>
        </w:numPr>
        <w:rPr>
          <w:lang w:val="en-US"/>
        </w:rPr>
      </w:pPr>
      <w:r w:rsidRPr="00C94556">
        <w:rPr>
          <w:lang w:val="en-US"/>
        </w:rPr>
        <w:t>The thyroid dose at the same distances and time scales.</w:t>
      </w:r>
    </w:p>
    <w:p w:rsidR="00815584" w:rsidRPr="00C94556" w:rsidRDefault="00815584">
      <w:pPr>
        <w:rPr>
          <w:lang w:val="en-US"/>
        </w:rPr>
      </w:pPr>
    </w:p>
    <w:p w:rsidR="00815584" w:rsidRPr="00C94556" w:rsidRDefault="00815584">
      <w:pPr>
        <w:rPr>
          <w:lang w:val="en-US"/>
        </w:rPr>
      </w:pPr>
      <w:r w:rsidRPr="00C94556">
        <w:rPr>
          <w:lang w:val="en-US"/>
        </w:rPr>
        <w:t xml:space="preserve">When using one </w:t>
      </w:r>
      <w:r w:rsidR="00451795" w:rsidRPr="00C94556">
        <w:rPr>
          <w:lang w:val="en-US"/>
        </w:rPr>
        <w:t>criteri</w:t>
      </w:r>
      <w:r w:rsidR="00451795">
        <w:rPr>
          <w:lang w:val="en-US"/>
        </w:rPr>
        <w:t>on</w:t>
      </w:r>
      <w:r w:rsidR="00451795" w:rsidRPr="00C94556">
        <w:rPr>
          <w:lang w:val="en-US"/>
        </w:rPr>
        <w:t xml:space="preserve"> </w:t>
      </w:r>
      <w:r w:rsidRPr="00C94556">
        <w:rPr>
          <w:lang w:val="en-US"/>
        </w:rPr>
        <w:t>(for example projected dose at 2</w:t>
      </w:r>
      <w:r w:rsidR="00361D3D">
        <w:rPr>
          <w:lang w:val="en-US"/>
        </w:rPr>
        <w:t xml:space="preserve"> </w:t>
      </w:r>
      <w:r w:rsidRPr="00C94556">
        <w:rPr>
          <w:lang w:val="en-US"/>
        </w:rPr>
        <w:t>km, 15 days), it becomes possible to classify the different accident scenarios in terms of risks (frequency x consequence) and to have a relatively clear indication of the severity of the accident regarding health effects.</w:t>
      </w:r>
    </w:p>
    <w:p w:rsidR="00EF4720" w:rsidRPr="00C94556" w:rsidRDefault="00EF4720">
      <w:pPr>
        <w:spacing w:before="120" w:line="360" w:lineRule="auto"/>
        <w:rPr>
          <w:u w:val="single"/>
          <w:lang w:val="en-US"/>
        </w:rPr>
      </w:pPr>
      <w:bookmarkStart w:id="341" w:name="_Toc345086789"/>
    </w:p>
    <w:p w:rsidR="00815584" w:rsidRPr="00C94556" w:rsidRDefault="00815584">
      <w:pPr>
        <w:spacing w:before="120" w:line="360" w:lineRule="auto"/>
        <w:rPr>
          <w:u w:val="single"/>
          <w:lang w:val="en-US"/>
        </w:rPr>
      </w:pPr>
      <w:r w:rsidRPr="00C94556">
        <w:rPr>
          <w:u w:val="single"/>
          <w:lang w:val="en-US"/>
        </w:rPr>
        <w:t>Categori</w:t>
      </w:r>
      <w:r w:rsidR="009F51DF">
        <w:rPr>
          <w:u w:val="single"/>
          <w:lang w:val="en-US"/>
        </w:rPr>
        <w:t>z</w:t>
      </w:r>
      <w:r w:rsidRPr="00C94556">
        <w:rPr>
          <w:u w:val="single"/>
          <w:lang w:val="en-US"/>
        </w:rPr>
        <w:t>ation based on ground deposit of fission products</w:t>
      </w:r>
      <w:bookmarkEnd w:id="341"/>
    </w:p>
    <w:p w:rsidR="006A6BCA" w:rsidRDefault="00815584" w:rsidP="00C94556">
      <w:pPr>
        <w:jc w:val="left"/>
        <w:rPr>
          <w:lang w:val="en-US"/>
        </w:rPr>
      </w:pPr>
      <w:r w:rsidRPr="00C94556">
        <w:rPr>
          <w:lang w:val="en-US"/>
        </w:rPr>
        <w:t>Long</w:t>
      </w:r>
      <w:r w:rsidR="006A6BCA">
        <w:rPr>
          <w:lang w:val="en-US"/>
        </w:rPr>
        <w:t>-</w:t>
      </w:r>
      <w:r w:rsidRPr="00C94556">
        <w:rPr>
          <w:lang w:val="en-US"/>
        </w:rPr>
        <w:t xml:space="preserve">term ground contamination by aerosols like </w:t>
      </w:r>
      <w:r w:rsidR="00993B7F" w:rsidRPr="00C94556">
        <w:rPr>
          <w:lang w:val="en-US"/>
        </w:rPr>
        <w:t>Cs137</w:t>
      </w:r>
      <w:r w:rsidRPr="00C94556">
        <w:rPr>
          <w:lang w:val="en-US"/>
        </w:rPr>
        <w:t xml:space="preserve"> constitutes </w:t>
      </w:r>
      <w:r w:rsidR="00EF4720" w:rsidRPr="00C94556">
        <w:rPr>
          <w:lang w:val="en-US"/>
        </w:rPr>
        <w:t>a significant</w:t>
      </w:r>
      <w:r w:rsidRPr="00C94556">
        <w:rPr>
          <w:lang w:val="en-US"/>
        </w:rPr>
        <w:t xml:space="preserve"> impact of a NPP severe accident. It may be useful for the final presentation of the results to calculate the deposition of </w:t>
      </w:r>
      <w:r w:rsidR="00993B7F" w:rsidRPr="00C94556">
        <w:rPr>
          <w:lang w:val="en-US"/>
        </w:rPr>
        <w:t>Cs137</w:t>
      </w:r>
      <w:r w:rsidRPr="00C94556">
        <w:rPr>
          <w:lang w:val="en-US"/>
        </w:rPr>
        <w:t xml:space="preserve"> (or other radionuclides) on the ground, at different distances of the NPP (e.g</w:t>
      </w:r>
      <w:r w:rsidR="00361D3D">
        <w:rPr>
          <w:lang w:val="en-US"/>
        </w:rPr>
        <w:t>.</w:t>
      </w:r>
      <w:r w:rsidRPr="00C94556">
        <w:rPr>
          <w:lang w:val="en-US"/>
        </w:rPr>
        <w:t xml:space="preserve"> 2, 5, 10, 20, 50 km). The results can be compared to the zoning criteria that may be use</w:t>
      </w:r>
      <w:r w:rsidR="00451795">
        <w:rPr>
          <w:lang w:val="en-US"/>
        </w:rPr>
        <w:t>d</w:t>
      </w:r>
      <w:r w:rsidRPr="00C94556">
        <w:rPr>
          <w:lang w:val="en-US"/>
        </w:rPr>
        <w:t xml:space="preserve"> for the post-accidental management.</w:t>
      </w:r>
      <w:r w:rsidR="006A6BCA">
        <w:rPr>
          <w:lang w:val="en-US"/>
        </w:rPr>
        <w:t xml:space="preserve"> </w:t>
      </w:r>
      <w:r w:rsidR="006A6BCA" w:rsidRPr="008F0C1B">
        <w:rPr>
          <w:lang w:val="en-US"/>
        </w:rPr>
        <w:t>Such information can provide a relatively clear indication regarding the long term impact of the considered accidents.</w:t>
      </w:r>
    </w:p>
    <w:p w:rsidR="007E667C" w:rsidRPr="007E667C" w:rsidRDefault="007E667C" w:rsidP="00C94556">
      <w:pPr>
        <w:pStyle w:val="Titre3"/>
        <w:rPr>
          <w:lang w:val="en-US"/>
        </w:rPr>
      </w:pPr>
      <w:bookmarkStart w:id="342" w:name="_Toc474430227"/>
      <w:r w:rsidRPr="007E667C">
        <w:rPr>
          <w:lang w:val="en-US"/>
        </w:rPr>
        <w:t>Discussion</w:t>
      </w:r>
      <w:bookmarkEnd w:id="342"/>
    </w:p>
    <w:p w:rsidR="007E667C" w:rsidRDefault="001D5D7E" w:rsidP="00C94556">
      <w:pPr>
        <w:jc w:val="left"/>
        <w:rPr>
          <w:lang w:val="en-US"/>
        </w:rPr>
      </w:pPr>
      <w:r>
        <w:rPr>
          <w:lang w:val="en-US"/>
        </w:rPr>
        <w:t xml:space="preserve">The following are some considerations that should be taken into account in the evaluation of </w:t>
      </w:r>
      <w:r w:rsidRPr="008F0C1B">
        <w:rPr>
          <w:lang w:val="en-US"/>
        </w:rPr>
        <w:t>accident absolute severity metrics</w:t>
      </w:r>
      <w:r>
        <w:rPr>
          <w:lang w:val="en-US"/>
        </w:rPr>
        <w:t>:</w:t>
      </w:r>
    </w:p>
    <w:p w:rsidR="00815584" w:rsidRPr="00C94556" w:rsidRDefault="00815584" w:rsidP="00C94556">
      <w:pPr>
        <w:rPr>
          <w:u w:val="single"/>
          <w:lang w:val="en-US"/>
        </w:rPr>
      </w:pPr>
      <w:bookmarkStart w:id="343" w:name="_Toc345086791"/>
      <w:r w:rsidRPr="00C94556">
        <w:rPr>
          <w:u w:val="single"/>
          <w:lang w:val="en-US"/>
        </w:rPr>
        <w:t>Specific information linked to emergency planning</w:t>
      </w:r>
      <w:bookmarkEnd w:id="343"/>
      <w:r w:rsidR="007E667C">
        <w:rPr>
          <w:u w:val="single"/>
          <w:lang w:val="en-US"/>
        </w:rPr>
        <w:t>:</w:t>
      </w:r>
    </w:p>
    <w:p w:rsidR="00815584" w:rsidRPr="00C94556" w:rsidRDefault="00D3487C">
      <w:pPr>
        <w:rPr>
          <w:lang w:val="en-US"/>
        </w:rPr>
      </w:pPr>
      <w:r w:rsidRPr="00C94556">
        <w:rPr>
          <w:lang w:val="en-US"/>
        </w:rPr>
        <w:t>L2 PSA</w:t>
      </w:r>
      <w:r w:rsidR="00815584" w:rsidRPr="00C94556">
        <w:rPr>
          <w:lang w:val="en-US"/>
        </w:rPr>
        <w:t xml:space="preserve"> results can be used to discriminate between the sequences that can be managed by the emergency offsite measures and those which </w:t>
      </w:r>
      <w:r w:rsidR="00EF4720" w:rsidRPr="00C94556">
        <w:rPr>
          <w:lang w:val="en-US"/>
        </w:rPr>
        <w:t>can be</w:t>
      </w:r>
      <w:r w:rsidR="00815584" w:rsidRPr="00C94556">
        <w:rPr>
          <w:lang w:val="en-US"/>
        </w:rPr>
        <w:t xml:space="preserve"> not. This compatibility depends mainly on both the kinetics of the accident and the spatial extension of the counter-measures.</w:t>
      </w:r>
    </w:p>
    <w:p w:rsidR="00815584" w:rsidRPr="00C94556" w:rsidRDefault="00815584">
      <w:pPr>
        <w:rPr>
          <w:lang w:val="en-US"/>
        </w:rPr>
      </w:pPr>
      <w:r w:rsidRPr="00C94556">
        <w:rPr>
          <w:lang w:val="en-US"/>
        </w:rPr>
        <w:lastRenderedPageBreak/>
        <w:t>If the L2</w:t>
      </w:r>
      <w:r w:rsidR="00EF4720" w:rsidRPr="00C94556">
        <w:rPr>
          <w:lang w:val="en-US"/>
        </w:rPr>
        <w:t xml:space="preserve"> </w:t>
      </w:r>
      <w:r w:rsidRPr="00C94556">
        <w:rPr>
          <w:lang w:val="en-US"/>
        </w:rPr>
        <w:t>PSA is extended to some atmospheric dispersion calculations and projected doses, then it is recommended that the following should be provided for each release category:</w:t>
      </w:r>
    </w:p>
    <w:p w:rsidR="00815584" w:rsidRPr="00C94556" w:rsidRDefault="00B36B31" w:rsidP="00D873A7">
      <w:pPr>
        <w:numPr>
          <w:ilvl w:val="0"/>
          <w:numId w:val="20"/>
        </w:numPr>
        <w:rPr>
          <w:lang w:val="en-US"/>
        </w:rPr>
      </w:pPr>
      <w:r>
        <w:rPr>
          <w:lang w:val="en-US"/>
        </w:rPr>
        <w:t>t</w:t>
      </w:r>
      <w:r w:rsidR="00815584" w:rsidRPr="00C94556">
        <w:rPr>
          <w:lang w:val="en-US"/>
        </w:rPr>
        <w:t>he time scale available before reaching some counter-measure criteria (projected dose for sheltering or evacuation, thyroid dose for iodine prophylaxis),</w:t>
      </w:r>
    </w:p>
    <w:p w:rsidR="00815584" w:rsidRPr="00C94556" w:rsidRDefault="00B36B31" w:rsidP="00D873A7">
      <w:pPr>
        <w:numPr>
          <w:ilvl w:val="0"/>
          <w:numId w:val="20"/>
        </w:numPr>
        <w:rPr>
          <w:lang w:val="en-US"/>
        </w:rPr>
      </w:pPr>
      <w:r>
        <w:rPr>
          <w:lang w:val="en-US"/>
        </w:rPr>
        <w:t>t</w:t>
      </w:r>
      <w:r w:rsidR="00815584" w:rsidRPr="00C94556">
        <w:rPr>
          <w:lang w:val="en-US"/>
        </w:rPr>
        <w:t>he distance to which each short term countermeasure (sheltering, evacuation, iodine prophylaxis) should be applied.</w:t>
      </w:r>
    </w:p>
    <w:p w:rsidR="00815584" w:rsidRPr="00C94556" w:rsidRDefault="00815584">
      <w:pPr>
        <w:rPr>
          <w:lang w:val="en-US"/>
        </w:rPr>
      </w:pPr>
      <w:r w:rsidRPr="00C94556">
        <w:rPr>
          <w:lang w:val="en-US"/>
        </w:rPr>
        <w:t xml:space="preserve">Both distances and time scales can be compared to the provision of the emergency plans by the </w:t>
      </w:r>
      <w:r w:rsidR="00D3487C" w:rsidRPr="00C94556">
        <w:rPr>
          <w:lang w:val="en-US"/>
        </w:rPr>
        <w:t>L2 PSA</w:t>
      </w:r>
      <w:r w:rsidRPr="00C94556">
        <w:rPr>
          <w:lang w:val="en-US"/>
        </w:rPr>
        <w:t xml:space="preserve"> analysts. Each release category can be qualified as “compatible or not” to the emergency plans. </w:t>
      </w:r>
    </w:p>
    <w:p w:rsidR="00815584" w:rsidRPr="00C94556" w:rsidRDefault="00815584">
      <w:pPr>
        <w:rPr>
          <w:lang w:val="en-US"/>
        </w:rPr>
      </w:pPr>
    </w:p>
    <w:p w:rsidR="00815584" w:rsidRPr="00C94556" w:rsidRDefault="00815584" w:rsidP="00C94556">
      <w:pPr>
        <w:rPr>
          <w:u w:val="single"/>
          <w:lang w:val="en-US"/>
        </w:rPr>
      </w:pPr>
      <w:bookmarkStart w:id="344" w:name="_Toc345086792"/>
      <w:r w:rsidRPr="00C94556">
        <w:rPr>
          <w:u w:val="single"/>
          <w:lang w:val="en-US"/>
        </w:rPr>
        <w:t>Diagrams Frequencies-Consequences</w:t>
      </w:r>
      <w:bookmarkEnd w:id="344"/>
    </w:p>
    <w:p w:rsidR="00815584" w:rsidRDefault="00815584">
      <w:pPr>
        <w:rPr>
          <w:lang w:val="en-US"/>
        </w:rPr>
      </w:pPr>
      <w:r w:rsidRPr="00C94556">
        <w:rPr>
          <w:lang w:val="en-US"/>
        </w:rPr>
        <w:t xml:space="preserve">All </w:t>
      </w:r>
      <w:r w:rsidR="00B76293">
        <w:rPr>
          <w:lang w:val="en-US"/>
        </w:rPr>
        <w:t>PSA assessments</w:t>
      </w:r>
      <w:r w:rsidR="00B76293" w:rsidRPr="00C94556">
        <w:rPr>
          <w:lang w:val="en-US"/>
        </w:rPr>
        <w:t xml:space="preserve"> </w:t>
      </w:r>
      <w:r w:rsidRPr="00C94556">
        <w:rPr>
          <w:lang w:val="en-US"/>
        </w:rPr>
        <w:t xml:space="preserve">of accident consequences (absolute severity scale, projected doses (calculated at a defined distance), ground contamination (Activity of </w:t>
      </w:r>
      <w:r w:rsidR="00993B7F" w:rsidRPr="000A56D1">
        <w:rPr>
          <w:lang w:val="en-US"/>
        </w:rPr>
        <w:t>Cs</w:t>
      </w:r>
      <w:r w:rsidR="00993B7F" w:rsidRPr="00C94556">
        <w:rPr>
          <w:vertAlign w:val="superscript"/>
          <w:lang w:val="en-US"/>
        </w:rPr>
        <w:t>137</w:t>
      </w:r>
      <w:r w:rsidRPr="00C94556">
        <w:rPr>
          <w:lang w:val="en-US"/>
        </w:rPr>
        <w:t xml:space="preserve"> deposit, annual dose induced by deposit) versus frequency can be presented as “cumulative probability for exceeding a certain consequence vs extent of Consequences” or “RC frequency x extent of Consequences diagram”.</w:t>
      </w:r>
    </w:p>
    <w:p w:rsidR="000D6264" w:rsidRPr="00C94556" w:rsidRDefault="000D6264" w:rsidP="00C94556">
      <w:pPr>
        <w:pStyle w:val="Titre3"/>
        <w:rPr>
          <w:lang w:val="en-US"/>
        </w:rPr>
      </w:pPr>
      <w:bookmarkStart w:id="345" w:name="_Toc474430228"/>
      <w:r w:rsidRPr="00C94556">
        <w:rPr>
          <w:lang w:val="en-US"/>
        </w:rPr>
        <w:t xml:space="preserve">ASAMPSA_E recommendation on </w:t>
      </w:r>
      <w:r w:rsidRPr="008F0C1B">
        <w:rPr>
          <w:lang w:val="en-US"/>
        </w:rPr>
        <w:t>Level 2+ PSA</w:t>
      </w:r>
      <w:bookmarkEnd w:id="345"/>
    </w:p>
    <w:p w:rsidR="003B1A6A" w:rsidRDefault="00F557A8">
      <w:pPr>
        <w:rPr>
          <w:lang w:val="en-US"/>
        </w:rPr>
      </w:pPr>
      <w:r>
        <w:rPr>
          <w:lang w:val="en-US"/>
        </w:rPr>
        <w:t>A</w:t>
      </w:r>
      <w:r w:rsidRPr="008F0C1B">
        <w:rPr>
          <w:lang w:val="en-US"/>
        </w:rPr>
        <w:t>cc</w:t>
      </w:r>
      <w:r>
        <w:rPr>
          <w:lang w:val="en-US"/>
        </w:rPr>
        <w:t>ident absolute severity metrics</w:t>
      </w:r>
      <w:r w:rsidRPr="008F0C1B">
        <w:rPr>
          <w:lang w:val="en-US"/>
        </w:rPr>
        <w:t xml:space="preserve"> would provide an indication of the severity of an accident</w:t>
      </w:r>
      <w:r>
        <w:rPr>
          <w:lang w:val="en-US"/>
        </w:rPr>
        <w:t xml:space="preserve"> and are valid metrics for risk assessment. Some are suggested in this section however their limitations should be </w:t>
      </w:r>
      <w:r w:rsidR="001D5D7E">
        <w:rPr>
          <w:lang w:val="en-US"/>
        </w:rPr>
        <w:t>acknowledged.</w:t>
      </w:r>
    </w:p>
    <w:p w:rsidR="0059754E" w:rsidRPr="00520A83" w:rsidRDefault="0059754E" w:rsidP="00C94556">
      <w:pPr>
        <w:pStyle w:val="Titre2"/>
        <w:rPr>
          <w:lang w:val="en-US"/>
        </w:rPr>
      </w:pPr>
      <w:bookmarkStart w:id="346" w:name="_Toc452560481"/>
      <w:bookmarkStart w:id="347" w:name="_Toc452561422"/>
      <w:bookmarkStart w:id="348" w:name="_Toc452561638"/>
      <w:bookmarkStart w:id="349" w:name="_Toc452560482"/>
      <w:bookmarkStart w:id="350" w:name="_Toc452561423"/>
      <w:bookmarkStart w:id="351" w:name="_Toc452561639"/>
      <w:bookmarkStart w:id="352" w:name="_Ref319769000"/>
      <w:bookmarkStart w:id="353" w:name="_Toc474430229"/>
      <w:bookmarkEnd w:id="346"/>
      <w:bookmarkEnd w:id="347"/>
      <w:bookmarkEnd w:id="348"/>
      <w:bookmarkEnd w:id="349"/>
      <w:bookmarkEnd w:id="350"/>
      <w:bookmarkEnd w:id="351"/>
      <w:r w:rsidRPr="00CF57A4">
        <w:rPr>
          <w:lang w:val="en-US"/>
        </w:rPr>
        <w:t>Integral Risk or Total Risk Measures</w:t>
      </w:r>
      <w:bookmarkEnd w:id="352"/>
      <w:bookmarkEnd w:id="353"/>
      <w:r w:rsidR="00F90A26" w:rsidRPr="00C969FB">
        <w:rPr>
          <w:lang w:val="en-US"/>
        </w:rPr>
        <w:t xml:space="preserve"> </w:t>
      </w:r>
    </w:p>
    <w:p w:rsidR="00B76293" w:rsidRPr="00520A83" w:rsidRDefault="00B76293" w:rsidP="000A56D1">
      <w:pPr>
        <w:rPr>
          <w:lang w:val="en-US"/>
        </w:rPr>
      </w:pPr>
      <w:r w:rsidRPr="00520A83">
        <w:rPr>
          <w:lang w:val="en-US"/>
        </w:rPr>
        <w:t>The idea of integral risk is based on the definition of risk as multiplication of frequency and consequences.</w:t>
      </w:r>
    </w:p>
    <w:p w:rsidR="001006B9" w:rsidRPr="00520A83" w:rsidRDefault="001006B9" w:rsidP="000A56D1">
      <w:pPr>
        <w:pStyle w:val="Titre3"/>
      </w:pPr>
      <w:bookmarkStart w:id="354" w:name="_Toc473651911"/>
      <w:bookmarkStart w:id="355" w:name="_Toc473652089"/>
      <w:bookmarkStart w:id="356" w:name="_Toc473652288"/>
      <w:bookmarkStart w:id="357" w:name="_Toc474430230"/>
      <w:bookmarkEnd w:id="354"/>
      <w:bookmarkEnd w:id="355"/>
      <w:bookmarkEnd w:id="356"/>
      <w:r w:rsidRPr="00520A83">
        <w:rPr>
          <w:lang w:val="en-US"/>
        </w:rPr>
        <w:t>Definition of Risk Measure</w:t>
      </w:r>
      <w:bookmarkEnd w:id="357"/>
    </w:p>
    <w:p w:rsidR="0059754E" w:rsidRPr="00520A83" w:rsidRDefault="0059754E" w:rsidP="0059754E">
      <w:pPr>
        <w:rPr>
          <w:lang w:val="en-US"/>
        </w:rPr>
      </w:pPr>
      <w:bookmarkStart w:id="358" w:name="_Toc452560484"/>
      <w:bookmarkStart w:id="359" w:name="_Toc452561425"/>
      <w:bookmarkStart w:id="360" w:name="_Toc452561641"/>
      <w:bookmarkEnd w:id="358"/>
      <w:bookmarkEnd w:id="359"/>
      <w:bookmarkEnd w:id="360"/>
      <w:r w:rsidRPr="00520A83">
        <w:rPr>
          <w:lang w:val="en-US"/>
        </w:rPr>
        <w:t>A measure of the “total source term risk” can be obtained by a formula like:</w:t>
      </w:r>
    </w:p>
    <w:p w:rsidR="0059754E" w:rsidRPr="00520A83" w:rsidRDefault="0059754E" w:rsidP="0059754E">
      <w:pPr>
        <w:jc w:val="left"/>
        <w:rPr>
          <w:lang w:val="en-US"/>
        </w:rPr>
      </w:pPr>
      <w:r w:rsidRPr="00520A83">
        <w:rPr>
          <w:lang w:val="en-US"/>
        </w:rPr>
        <w:t>Total risk = F</w:t>
      </w:r>
      <w:r w:rsidRPr="00520A83">
        <w:rPr>
          <w:vertAlign w:val="subscript"/>
          <w:lang w:val="en-US"/>
        </w:rPr>
        <w:t xml:space="preserve">1 </w:t>
      </w:r>
      <w:r w:rsidRPr="00520A83">
        <w:rPr>
          <w:lang w:val="en-US"/>
        </w:rPr>
        <w:t>x A(RC</w:t>
      </w:r>
      <w:r w:rsidRPr="00520A83">
        <w:rPr>
          <w:vertAlign w:val="subscript"/>
          <w:lang w:val="en-US"/>
        </w:rPr>
        <w:t>1</w:t>
      </w:r>
      <w:r w:rsidRPr="00520A83">
        <w:rPr>
          <w:lang w:val="en-US"/>
        </w:rPr>
        <w:t>) + F</w:t>
      </w:r>
      <w:r w:rsidRPr="00520A83">
        <w:rPr>
          <w:vertAlign w:val="subscript"/>
          <w:lang w:val="en-US"/>
        </w:rPr>
        <w:t xml:space="preserve">2 </w:t>
      </w:r>
      <w:r w:rsidRPr="00520A83">
        <w:rPr>
          <w:lang w:val="en-US"/>
        </w:rPr>
        <w:t>x A(RC</w:t>
      </w:r>
      <w:r w:rsidRPr="00520A83">
        <w:rPr>
          <w:vertAlign w:val="subscript"/>
          <w:lang w:val="en-US"/>
        </w:rPr>
        <w:t>2</w:t>
      </w:r>
      <w:r w:rsidRPr="00520A83">
        <w:rPr>
          <w:lang w:val="en-US"/>
        </w:rPr>
        <w:t>) + ….. + F</w:t>
      </w:r>
      <w:r w:rsidRPr="00520A83">
        <w:rPr>
          <w:vertAlign w:val="subscript"/>
          <w:lang w:val="en-US"/>
        </w:rPr>
        <w:t xml:space="preserve">n </w:t>
      </w:r>
      <w:r w:rsidRPr="00520A83">
        <w:rPr>
          <w:lang w:val="en-US"/>
        </w:rPr>
        <w:t>x A(RC</w:t>
      </w:r>
      <w:r w:rsidRPr="00520A83">
        <w:rPr>
          <w:vertAlign w:val="subscript"/>
          <w:lang w:val="en-US"/>
        </w:rPr>
        <w:t>n</w:t>
      </w:r>
      <w:r w:rsidRPr="00520A83">
        <w:rPr>
          <w:lang w:val="en-US"/>
        </w:rPr>
        <w:t>),</w:t>
      </w:r>
    </w:p>
    <w:p w:rsidR="0059754E" w:rsidRPr="00520A83" w:rsidRDefault="0059754E" w:rsidP="0059754E">
      <w:pPr>
        <w:rPr>
          <w:lang w:val="en-US"/>
        </w:rPr>
      </w:pPr>
      <w:r w:rsidRPr="00520A83">
        <w:rPr>
          <w:lang w:val="en-US"/>
        </w:rPr>
        <w:t xml:space="preserve">where </w:t>
      </w:r>
      <w:r w:rsidR="00213995" w:rsidRPr="00520A83">
        <w:rPr>
          <w:lang w:val="en-US"/>
        </w:rPr>
        <w:t xml:space="preserve">n is the release mode, </w:t>
      </w:r>
      <w:r w:rsidRPr="00520A83">
        <w:rPr>
          <w:lang w:val="en-US"/>
        </w:rPr>
        <w:t>F</w:t>
      </w:r>
      <w:r w:rsidR="00213995" w:rsidRPr="00520A83">
        <w:rPr>
          <w:vertAlign w:val="subscript"/>
          <w:lang w:val="en-US"/>
        </w:rPr>
        <w:t>n</w:t>
      </w:r>
      <w:r w:rsidRPr="00520A83">
        <w:rPr>
          <w:lang w:val="en-US"/>
        </w:rPr>
        <w:t xml:space="preserve"> is the frequency of the release category RC</w:t>
      </w:r>
      <w:r w:rsidR="00213995" w:rsidRPr="00520A83">
        <w:rPr>
          <w:vertAlign w:val="subscript"/>
          <w:lang w:val="en-US"/>
        </w:rPr>
        <w:t>n</w:t>
      </w:r>
      <w:r w:rsidRPr="00520A83">
        <w:rPr>
          <w:vertAlign w:val="subscript"/>
          <w:lang w:val="en-US"/>
        </w:rPr>
        <w:t xml:space="preserve"> </w:t>
      </w:r>
      <w:r w:rsidR="00213995" w:rsidRPr="00520A83">
        <w:rPr>
          <w:lang w:val="en-US"/>
        </w:rPr>
        <w:t>for the n mode</w:t>
      </w:r>
      <w:r w:rsidR="00213995" w:rsidRPr="00520A83">
        <w:rPr>
          <w:vertAlign w:val="subscript"/>
          <w:lang w:val="en-US"/>
        </w:rPr>
        <w:t xml:space="preserve"> </w:t>
      </w:r>
      <w:r w:rsidRPr="00520A83">
        <w:rPr>
          <w:lang w:val="en-US"/>
        </w:rPr>
        <w:t>and A(RC</w:t>
      </w:r>
      <w:r w:rsidR="00213995" w:rsidRPr="00520A83">
        <w:rPr>
          <w:vertAlign w:val="subscript"/>
          <w:lang w:val="en-US"/>
        </w:rPr>
        <w:t>n</w:t>
      </w:r>
      <w:r w:rsidRPr="00520A83">
        <w:rPr>
          <w:lang w:val="en-US"/>
        </w:rPr>
        <w:t>) is the amplitude of the consequence calculated for the release category RC</w:t>
      </w:r>
      <w:r w:rsidR="00213995" w:rsidRPr="00520A83">
        <w:rPr>
          <w:vertAlign w:val="subscript"/>
          <w:lang w:val="en-US"/>
        </w:rPr>
        <w:t>n</w:t>
      </w:r>
      <w:r w:rsidRPr="00520A83">
        <w:rPr>
          <w:lang w:val="en-US"/>
        </w:rPr>
        <w:t xml:space="preserve"> </w:t>
      </w:r>
      <w:r w:rsidR="00213995" w:rsidRPr="00520A83">
        <w:rPr>
          <w:lang w:val="en-US"/>
        </w:rPr>
        <w:t>(in Bq)</w:t>
      </w:r>
      <w:r w:rsidR="00FF038D" w:rsidRPr="00520A83">
        <w:rPr>
          <w:lang w:val="en-US"/>
        </w:rPr>
        <w:t>.</w:t>
      </w:r>
    </w:p>
    <w:p w:rsidR="0059754E" w:rsidRPr="00520A83" w:rsidRDefault="0059754E" w:rsidP="0059754E">
      <w:pPr>
        <w:rPr>
          <w:lang w:val="en-US"/>
        </w:rPr>
      </w:pPr>
      <w:r w:rsidRPr="00520A83">
        <w:rPr>
          <w:lang w:val="en-US"/>
        </w:rPr>
        <w:t>This type of evaluation may be applied whatever the nature of consequence calculated but this has significance only if release categories are defined such as:</w:t>
      </w:r>
    </w:p>
    <w:p w:rsidR="0059754E" w:rsidRPr="00520A83" w:rsidRDefault="0059754E" w:rsidP="0059754E">
      <w:pPr>
        <w:jc w:val="left"/>
        <w:rPr>
          <w:lang w:val="en-US"/>
        </w:rPr>
      </w:pPr>
      <w:r w:rsidRPr="00520A83">
        <w:rPr>
          <w:lang w:val="en-US"/>
        </w:rPr>
        <w:t>F</w:t>
      </w:r>
      <w:r w:rsidRPr="00520A83">
        <w:rPr>
          <w:vertAlign w:val="subscript"/>
          <w:lang w:val="en-US"/>
        </w:rPr>
        <w:t>1</w:t>
      </w:r>
      <w:r w:rsidR="00B76293" w:rsidRPr="00520A83">
        <w:rPr>
          <w:lang w:val="en-US"/>
        </w:rPr>
        <w:t>(RC</w:t>
      </w:r>
      <w:r w:rsidR="00B76293" w:rsidRPr="00520A83">
        <w:rPr>
          <w:vertAlign w:val="subscript"/>
          <w:lang w:val="en-US"/>
        </w:rPr>
        <w:t>1</w:t>
      </w:r>
      <w:r w:rsidR="00B76293" w:rsidRPr="00520A83">
        <w:rPr>
          <w:lang w:val="en-US"/>
        </w:rPr>
        <w:t xml:space="preserve">) </w:t>
      </w:r>
      <w:r w:rsidRPr="00520A83">
        <w:rPr>
          <w:lang w:val="en-US"/>
        </w:rPr>
        <w:t>+ F</w:t>
      </w:r>
      <w:r w:rsidRPr="00520A83">
        <w:rPr>
          <w:vertAlign w:val="subscript"/>
          <w:lang w:val="en-US"/>
        </w:rPr>
        <w:t>2</w:t>
      </w:r>
      <w:r w:rsidR="00B76293" w:rsidRPr="00520A83">
        <w:rPr>
          <w:lang w:val="en-US"/>
        </w:rPr>
        <w:t>(RC</w:t>
      </w:r>
      <w:r w:rsidR="00B76293" w:rsidRPr="00520A83">
        <w:rPr>
          <w:vertAlign w:val="subscript"/>
          <w:lang w:val="en-US"/>
        </w:rPr>
        <w:t>2</w:t>
      </w:r>
      <w:r w:rsidR="00B76293" w:rsidRPr="00520A83">
        <w:rPr>
          <w:lang w:val="en-US"/>
        </w:rPr>
        <w:t>)</w:t>
      </w:r>
      <w:r w:rsidRPr="00520A83">
        <w:rPr>
          <w:lang w:val="en-US"/>
        </w:rPr>
        <w:t>+ ….. F</w:t>
      </w:r>
      <w:r w:rsidR="007A3BC4" w:rsidRPr="00520A83">
        <w:rPr>
          <w:vertAlign w:val="subscript"/>
          <w:lang w:val="en-US"/>
        </w:rPr>
        <w:t>n</w:t>
      </w:r>
      <w:r w:rsidR="00B76293" w:rsidRPr="00520A83">
        <w:rPr>
          <w:lang w:val="en-US"/>
        </w:rPr>
        <w:t>(RC</w:t>
      </w:r>
      <w:r w:rsidR="00B76293" w:rsidRPr="00520A83">
        <w:rPr>
          <w:vertAlign w:val="subscript"/>
          <w:lang w:val="en-US"/>
        </w:rPr>
        <w:t>n</w:t>
      </w:r>
      <w:r w:rsidR="00B76293" w:rsidRPr="00520A83">
        <w:rPr>
          <w:lang w:val="en-US"/>
        </w:rPr>
        <w:t>)</w:t>
      </w:r>
      <w:r w:rsidRPr="00520A83">
        <w:rPr>
          <w:lang w:val="en-US"/>
        </w:rPr>
        <w:t>= Total L1</w:t>
      </w:r>
      <w:r w:rsidR="007A3BC4" w:rsidRPr="00520A83">
        <w:rPr>
          <w:lang w:val="en-US"/>
        </w:rPr>
        <w:t xml:space="preserve"> </w:t>
      </w:r>
      <w:r w:rsidRPr="00520A83">
        <w:rPr>
          <w:lang w:val="en-US"/>
        </w:rPr>
        <w:t xml:space="preserve">PSA </w:t>
      </w:r>
      <w:r w:rsidR="00B76293" w:rsidRPr="00520A83">
        <w:rPr>
          <w:lang w:val="en-US"/>
        </w:rPr>
        <w:t>fuel</w:t>
      </w:r>
      <w:r w:rsidR="002370CA" w:rsidRPr="00520A83">
        <w:rPr>
          <w:lang w:val="en-US"/>
        </w:rPr>
        <w:t xml:space="preserve"> damage</w:t>
      </w:r>
      <w:r w:rsidR="00694A50">
        <w:rPr>
          <w:lang w:val="en-US"/>
        </w:rPr>
        <w:t xml:space="preserve"> frequency</w:t>
      </w:r>
      <w:r w:rsidRPr="00520A83">
        <w:rPr>
          <w:lang w:val="en-US"/>
        </w:rPr>
        <w:t>.</w:t>
      </w:r>
    </w:p>
    <w:p w:rsidR="0059754E" w:rsidRPr="00520A83" w:rsidRDefault="0059754E" w:rsidP="0059754E">
      <w:pPr>
        <w:rPr>
          <w:lang w:val="en-US"/>
        </w:rPr>
      </w:pPr>
      <w:r w:rsidRPr="00520A83">
        <w:rPr>
          <w:lang w:val="en-US"/>
        </w:rPr>
        <w:t>This can be applied for each “point” of an APET quantification, or each run in the case of Monte-Carlo simulation.</w:t>
      </w:r>
    </w:p>
    <w:p w:rsidR="0059754E" w:rsidRPr="00520A83" w:rsidRDefault="0059754E" w:rsidP="0059754E">
      <w:pPr>
        <w:rPr>
          <w:lang w:val="en-US"/>
        </w:rPr>
      </w:pPr>
      <w:r w:rsidRPr="00520A83">
        <w:rPr>
          <w:lang w:val="en-US"/>
        </w:rPr>
        <w:t xml:space="preserve">In L2 PSA consequences are typically calculated in terms of activity releases (in Bq) to the environment. It needs to be defined which isotopes should be considered (e.g. just I-131 and Cs-137, or a more complete set of radionuclides). In addition, the individual isotopes have different consequences in terms of health effects per unit of activity released. If for each relevant isotope a suitable factor can be defined which characterizes its relative health effect, the resulting total risk would be a measure which partly incorporates L3 PSA issues. </w:t>
      </w:r>
      <w:r w:rsidR="00392ABA" w:rsidRPr="00520A83">
        <w:rPr>
          <w:lang w:val="en-US"/>
        </w:rPr>
        <w:t xml:space="preserve">It must be noted that best practices recommend to </w:t>
      </w:r>
      <w:r w:rsidR="00F35AA4" w:rsidRPr="00520A83">
        <w:rPr>
          <w:lang w:val="en-US"/>
        </w:rPr>
        <w:t>include all radionuclide groups including noble gases in the assessment.</w:t>
      </w:r>
    </w:p>
    <w:p w:rsidR="00B85109" w:rsidRPr="00CF57A4" w:rsidRDefault="00B85109" w:rsidP="0059754E">
      <w:pPr>
        <w:rPr>
          <w:lang w:val="en-US"/>
        </w:rPr>
      </w:pPr>
      <w:r w:rsidRPr="00520A83">
        <w:rPr>
          <w:lang w:val="en-US"/>
        </w:rPr>
        <w:lastRenderedPageBreak/>
        <w:t xml:space="preserve">An example is proposed in the next section. It is a proposal by CCA (organization partner). The methodology was started under ASAMPSA2 (Chapter 6.4 of ASAMPSA2; Reference </w:t>
      </w:r>
      <w:r w:rsidR="00CD0CBE">
        <w:fldChar w:fldCharType="begin"/>
      </w:r>
      <w:r w:rsidR="00CD0CBE">
        <w:instrText xml:space="preserve"> REF _Ref319760151 \r \h  \* MERGEFORMAT </w:instrText>
      </w:r>
      <w:r w:rsidR="00CD0CBE">
        <w:fldChar w:fldCharType="separate"/>
      </w:r>
      <w:r w:rsidR="00B772CA" w:rsidRPr="00B772CA">
        <w:rPr>
          <w:lang w:val="en-US"/>
        </w:rPr>
        <w:t>[2]</w:t>
      </w:r>
      <w:r w:rsidR="00CD0CBE">
        <w:fldChar w:fldCharType="end"/>
      </w:r>
      <w:r w:rsidRPr="00520A83">
        <w:rPr>
          <w:lang w:val="en-US"/>
        </w:rPr>
        <w:t>, Volume 1, page 122) and developed much further</w:t>
      </w:r>
      <w:r w:rsidR="00525A1E" w:rsidRPr="00520A83">
        <w:rPr>
          <w:lang w:val="en-US"/>
        </w:rPr>
        <w:t xml:space="preserve">, see Reference </w:t>
      </w:r>
      <w:r w:rsidR="00CD0CBE">
        <w:fldChar w:fldCharType="begin"/>
      </w:r>
      <w:r w:rsidR="00CD0CBE">
        <w:instrText xml:space="preserve"> REF _Ref467697147 \r \h  \* MERGEFORMAT </w:instrText>
      </w:r>
      <w:r w:rsidR="00CD0CBE">
        <w:fldChar w:fldCharType="separate"/>
      </w:r>
      <w:r w:rsidR="00B772CA" w:rsidRPr="00B772CA">
        <w:rPr>
          <w:lang w:val="en-US"/>
        </w:rPr>
        <w:t>[43]</w:t>
      </w:r>
      <w:r w:rsidR="00CD0CBE">
        <w:fldChar w:fldCharType="end"/>
      </w:r>
      <w:r w:rsidR="00FC1710">
        <w:t xml:space="preserve"> and [</w:t>
      </w:r>
      <w:r w:rsidR="003F27DF">
        <w:t>114</w:t>
      </w:r>
      <w:r w:rsidR="00FC1710">
        <w:t>]</w:t>
      </w:r>
      <w:r w:rsidRPr="00520A83">
        <w:rPr>
          <w:lang w:val="en-US"/>
        </w:rPr>
        <w:t>.</w:t>
      </w:r>
    </w:p>
    <w:p w:rsidR="00B85109" w:rsidRPr="00520A83" w:rsidRDefault="00B85109" w:rsidP="000A56D1">
      <w:pPr>
        <w:pStyle w:val="Titre3"/>
        <w:rPr>
          <w:lang w:val="en-US"/>
        </w:rPr>
      </w:pPr>
      <w:bookmarkStart w:id="361" w:name="_Ref342665548"/>
      <w:bookmarkStart w:id="362" w:name="_Toc474430231"/>
      <w:r w:rsidRPr="00520A83">
        <w:rPr>
          <w:lang w:val="en-US"/>
        </w:rPr>
        <w:t>Common Risk Target methodology, CRT (Proposal by CCA)</w:t>
      </w:r>
      <w:bookmarkEnd w:id="361"/>
      <w:bookmarkEnd w:id="362"/>
    </w:p>
    <w:p w:rsidR="00B85109" w:rsidRPr="00520A83" w:rsidRDefault="00B85109" w:rsidP="000A56D1">
      <w:pPr>
        <w:pStyle w:val="Titre4"/>
        <w:numPr>
          <w:ilvl w:val="3"/>
          <w:numId w:val="156"/>
        </w:numPr>
      </w:pPr>
      <w:bookmarkStart w:id="363" w:name="_Ref473648872"/>
      <w:r w:rsidRPr="00520A83">
        <w:t xml:space="preserve">Definition of </w:t>
      </w:r>
      <w:r w:rsidR="00E0048A" w:rsidRPr="00520A83">
        <w:t xml:space="preserve">CRT </w:t>
      </w:r>
      <w:r w:rsidRPr="00520A83">
        <w:t>Risk Measure</w:t>
      </w:r>
      <w:bookmarkEnd w:id="363"/>
    </w:p>
    <w:p w:rsidR="00FF038D" w:rsidRPr="00520A83" w:rsidRDefault="00FF038D" w:rsidP="00FF038D">
      <w:pPr>
        <w:rPr>
          <w:lang w:val="en-US"/>
        </w:rPr>
      </w:pPr>
      <w:r w:rsidRPr="00520A83">
        <w:rPr>
          <w:lang w:val="en-US"/>
        </w:rPr>
        <w:t>The CRT methodology and risk target were developed to try to find a parameter complying with existing safety requirements and criteria published by IAEA. The following boundary conditions were taken into account by developing the methodology and deriving the parameter:</w:t>
      </w:r>
    </w:p>
    <w:p w:rsidR="00FF038D" w:rsidRPr="00520A83" w:rsidRDefault="00FF038D" w:rsidP="00FF038D">
      <w:pPr>
        <w:rPr>
          <w:lang w:val="en-US"/>
        </w:rPr>
      </w:pPr>
    </w:p>
    <w:p w:rsidR="00FA509C" w:rsidRDefault="00FF038D" w:rsidP="0042104F">
      <w:pPr>
        <w:numPr>
          <w:ilvl w:val="0"/>
          <w:numId w:val="170"/>
        </w:numPr>
        <w:spacing w:line="360" w:lineRule="auto"/>
        <w:rPr>
          <w:lang w:val="en-US"/>
        </w:rPr>
      </w:pPr>
      <w:r w:rsidRPr="00520A83">
        <w:rPr>
          <w:lang w:val="en-US"/>
        </w:rPr>
        <w:t>It is the parameter representing risk (</w:t>
      </w:r>
      <w:r w:rsidR="00F35AA4" w:rsidRPr="00520A83">
        <w:rPr>
          <w:lang w:val="en-US"/>
        </w:rPr>
        <w:t xml:space="preserve">defined as the </w:t>
      </w:r>
      <w:r w:rsidRPr="00520A83">
        <w:rPr>
          <w:lang w:val="en-US"/>
        </w:rPr>
        <w:t>product of frequency and consequences expressed in Bq).</w:t>
      </w:r>
    </w:p>
    <w:p w:rsidR="00FA509C" w:rsidRDefault="00F90A26" w:rsidP="0042104F">
      <w:pPr>
        <w:numPr>
          <w:ilvl w:val="0"/>
          <w:numId w:val="170"/>
        </w:numPr>
        <w:spacing w:line="360" w:lineRule="auto"/>
        <w:rPr>
          <w:lang w:val="en-US"/>
        </w:rPr>
      </w:pPr>
      <w:r w:rsidRPr="00520A83">
        <w:rPr>
          <w:lang w:val="en-US"/>
        </w:rPr>
        <w:t xml:space="preserve">It should follow constant risk principle, graded approach and it should represent balanced plant with no extreme contributions of particular sequences to the total risk. </w:t>
      </w:r>
    </w:p>
    <w:p w:rsidR="00FA509C" w:rsidRDefault="00F90A26" w:rsidP="0042104F">
      <w:pPr>
        <w:numPr>
          <w:ilvl w:val="0"/>
          <w:numId w:val="170"/>
        </w:numPr>
        <w:spacing w:line="360" w:lineRule="auto"/>
        <w:rPr>
          <w:lang w:val="en-US"/>
        </w:rPr>
      </w:pPr>
      <w:r w:rsidRPr="00520A83">
        <w:rPr>
          <w:lang w:val="en-US"/>
        </w:rPr>
        <w:t xml:space="preserve">It should comply with multi-unit site requirement.  </w:t>
      </w:r>
    </w:p>
    <w:p w:rsidR="00FA509C" w:rsidRDefault="00F90A26" w:rsidP="0042104F">
      <w:pPr>
        <w:numPr>
          <w:ilvl w:val="0"/>
          <w:numId w:val="170"/>
        </w:numPr>
        <w:spacing w:line="360" w:lineRule="auto"/>
        <w:rPr>
          <w:lang w:val="en-US"/>
        </w:rPr>
      </w:pPr>
      <w:r w:rsidRPr="00520A83">
        <w:rPr>
          <w:lang w:val="en-US"/>
        </w:rPr>
        <w:t xml:space="preserve">It should be a quantitative parameter. </w:t>
      </w:r>
    </w:p>
    <w:p w:rsidR="00FA509C" w:rsidRDefault="00F90A26" w:rsidP="0042104F">
      <w:pPr>
        <w:numPr>
          <w:ilvl w:val="0"/>
          <w:numId w:val="170"/>
        </w:numPr>
        <w:spacing w:line="360" w:lineRule="auto"/>
        <w:rPr>
          <w:lang w:val="en-US"/>
        </w:rPr>
      </w:pPr>
      <w:r w:rsidRPr="00520A83">
        <w:rPr>
          <w:lang w:val="en-US"/>
        </w:rPr>
        <w:t xml:space="preserve">Its quantitative value should be comparable with risks stemming from other industrial activities. </w:t>
      </w:r>
    </w:p>
    <w:p w:rsidR="00FA509C" w:rsidRDefault="00F90A26" w:rsidP="0042104F">
      <w:pPr>
        <w:numPr>
          <w:ilvl w:val="0"/>
          <w:numId w:val="170"/>
        </w:numPr>
        <w:spacing w:line="360" w:lineRule="auto"/>
        <w:rPr>
          <w:lang w:val="en-US"/>
        </w:rPr>
      </w:pPr>
      <w:r w:rsidRPr="00520A83">
        <w:rPr>
          <w:lang w:val="en-US"/>
        </w:rPr>
        <w:t xml:space="preserve">It should take into account all radiological sources in the site. </w:t>
      </w:r>
    </w:p>
    <w:p w:rsidR="00FA509C" w:rsidRDefault="00F90A26" w:rsidP="0042104F">
      <w:pPr>
        <w:numPr>
          <w:ilvl w:val="0"/>
          <w:numId w:val="170"/>
        </w:numPr>
        <w:spacing w:line="360" w:lineRule="auto"/>
        <w:rPr>
          <w:lang w:val="en-US"/>
        </w:rPr>
      </w:pPr>
      <w:r w:rsidRPr="00520A83">
        <w:rPr>
          <w:lang w:val="en-US"/>
        </w:rPr>
        <w:t>It should be objective as a contrary to subjective.</w:t>
      </w:r>
    </w:p>
    <w:p w:rsidR="00FA509C" w:rsidRDefault="00F90A26" w:rsidP="0042104F">
      <w:pPr>
        <w:numPr>
          <w:ilvl w:val="0"/>
          <w:numId w:val="170"/>
        </w:numPr>
        <w:spacing w:line="360" w:lineRule="auto"/>
        <w:rPr>
          <w:lang w:val="en-US"/>
        </w:rPr>
      </w:pPr>
      <w:r w:rsidRPr="00520A83">
        <w:rPr>
          <w:lang w:val="en-US"/>
        </w:rPr>
        <w:t>It should comply with harmonization requirements.</w:t>
      </w:r>
    </w:p>
    <w:p w:rsidR="00FA509C" w:rsidRDefault="00F90A26" w:rsidP="0042104F">
      <w:pPr>
        <w:numPr>
          <w:ilvl w:val="0"/>
          <w:numId w:val="170"/>
        </w:numPr>
        <w:spacing w:line="360" w:lineRule="auto"/>
        <w:rPr>
          <w:lang w:val="en-US"/>
        </w:rPr>
      </w:pPr>
      <w:r w:rsidRPr="00520A83">
        <w:rPr>
          <w:lang w:val="en-US"/>
        </w:rPr>
        <w:t>It should be the maximum admissible risk value for a safe plant.</w:t>
      </w:r>
    </w:p>
    <w:p w:rsidR="00FA509C" w:rsidRDefault="00F90A26" w:rsidP="0042104F">
      <w:pPr>
        <w:numPr>
          <w:ilvl w:val="0"/>
          <w:numId w:val="170"/>
        </w:numPr>
        <w:spacing w:line="360" w:lineRule="auto"/>
      </w:pPr>
      <w:r w:rsidRPr="00520A83">
        <w:rPr>
          <w:lang w:val="en-US"/>
        </w:rPr>
        <w:t xml:space="preserve">It should guarantee adequate scientific level and credibility by being technically derived not only designated. </w:t>
      </w:r>
      <w:r w:rsidRPr="00520A83">
        <w:t>(</w:t>
      </w:r>
      <w:r w:rsidRPr="00520A83">
        <w:rPr>
          <w:lang w:val="en-US"/>
        </w:rPr>
        <w:t>And as</w:t>
      </w:r>
      <w:r w:rsidR="00CE2071" w:rsidRPr="00520A83">
        <w:rPr>
          <w:lang w:val="en-US"/>
        </w:rPr>
        <w:t xml:space="preserve"> </w:t>
      </w:r>
      <w:r w:rsidRPr="00520A83">
        <w:rPr>
          <w:lang w:val="en-US"/>
        </w:rPr>
        <w:t xml:space="preserve">much </w:t>
      </w:r>
      <w:r w:rsidR="00853725" w:rsidRPr="00520A83">
        <w:rPr>
          <w:lang w:val="en-US"/>
        </w:rPr>
        <w:t xml:space="preserve">as </w:t>
      </w:r>
      <w:r w:rsidRPr="00520A83">
        <w:rPr>
          <w:lang w:val="en-US"/>
        </w:rPr>
        <w:t>possible, also accepted by wider scientific public</w:t>
      </w:r>
      <w:r w:rsidRPr="00520A83">
        <w:t>.)</w:t>
      </w:r>
    </w:p>
    <w:p w:rsidR="00F90A26" w:rsidRPr="00520A83" w:rsidRDefault="00F90A26" w:rsidP="00F90A26">
      <w:pPr>
        <w:rPr>
          <w:lang w:val="en-US"/>
        </w:rPr>
      </w:pPr>
    </w:p>
    <w:p w:rsidR="00F35AA4" w:rsidRPr="00520A83" w:rsidRDefault="00F35AA4" w:rsidP="00F35AA4">
      <w:pPr>
        <w:rPr>
          <w:lang w:val="en-US"/>
        </w:rPr>
      </w:pPr>
      <w:r w:rsidRPr="00520A83">
        <w:rPr>
          <w:lang w:val="en-US"/>
        </w:rPr>
        <w:t xml:space="preserve">The INES scale </w:t>
      </w:r>
      <w:r w:rsidR="00613B53" w:rsidRPr="00520A83">
        <w:rPr>
          <w:lang w:val="en-US"/>
        </w:rPr>
        <w:t xml:space="preserve">(see </w:t>
      </w:r>
      <w:r w:rsidR="00CD0CBE">
        <w:fldChar w:fldCharType="begin"/>
      </w:r>
      <w:r w:rsidR="00CD0CBE">
        <w:instrText xml:space="preserve"> REF _Ref342830429 \h  \* MERGEFORMAT </w:instrText>
      </w:r>
      <w:r w:rsidR="00CD0CBE">
        <w:fldChar w:fldCharType="separate"/>
      </w:r>
      <w:r w:rsidR="00B772CA" w:rsidRPr="00B772CA">
        <w:rPr>
          <w:lang w:val="en-US"/>
        </w:rPr>
        <w:t>Table</w:t>
      </w:r>
      <w:r w:rsidR="00B772CA" w:rsidRPr="00520A83">
        <w:t xml:space="preserve"> </w:t>
      </w:r>
      <w:r w:rsidR="00B772CA">
        <w:t>5</w:t>
      </w:r>
      <w:r w:rsidR="00CD0CBE">
        <w:fldChar w:fldCharType="end"/>
      </w:r>
      <w:r w:rsidR="00613B53" w:rsidRPr="00520A83">
        <w:rPr>
          <w:lang w:val="en-US"/>
        </w:rPr>
        <w:t xml:space="preserve"> and </w:t>
      </w:r>
      <w:r w:rsidR="00CD0CBE">
        <w:fldChar w:fldCharType="begin"/>
      </w:r>
      <w:r w:rsidR="00CD0CBE">
        <w:instrText xml:space="preserve"> REF _Ref342830483 \h  \* MERGEFORMAT </w:instrText>
      </w:r>
      <w:r w:rsidR="00CD0CBE">
        <w:fldChar w:fldCharType="separate"/>
      </w:r>
      <w:r w:rsidR="00B772CA" w:rsidRPr="00520A83">
        <w:t xml:space="preserve">Figure </w:t>
      </w:r>
      <w:r w:rsidR="00B772CA">
        <w:rPr>
          <w:noProof/>
        </w:rPr>
        <w:t>3</w:t>
      </w:r>
      <w:r w:rsidR="00CD0CBE">
        <w:fldChar w:fldCharType="end"/>
      </w:r>
      <w:r w:rsidR="00613B53" w:rsidRPr="00520A83">
        <w:rPr>
          <w:lang w:val="en-US"/>
        </w:rPr>
        <w:t xml:space="preserve">) </w:t>
      </w:r>
      <w:r w:rsidRPr="00520A83">
        <w:rPr>
          <w:lang w:val="en-US"/>
        </w:rPr>
        <w:t>consists of grades indicating severity of an accident, from which the higher ones are based on “I-131 equivalent” releases in Bq. The expression “I131 equivalent” means that all released nuclides are to be converted to I-131 using radiological equivalence (multiplication factors) corresponding to their health impact as the fraction/multiple of I</w:t>
      </w:r>
      <w:r w:rsidR="00984D08">
        <w:rPr>
          <w:lang w:val="en-US"/>
        </w:rPr>
        <w:t>-</w:t>
      </w:r>
      <w:r w:rsidRPr="00520A83">
        <w:rPr>
          <w:lang w:val="en-US"/>
        </w:rPr>
        <w:t xml:space="preserve">131 which is in this sense set to 1 </w:t>
      </w:r>
      <w:r w:rsidR="00CD0CBE">
        <w:fldChar w:fldCharType="begin"/>
      </w:r>
      <w:r w:rsidR="00CD0CBE">
        <w:instrText xml:space="preserve"> REF _Ref444078422 \r \h  \* MERGEFORMAT </w:instrText>
      </w:r>
      <w:r w:rsidR="00CD0CBE">
        <w:fldChar w:fldCharType="separate"/>
      </w:r>
      <w:r w:rsidR="00B772CA" w:rsidRPr="00B772CA">
        <w:rPr>
          <w:lang w:val="en-US"/>
        </w:rPr>
        <w:t>[108]</w:t>
      </w:r>
      <w:r w:rsidR="00CD0CBE">
        <w:fldChar w:fldCharType="end"/>
      </w:r>
      <w:r w:rsidRPr="00520A83">
        <w:rPr>
          <w:lang w:val="en-US"/>
        </w:rPr>
        <w:t>, Appendix I]. The corresponding INES grade should be only subsequently assigned to the total value of I</w:t>
      </w:r>
      <w:r w:rsidR="00984D08">
        <w:rPr>
          <w:lang w:val="en-US"/>
        </w:rPr>
        <w:t>-</w:t>
      </w:r>
      <w:r w:rsidRPr="00520A83">
        <w:rPr>
          <w:lang w:val="en-US"/>
        </w:rPr>
        <w:t xml:space="preserve">131 equivalent releases in Bq. </w:t>
      </w:r>
      <w:r w:rsidR="00CD0CBE">
        <w:rPr>
          <w:lang w:val="en-US"/>
        </w:rPr>
        <w:t xml:space="preserve">This should be done while evaluating the severity of real accidents, for which except the extent of releases also other aspects are taken into account for final INES evaluation. (Details see the reference [108]). The same principle for release grouping in Bq by INES grades is used in CRT methodology for L2 PSA. </w:t>
      </w:r>
      <w:r w:rsidRPr="00520A83">
        <w:rPr>
          <w:lang w:val="en-US"/>
        </w:rPr>
        <w:t xml:space="preserve">Some examples of radiological equivalences are available in INES Manual </w:t>
      </w:r>
      <w:r w:rsidR="00CD0CBE">
        <w:fldChar w:fldCharType="begin"/>
      </w:r>
      <w:r w:rsidR="00CD0CBE">
        <w:instrText xml:space="preserve"> REF _Ref444078422 \r \h  \* MERGEFORMAT </w:instrText>
      </w:r>
      <w:r w:rsidR="00CD0CBE">
        <w:fldChar w:fldCharType="separate"/>
      </w:r>
      <w:r w:rsidR="00B772CA" w:rsidRPr="00B772CA">
        <w:rPr>
          <w:lang w:val="en-US"/>
        </w:rPr>
        <w:t>[108]</w:t>
      </w:r>
      <w:r w:rsidR="00CD0CBE">
        <w:fldChar w:fldCharType="end"/>
      </w:r>
      <w:r w:rsidRPr="00520A83">
        <w:rPr>
          <w:lang w:val="en-US"/>
        </w:rPr>
        <w:t xml:space="preserve">. The International Commission on Radiological Protection (ICRP) keeps updating the tables for most possible conversion factors </w:t>
      </w:r>
      <w:r w:rsidR="00CD0CBE">
        <w:fldChar w:fldCharType="begin"/>
      </w:r>
      <w:r w:rsidR="00CD0CBE">
        <w:instrText xml:space="preserve"> REF _Ref339629543 \r \h  \* MERGEFORMAT </w:instrText>
      </w:r>
      <w:r w:rsidR="00CD0CBE">
        <w:fldChar w:fldCharType="separate"/>
      </w:r>
      <w:r w:rsidR="00B772CA" w:rsidRPr="00B772CA">
        <w:rPr>
          <w:lang w:val="en-US"/>
        </w:rPr>
        <w:t>[116]</w:t>
      </w:r>
      <w:r w:rsidR="00CD0CBE">
        <w:fldChar w:fldCharType="end"/>
      </w:r>
      <w:r w:rsidRPr="00520A83">
        <w:rPr>
          <w:lang w:val="en-US"/>
        </w:rPr>
        <w:t>. They are also inbuilt in some calculation tools e.g. MACCS2.</w:t>
      </w:r>
    </w:p>
    <w:p w:rsidR="00613B53" w:rsidRPr="00520A83" w:rsidRDefault="00613B53" w:rsidP="00F35AA4">
      <w:pPr>
        <w:rPr>
          <w:lang w:val="en-US"/>
        </w:rPr>
      </w:pPr>
      <w:r w:rsidRPr="00520A83">
        <w:rPr>
          <w:lang w:val="en-US"/>
        </w:rPr>
        <w:br w:type="page"/>
      </w:r>
    </w:p>
    <w:p w:rsidR="00613B53" w:rsidRPr="00520A83" w:rsidRDefault="00613B53" w:rsidP="00F35AA4">
      <w:pPr>
        <w:rPr>
          <w:lang w:val="en-US"/>
        </w:rPr>
      </w:pPr>
    </w:p>
    <w:p w:rsidR="00613B53" w:rsidRPr="00520A83" w:rsidRDefault="00613B53" w:rsidP="00613B53">
      <w:pPr>
        <w:pStyle w:val="Lgende"/>
      </w:pPr>
      <w:bookmarkStart w:id="364" w:name="_Ref342830429"/>
      <w:bookmarkStart w:id="365" w:name="_Ref342830425"/>
      <w:bookmarkStart w:id="366" w:name="_Toc474428901"/>
      <w:r w:rsidRPr="00520A83">
        <w:t xml:space="preserve">Table </w:t>
      </w:r>
      <w:r w:rsidR="009E768B" w:rsidRPr="00520A83">
        <w:fldChar w:fldCharType="begin"/>
      </w:r>
      <w:r w:rsidRPr="00520A83">
        <w:instrText xml:space="preserve"> SEQ Table \* ARABIC </w:instrText>
      </w:r>
      <w:r w:rsidR="009E768B" w:rsidRPr="00520A83">
        <w:fldChar w:fldCharType="separate"/>
      </w:r>
      <w:r w:rsidR="00B772CA">
        <w:rPr>
          <w:noProof/>
        </w:rPr>
        <w:t>5</w:t>
      </w:r>
      <w:r w:rsidR="009E768B" w:rsidRPr="00520A83">
        <w:fldChar w:fldCharType="end"/>
      </w:r>
      <w:bookmarkEnd w:id="364"/>
      <w:r w:rsidRPr="00520A83">
        <w:t>: General Criteria for Rating Events in INES</w:t>
      </w:r>
      <w:bookmarkEnd w:id="365"/>
      <w:bookmarkEnd w:id="366"/>
    </w:p>
    <w:p w:rsidR="00613B53" w:rsidRPr="00520A83" w:rsidRDefault="00613B53" w:rsidP="00613B53">
      <w:pPr>
        <w:rPr>
          <w:lang w:val="en-US"/>
        </w:rPr>
      </w:pPr>
      <w:r w:rsidRPr="00520A83">
        <w:rPr>
          <w:noProof/>
        </w:rPr>
        <w:drawing>
          <wp:inline distT="0" distB="0" distL="0" distR="0" wp14:anchorId="61080849" wp14:editId="0C32BD87">
            <wp:extent cx="5941695" cy="3231736"/>
            <wp:effectExtent l="0" t="0" r="1905" b="6985"/>
            <wp:docPr id="56"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1695" cy="3231736"/>
                    </a:xfrm>
                    <a:prstGeom prst="rect">
                      <a:avLst/>
                    </a:prstGeom>
                  </pic:spPr>
                </pic:pic>
              </a:graphicData>
            </a:graphic>
          </wp:inline>
        </w:drawing>
      </w:r>
    </w:p>
    <w:p w:rsidR="00613B53" w:rsidRPr="00520A83" w:rsidRDefault="00613B53" w:rsidP="00613B53">
      <w:pPr>
        <w:rPr>
          <w:lang w:val="en-US"/>
        </w:rPr>
      </w:pPr>
    </w:p>
    <w:p w:rsidR="00613B53" w:rsidRPr="00520A83" w:rsidRDefault="00613B53" w:rsidP="00613B53">
      <w:pPr>
        <w:rPr>
          <w:lang w:val="en-US"/>
        </w:rPr>
      </w:pPr>
    </w:p>
    <w:p w:rsidR="00613B53" w:rsidRPr="00520A83" w:rsidRDefault="00613B53" w:rsidP="00613B53">
      <w:pPr>
        <w:keepNext/>
      </w:pPr>
      <w:r w:rsidRPr="00520A83">
        <w:rPr>
          <w:noProof/>
        </w:rPr>
        <w:drawing>
          <wp:inline distT="0" distB="0" distL="0" distR="0" wp14:anchorId="119D91D4" wp14:editId="64F024D1">
            <wp:extent cx="5305851" cy="3632835"/>
            <wp:effectExtent l="19050" t="19050" r="28575" b="2476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6038" cy="3632963"/>
                    </a:xfrm>
                    <a:prstGeom prst="rect">
                      <a:avLst/>
                    </a:prstGeom>
                    <a:noFill/>
                    <a:ln>
                      <a:solidFill>
                        <a:schemeClr val="accent1"/>
                      </a:solidFill>
                    </a:ln>
                  </pic:spPr>
                </pic:pic>
              </a:graphicData>
            </a:graphic>
          </wp:inline>
        </w:drawing>
      </w:r>
    </w:p>
    <w:p w:rsidR="00613B53" w:rsidRPr="00520A83" w:rsidRDefault="00613B53" w:rsidP="00613B53">
      <w:pPr>
        <w:pStyle w:val="Lgende"/>
      </w:pPr>
      <w:bookmarkStart w:id="367" w:name="_Ref342830483"/>
      <w:bookmarkStart w:id="368" w:name="_Toc474428910"/>
      <w:r w:rsidRPr="00520A83">
        <w:t xml:space="preserve">Figure </w:t>
      </w:r>
      <w:r w:rsidR="009E768B" w:rsidRPr="00520A83">
        <w:fldChar w:fldCharType="begin"/>
      </w:r>
      <w:r w:rsidRPr="00520A83">
        <w:instrText xml:space="preserve"> SEQ Figure \* ARABIC </w:instrText>
      </w:r>
      <w:r w:rsidR="009E768B" w:rsidRPr="00520A83">
        <w:fldChar w:fldCharType="separate"/>
      </w:r>
      <w:r w:rsidR="00B772CA">
        <w:rPr>
          <w:noProof/>
        </w:rPr>
        <w:t>3</w:t>
      </w:r>
      <w:r w:rsidR="009E768B" w:rsidRPr="00520A83">
        <w:fldChar w:fldCharType="end"/>
      </w:r>
      <w:bookmarkEnd w:id="367"/>
      <w:r w:rsidRPr="00520A83">
        <w:t> : INES Scale</w:t>
      </w:r>
      <w:bookmarkEnd w:id="368"/>
    </w:p>
    <w:p w:rsidR="00F90A26" w:rsidRPr="00520A83" w:rsidRDefault="00F90A26" w:rsidP="00F90A26">
      <w:pPr>
        <w:rPr>
          <w:lang w:val="en-US"/>
        </w:rPr>
      </w:pPr>
    </w:p>
    <w:p w:rsidR="00F90A26" w:rsidRPr="00520A83" w:rsidRDefault="00697E1F" w:rsidP="00CF57A4">
      <w:pPr>
        <w:pStyle w:val="Titre4"/>
        <w:numPr>
          <w:ilvl w:val="3"/>
          <w:numId w:val="156"/>
        </w:numPr>
      </w:pPr>
      <w:r w:rsidRPr="00520A83">
        <w:lastRenderedPageBreak/>
        <w:t>Assessment of Absolute Consequences and Risks per Accident</w:t>
      </w:r>
    </w:p>
    <w:p w:rsidR="00F90A26" w:rsidRPr="00520A83" w:rsidRDefault="00CD0CBE">
      <w:pPr>
        <w:rPr>
          <w:iCs/>
          <w:color w:val="000000"/>
          <w:lang w:val="en-US"/>
        </w:rPr>
      </w:pPr>
      <w:r>
        <w:fldChar w:fldCharType="begin"/>
      </w:r>
      <w:r>
        <w:instrText xml:space="preserve"> REF _Ref339630838 \h  \* MERGEFORMAT </w:instrText>
      </w:r>
      <w:r>
        <w:fldChar w:fldCharType="separate"/>
      </w:r>
      <w:r w:rsidR="00B772CA">
        <w:t xml:space="preserve">Table </w:t>
      </w:r>
      <w:r w:rsidR="00B772CA">
        <w:rPr>
          <w:noProof/>
        </w:rPr>
        <w:t>6</w:t>
      </w:r>
      <w:r>
        <w:fldChar w:fldCharType="end"/>
      </w:r>
      <w:r w:rsidR="0080522C" w:rsidRPr="00520A83">
        <w:rPr>
          <w:iCs/>
          <w:lang w:val="en-US"/>
        </w:rPr>
        <w:t xml:space="preserve"> </w:t>
      </w:r>
      <w:r w:rsidR="00F90A26" w:rsidRPr="00520A83">
        <w:rPr>
          <w:iCs/>
          <w:color w:val="000000"/>
          <w:lang w:val="en-US"/>
        </w:rPr>
        <w:t>shows average expected results or rather range of expected results for severe accident consequences based on PSA L2 analys</w:t>
      </w:r>
      <w:r w:rsidR="00F35AA4" w:rsidRPr="00520A83">
        <w:rPr>
          <w:iCs/>
          <w:color w:val="000000"/>
          <w:lang w:val="en-US"/>
        </w:rPr>
        <w:t>e</w:t>
      </w:r>
      <w:r w:rsidR="00F90A26" w:rsidRPr="00520A83">
        <w:rPr>
          <w:iCs/>
          <w:color w:val="000000"/>
          <w:lang w:val="en-US"/>
        </w:rPr>
        <w:t xml:space="preserve">s of different plants in different sites (e.g. </w:t>
      </w:r>
      <w:r>
        <w:fldChar w:fldCharType="begin"/>
      </w:r>
      <w:r>
        <w:instrText xml:space="preserve"> REF _Ref339629609 \r \h  \* MERGEFORMAT </w:instrText>
      </w:r>
      <w:r>
        <w:fldChar w:fldCharType="separate"/>
      </w:r>
      <w:r w:rsidR="00B772CA" w:rsidRPr="00B772CA">
        <w:rPr>
          <w:iCs/>
          <w:color w:val="000000"/>
          <w:lang w:val="en-US"/>
        </w:rPr>
        <w:t>[117]</w:t>
      </w:r>
      <w:r>
        <w:fldChar w:fldCharType="end"/>
      </w:r>
      <w:r w:rsidR="00F90A26" w:rsidRPr="00520A83">
        <w:rPr>
          <w:iCs/>
          <w:color w:val="000000"/>
          <w:lang w:val="en-US"/>
        </w:rPr>
        <w:t xml:space="preserve">, </w:t>
      </w:r>
      <w:r>
        <w:fldChar w:fldCharType="begin"/>
      </w:r>
      <w:r>
        <w:instrText xml:space="preserve"> REF _Ref339629612 \r \h  \* MERGEFORMAT </w:instrText>
      </w:r>
      <w:r>
        <w:fldChar w:fldCharType="separate"/>
      </w:r>
      <w:r w:rsidR="00B772CA" w:rsidRPr="00B772CA">
        <w:rPr>
          <w:iCs/>
          <w:color w:val="000000"/>
          <w:lang w:val="en-US"/>
        </w:rPr>
        <w:t>[118]</w:t>
      </w:r>
      <w:r>
        <w:fldChar w:fldCharType="end"/>
      </w:r>
      <w:r w:rsidR="00F90A26" w:rsidRPr="00520A83">
        <w:rPr>
          <w:iCs/>
          <w:color w:val="000000"/>
          <w:lang w:val="en-US"/>
        </w:rPr>
        <w:t xml:space="preserve">) taking into account also Chernobyl and Fukushima analyses </w:t>
      </w:r>
      <w:r>
        <w:fldChar w:fldCharType="begin"/>
      </w:r>
      <w:r>
        <w:instrText xml:space="preserve"> REF _Ref339629635 \r \h  \* MERGEFORMAT </w:instrText>
      </w:r>
      <w:r>
        <w:fldChar w:fldCharType="separate"/>
      </w:r>
      <w:r w:rsidR="00B772CA" w:rsidRPr="00B772CA">
        <w:rPr>
          <w:iCs/>
          <w:color w:val="000000"/>
          <w:lang w:val="en-US"/>
        </w:rPr>
        <w:t>[119]</w:t>
      </w:r>
      <w:r>
        <w:fldChar w:fldCharType="end"/>
      </w:r>
      <w:r w:rsidR="00F90A26" w:rsidRPr="00520A83">
        <w:rPr>
          <w:iCs/>
          <w:color w:val="000000"/>
          <w:lang w:val="en-US"/>
        </w:rPr>
        <w:t xml:space="preserve">. The results show estimate of absolute consequences and risks following a severe accident </w:t>
      </w:r>
      <w:r>
        <w:fldChar w:fldCharType="begin"/>
      </w:r>
      <w:r>
        <w:instrText xml:space="preserve"> REF _Ref339629639 \r \h  \* MERGEFORMAT </w:instrText>
      </w:r>
      <w:r>
        <w:fldChar w:fldCharType="separate"/>
      </w:r>
      <w:r w:rsidR="00B772CA" w:rsidRPr="00B772CA">
        <w:rPr>
          <w:iCs/>
          <w:color w:val="000000"/>
          <w:lang w:val="en-US"/>
        </w:rPr>
        <w:t>[120]</w:t>
      </w:r>
      <w:r>
        <w:fldChar w:fldCharType="end"/>
      </w:r>
      <w:r w:rsidR="00F90A26" w:rsidRPr="00520A83">
        <w:rPr>
          <w:iCs/>
          <w:color w:val="000000"/>
          <w:lang w:val="en-US"/>
        </w:rPr>
        <w:t xml:space="preserve">. Only deaths, both acute and late are shown, and extent of lost land. Late deaths are shown as risk in terms of one in number of world population, i.e. in term of global risk referred to quantity of population. It is obvious from </w:t>
      </w:r>
      <w:r>
        <w:fldChar w:fldCharType="begin"/>
      </w:r>
      <w:r>
        <w:instrText xml:space="preserve"> REF _Ref339630838 \h  \* MERGEFORMAT </w:instrText>
      </w:r>
      <w:r>
        <w:fldChar w:fldCharType="separate"/>
      </w:r>
      <w:r w:rsidR="00B772CA">
        <w:t xml:space="preserve">Table </w:t>
      </w:r>
      <w:r w:rsidR="00B772CA">
        <w:rPr>
          <w:noProof/>
        </w:rPr>
        <w:t>6</w:t>
      </w:r>
      <w:r>
        <w:fldChar w:fldCharType="end"/>
      </w:r>
      <w:r w:rsidR="00F90A26" w:rsidRPr="00520A83">
        <w:rPr>
          <w:iCs/>
          <w:color w:val="000000"/>
          <w:lang w:val="en-US"/>
        </w:rPr>
        <w:t xml:space="preserve">, that acute fatalities </w:t>
      </w:r>
      <w:r w:rsidR="00E45B8A" w:rsidRPr="00520A83">
        <w:rPr>
          <w:iCs/>
          <w:color w:val="000000"/>
          <w:lang w:val="en-US"/>
        </w:rPr>
        <w:t xml:space="preserve">as one type of consequences of severe nuclear accidents </w:t>
      </w:r>
      <w:r w:rsidR="00F90A26" w:rsidRPr="00520A83">
        <w:rPr>
          <w:iCs/>
          <w:color w:val="000000"/>
          <w:lang w:val="en-US"/>
        </w:rPr>
        <w:t xml:space="preserve">are negligible in comparison with late fatalities and other </w:t>
      </w:r>
      <w:r w:rsidR="00E45B8A" w:rsidRPr="00520A83">
        <w:rPr>
          <w:iCs/>
          <w:color w:val="000000"/>
          <w:lang w:val="en-US"/>
        </w:rPr>
        <w:t>long</w:t>
      </w:r>
      <w:r w:rsidR="009B40D9">
        <w:rPr>
          <w:iCs/>
          <w:color w:val="000000"/>
          <w:lang w:val="en-US"/>
        </w:rPr>
        <w:t xml:space="preserve"> </w:t>
      </w:r>
      <w:r w:rsidR="00E45B8A" w:rsidRPr="00520A83">
        <w:rPr>
          <w:iCs/>
          <w:color w:val="000000"/>
          <w:lang w:val="en-US"/>
        </w:rPr>
        <w:t xml:space="preserve">term </w:t>
      </w:r>
      <w:r w:rsidR="00F90A26" w:rsidRPr="00520A83">
        <w:rPr>
          <w:iCs/>
          <w:color w:val="000000"/>
          <w:lang w:val="en-US"/>
        </w:rPr>
        <w:t>risks (injuries are not included) and therefore, the parameter of acute fatalities as a measure of severity of accident is not relevant.</w:t>
      </w:r>
      <w:r w:rsidR="00B53E2A" w:rsidRPr="00520A83">
        <w:rPr>
          <w:iCs/>
          <w:color w:val="000000"/>
          <w:lang w:val="en-US"/>
        </w:rPr>
        <w:t xml:space="preserve"> </w:t>
      </w:r>
      <w:r w:rsidR="00E45B8A" w:rsidRPr="00520A83">
        <w:rPr>
          <w:iCs/>
          <w:color w:val="000000"/>
          <w:lang w:val="en-US"/>
        </w:rPr>
        <w:t>F</w:t>
      </w:r>
      <w:r w:rsidR="00F90A26" w:rsidRPr="00520A83">
        <w:rPr>
          <w:iCs/>
          <w:color w:val="000000"/>
          <w:lang w:val="en-US"/>
        </w:rPr>
        <w:t>rom the results obtained the following can be summarized:</w:t>
      </w:r>
    </w:p>
    <w:p w:rsidR="00F90A26" w:rsidRPr="00520A83" w:rsidRDefault="00F90A26" w:rsidP="00F90A26">
      <w:pPr>
        <w:rPr>
          <w:iCs/>
          <w:color w:val="000000"/>
          <w:lang w:val="en-US"/>
        </w:rPr>
      </w:pPr>
    </w:p>
    <w:p w:rsidR="00F90A26" w:rsidRPr="00520A83" w:rsidRDefault="00F90A26" w:rsidP="00F90A26">
      <w:pPr>
        <w:ind w:left="284" w:hanging="284"/>
        <w:rPr>
          <w:iCs/>
          <w:lang w:val="en-US"/>
        </w:rPr>
      </w:pPr>
      <w:r w:rsidRPr="00520A83">
        <w:rPr>
          <w:iCs/>
          <w:lang w:val="en-US"/>
        </w:rPr>
        <w:t>a) Range of risks is population independent (i.e. not dependent on population densities) because they are normalized to population in an area, e.g. they are independent of the density and can be exported to any site.</w:t>
      </w:r>
    </w:p>
    <w:p w:rsidR="00F90A26" w:rsidRPr="00520A83" w:rsidRDefault="00F90A26" w:rsidP="00F90A26">
      <w:pPr>
        <w:ind w:left="284" w:hanging="284"/>
        <w:rPr>
          <w:iCs/>
          <w:lang w:val="en-US"/>
        </w:rPr>
      </w:pPr>
    </w:p>
    <w:p w:rsidR="00F90A26" w:rsidRPr="00520A83" w:rsidRDefault="00F90A26" w:rsidP="00F90A26">
      <w:pPr>
        <w:ind w:left="284" w:hanging="284"/>
        <w:rPr>
          <w:lang w:val="en-US"/>
        </w:rPr>
      </w:pPr>
      <w:r w:rsidRPr="00520A83">
        <w:rPr>
          <w:iCs/>
          <w:lang w:val="en-US"/>
        </w:rPr>
        <w:t xml:space="preserve">b) Calculated risks are not site dependent - because of probabilistic weather modeling - </w:t>
      </w:r>
      <w:r w:rsidRPr="00520A83">
        <w:rPr>
          <w:lang w:val="en-US"/>
        </w:rPr>
        <w:t>any number of persons at a given location will be exposed to exactly the same amount of radiation, which only depends on dispersion coefficients.</w:t>
      </w:r>
    </w:p>
    <w:p w:rsidR="00F90A26" w:rsidRPr="00520A83" w:rsidRDefault="00F90A26" w:rsidP="00F90A26">
      <w:pPr>
        <w:rPr>
          <w:iCs/>
          <w:lang w:val="en-US"/>
        </w:rPr>
      </w:pPr>
    </w:p>
    <w:p w:rsidR="00F90A26" w:rsidRPr="00520A83" w:rsidRDefault="00F90A26" w:rsidP="00F90A26">
      <w:pPr>
        <w:ind w:left="284" w:hanging="284"/>
        <w:rPr>
          <w:iCs/>
          <w:color w:val="000000"/>
          <w:lang w:val="en-US"/>
        </w:rPr>
      </w:pPr>
      <w:r w:rsidRPr="00520A83">
        <w:rPr>
          <w:iCs/>
          <w:color w:val="000000"/>
          <w:lang w:val="en-US"/>
        </w:rPr>
        <w:t xml:space="preserve">c) Range of risks is plant independent - </w:t>
      </w:r>
      <w:r w:rsidRPr="00520A83">
        <w:rPr>
          <w:lang w:val="en-US"/>
        </w:rPr>
        <w:t>any plant that has an accident ending in core damage not treated and stopped in-vessel will release (no matter what type of plant it is) I-131 equivalent in quantities between 1E</w:t>
      </w:r>
      <w:r w:rsidR="0080072F">
        <w:rPr>
          <w:lang w:val="en-US"/>
        </w:rPr>
        <w:t>16</w:t>
      </w:r>
      <w:r w:rsidRPr="00520A83">
        <w:rPr>
          <w:lang w:val="en-US"/>
        </w:rPr>
        <w:t xml:space="preserve"> and higher Bq (INES7).</w:t>
      </w:r>
    </w:p>
    <w:p w:rsidR="00F90A26" w:rsidRPr="00520A83" w:rsidRDefault="00F90A26" w:rsidP="00F90A26">
      <w:pPr>
        <w:rPr>
          <w:iCs/>
          <w:color w:val="000000"/>
          <w:lang w:val="en-US"/>
        </w:rPr>
      </w:pPr>
    </w:p>
    <w:p w:rsidR="00F90A26" w:rsidRPr="00520A83" w:rsidRDefault="00F90A26" w:rsidP="00F90A26">
      <w:pPr>
        <w:ind w:left="284" w:hanging="284"/>
        <w:rPr>
          <w:iCs/>
          <w:color w:val="000000"/>
          <w:lang w:val="en-US"/>
        </w:rPr>
      </w:pPr>
      <w:r w:rsidRPr="00520A83">
        <w:rPr>
          <w:iCs/>
          <w:color w:val="000000"/>
          <w:lang w:val="en-US"/>
        </w:rPr>
        <w:t xml:space="preserve">d) Range of calculated risk is weather independent - they depend only on dispersion, which is calculated probabilistically rotating the weathers around 360 degrees, and thus risk </w:t>
      </w:r>
      <w:r w:rsidRPr="00520A83">
        <w:rPr>
          <w:lang w:val="en-US"/>
        </w:rPr>
        <w:t>does not depend on the direction of the wind since all directions are taken into account.</w:t>
      </w:r>
    </w:p>
    <w:p w:rsidR="00F90A26" w:rsidRPr="00520A83" w:rsidRDefault="00F90A26" w:rsidP="00F90A26">
      <w:pPr>
        <w:rPr>
          <w:iCs/>
          <w:color w:val="000000"/>
          <w:lang w:val="en-US"/>
        </w:rPr>
      </w:pPr>
    </w:p>
    <w:p w:rsidR="00F90A26" w:rsidRPr="00520A83" w:rsidRDefault="00F90A26" w:rsidP="00F90A26">
      <w:pPr>
        <w:ind w:left="284" w:hanging="284"/>
        <w:rPr>
          <w:iCs/>
          <w:color w:val="000000"/>
          <w:lang w:val="en-US"/>
        </w:rPr>
      </w:pPr>
      <w:r w:rsidRPr="00520A83">
        <w:rPr>
          <w:iCs/>
          <w:color w:val="000000"/>
          <w:lang w:val="en-US"/>
        </w:rPr>
        <w:t>e) One lifetime excess death corresponds approximately to 1 TBq of I-131 equivalent released. (</w:t>
      </w:r>
      <w:r w:rsidR="00CD0CBE">
        <w:fldChar w:fldCharType="begin"/>
      </w:r>
      <w:r w:rsidR="00CD0CBE">
        <w:instrText xml:space="preserve"> REF _Ref339630838 \h  \* MERGEFORMAT </w:instrText>
      </w:r>
      <w:r w:rsidR="00CD0CBE">
        <w:fldChar w:fldCharType="separate"/>
      </w:r>
      <w:r w:rsidR="00B772CA">
        <w:t xml:space="preserve">Table </w:t>
      </w:r>
      <w:r w:rsidR="00B772CA">
        <w:rPr>
          <w:noProof/>
        </w:rPr>
        <w:t>6</w:t>
      </w:r>
      <w:r w:rsidR="00CD0CBE">
        <w:fldChar w:fldCharType="end"/>
      </w:r>
      <w:r w:rsidRPr="00520A83">
        <w:rPr>
          <w:iCs/>
          <w:color w:val="000000"/>
          <w:lang w:val="en-US"/>
        </w:rPr>
        <w:t>)</w:t>
      </w:r>
    </w:p>
    <w:p w:rsidR="00F90A26" w:rsidRPr="00520A83" w:rsidRDefault="00F90A26" w:rsidP="00F90A26">
      <w:pPr>
        <w:rPr>
          <w:iCs/>
          <w:color w:val="000000"/>
          <w:lang w:val="en-US"/>
        </w:rPr>
      </w:pPr>
    </w:p>
    <w:p w:rsidR="00F90A26" w:rsidRPr="00520A83" w:rsidRDefault="00F90A26" w:rsidP="00F90A26">
      <w:pPr>
        <w:rPr>
          <w:lang w:val="en-US"/>
        </w:rPr>
      </w:pPr>
      <w:r w:rsidRPr="00520A83">
        <w:rPr>
          <w:iCs/>
          <w:lang w:val="en-US"/>
        </w:rPr>
        <w:t xml:space="preserve">For the results shown in </w:t>
      </w:r>
      <w:r w:rsidR="00CD0CBE">
        <w:fldChar w:fldCharType="begin"/>
      </w:r>
      <w:r w:rsidR="00CD0CBE">
        <w:instrText xml:space="preserve"> REF _Ref339630838 \h  \* MERGEFORMAT </w:instrText>
      </w:r>
      <w:r w:rsidR="00CD0CBE">
        <w:fldChar w:fldCharType="separate"/>
      </w:r>
      <w:r w:rsidR="00B772CA">
        <w:t xml:space="preserve">Table </w:t>
      </w:r>
      <w:r w:rsidR="00B772CA">
        <w:rPr>
          <w:noProof/>
        </w:rPr>
        <w:t>6</w:t>
      </w:r>
      <w:r w:rsidR="00CD0CBE">
        <w:fldChar w:fldCharType="end"/>
      </w:r>
      <w:r w:rsidRPr="00520A83">
        <w:rPr>
          <w:iCs/>
          <w:lang w:val="en-US"/>
        </w:rPr>
        <w:t xml:space="preserve"> total effective doses were calculated to provide the Total Effective Dose equivalents using </w:t>
      </w:r>
      <w:r w:rsidR="00453C9E" w:rsidRPr="00520A83">
        <w:rPr>
          <w:iCs/>
          <w:lang w:val="en-US"/>
        </w:rPr>
        <w:t xml:space="preserve">a </w:t>
      </w:r>
      <w:r w:rsidRPr="00520A83">
        <w:rPr>
          <w:iCs/>
          <w:lang w:val="en-US"/>
        </w:rPr>
        <w:t xml:space="preserve">simplified method developed within the study </w:t>
      </w:r>
      <w:r w:rsidR="00CD0CBE">
        <w:fldChar w:fldCharType="begin"/>
      </w:r>
      <w:r w:rsidR="00CD0CBE">
        <w:instrText xml:space="preserve"> REF _Ref339629612 \r \h  \* MERGEFORMAT </w:instrText>
      </w:r>
      <w:r w:rsidR="00CD0CBE">
        <w:fldChar w:fldCharType="separate"/>
      </w:r>
      <w:r w:rsidR="00B772CA" w:rsidRPr="00B772CA">
        <w:rPr>
          <w:iCs/>
          <w:lang w:val="en-US"/>
        </w:rPr>
        <w:t>[118]</w:t>
      </w:r>
      <w:r w:rsidR="00CD0CBE">
        <w:fldChar w:fldCharType="end"/>
      </w:r>
      <w:r w:rsidRPr="00520A83">
        <w:rPr>
          <w:iCs/>
          <w:lang w:val="en-US"/>
        </w:rPr>
        <w:t xml:space="preserve">. </w:t>
      </w:r>
      <w:r w:rsidR="00453C9E" w:rsidRPr="00520A83">
        <w:rPr>
          <w:iCs/>
          <w:lang w:val="en-US"/>
        </w:rPr>
        <w:t>A m</w:t>
      </w:r>
      <w:r w:rsidRPr="00520A83">
        <w:rPr>
          <w:lang w:val="en-US"/>
        </w:rPr>
        <w:t xml:space="preserve">ore sophisticated model was used in the study </w:t>
      </w:r>
      <w:r w:rsidR="00CD0CBE">
        <w:fldChar w:fldCharType="begin"/>
      </w:r>
      <w:r w:rsidR="00CD0CBE">
        <w:instrText xml:space="preserve"> REF _Ref339629609 \r \h  \* MERGEFORMAT </w:instrText>
      </w:r>
      <w:r w:rsidR="00CD0CBE">
        <w:fldChar w:fldCharType="separate"/>
      </w:r>
      <w:r w:rsidR="00B772CA" w:rsidRPr="00B772CA">
        <w:rPr>
          <w:iCs/>
          <w:lang w:val="en-US"/>
        </w:rPr>
        <w:t>[117]</w:t>
      </w:r>
      <w:r w:rsidR="00CD0CBE">
        <w:fldChar w:fldCharType="end"/>
      </w:r>
      <w:r w:rsidRPr="00520A83">
        <w:rPr>
          <w:lang w:val="en-US"/>
        </w:rPr>
        <w:t xml:space="preserve"> to provide quick estimates of consequences for different sites and types of power plants. The work </w:t>
      </w:r>
      <w:r w:rsidR="00CD0CBE">
        <w:fldChar w:fldCharType="begin"/>
      </w:r>
      <w:r w:rsidR="00CD0CBE">
        <w:instrText xml:space="preserve"> REF _Ref339629612 \r \h  \* MERGEFORMAT </w:instrText>
      </w:r>
      <w:r w:rsidR="00CD0CBE">
        <w:fldChar w:fldCharType="separate"/>
      </w:r>
      <w:r w:rsidR="00B772CA" w:rsidRPr="00B772CA">
        <w:rPr>
          <w:iCs/>
          <w:lang w:val="en-US"/>
        </w:rPr>
        <w:t>[118]</w:t>
      </w:r>
      <w:r w:rsidR="00CD0CBE">
        <w:fldChar w:fldCharType="end"/>
      </w:r>
      <w:r w:rsidRPr="00520A83">
        <w:rPr>
          <w:lang w:val="en-US"/>
        </w:rPr>
        <w:t xml:space="preserve"> was performed to answer the question if risk measures based on activity of releases are an effective surrogate for estimation of offsite consequences - the MACCS calculations were compared with the results of calculations based on activity of releases. The MACCS code </w:t>
      </w:r>
      <w:r w:rsidR="00CD0CBE">
        <w:fldChar w:fldCharType="begin"/>
      </w:r>
      <w:r w:rsidR="00CD0CBE">
        <w:instrText xml:space="preserve"> REF _Ref339629639 \r \h  \* MERGEFORMAT </w:instrText>
      </w:r>
      <w:r w:rsidR="00CD0CBE">
        <w:fldChar w:fldCharType="separate"/>
      </w:r>
      <w:r w:rsidR="00B772CA" w:rsidRPr="00B772CA">
        <w:rPr>
          <w:lang w:val="en-US"/>
        </w:rPr>
        <w:t>[120]</w:t>
      </w:r>
      <w:r w:rsidR="00CD0CBE">
        <w:fldChar w:fldCharType="end"/>
      </w:r>
      <w:r w:rsidRPr="00520A83">
        <w:rPr>
          <w:lang w:val="en-US"/>
        </w:rPr>
        <w:t xml:space="preserve"> was used to calculate weights for activity of releases for each of the radioactive groups, and absolute weights were calculated for two sites and weathers. Then, relative weights were compared for the two sites, and found to be insensitive to population, weather patterns, and topography. The absolute weights were then used to estimate offsite consequences on the basis of activity of releases for the various groups, and the results were compared to MACCS calculations for 14 plant </w:t>
      </w:r>
      <w:r w:rsidRPr="00520A83">
        <w:rPr>
          <w:lang w:val="en-US"/>
        </w:rPr>
        <w:lastRenderedPageBreak/>
        <w:t xml:space="preserve">specific source terms </w:t>
      </w:r>
      <w:r w:rsidR="00CD0CBE">
        <w:fldChar w:fldCharType="begin"/>
      </w:r>
      <w:r w:rsidR="00CD0CBE">
        <w:instrText xml:space="preserve"> REF _Ref339629609 \r \h  \* MERGEFORMAT </w:instrText>
      </w:r>
      <w:r w:rsidR="00CD0CBE">
        <w:fldChar w:fldCharType="separate"/>
      </w:r>
      <w:r w:rsidR="00B772CA" w:rsidRPr="00B772CA">
        <w:rPr>
          <w:iCs/>
          <w:lang w:val="en-US"/>
        </w:rPr>
        <w:t>[117]</w:t>
      </w:r>
      <w:r w:rsidR="00CD0CBE">
        <w:fldChar w:fldCharType="end"/>
      </w:r>
      <w:r w:rsidRPr="00520A83">
        <w:rPr>
          <w:lang w:val="en-US"/>
        </w:rPr>
        <w:t>. A separate assessment was also performed using only the total activity resulting from aerosol. Results from the three sets of calculations are very close for all the offsite consequences which have been considered. Therefore, it can be concluded that risk measures based on activities of releases are a good surrogate for the</w:t>
      </w:r>
      <w:r w:rsidRPr="00520A83">
        <w:rPr>
          <w:color w:val="FF0000"/>
          <w:lang w:val="en-US"/>
        </w:rPr>
        <w:t xml:space="preserve"> </w:t>
      </w:r>
      <w:r w:rsidRPr="00520A83">
        <w:rPr>
          <w:lang w:val="en-US"/>
        </w:rPr>
        <w:t>performance of calculations of offsite consequences.</w:t>
      </w:r>
    </w:p>
    <w:p w:rsidR="00F90A26" w:rsidRPr="00520A83" w:rsidRDefault="00F90A26" w:rsidP="00F90A26">
      <w:pPr>
        <w:rPr>
          <w:lang w:val="en-US"/>
        </w:rPr>
      </w:pPr>
    </w:p>
    <w:p w:rsidR="00F90A26" w:rsidRDefault="00F90A26" w:rsidP="00F90A26">
      <w:pPr>
        <w:rPr>
          <w:lang w:val="en-US"/>
        </w:rPr>
      </w:pPr>
      <w:r w:rsidRPr="00520A83">
        <w:rPr>
          <w:lang w:val="en-US"/>
        </w:rPr>
        <w:t xml:space="preserve">Specifically, the method from </w:t>
      </w:r>
      <w:r w:rsidR="00CD0CBE">
        <w:fldChar w:fldCharType="begin"/>
      </w:r>
      <w:r w:rsidR="00CD0CBE">
        <w:instrText xml:space="preserve"> REF _Ref339629609 \r \h  \* MERGEFORMAT </w:instrText>
      </w:r>
      <w:r w:rsidR="00CD0CBE">
        <w:fldChar w:fldCharType="separate"/>
      </w:r>
      <w:r w:rsidR="00B772CA" w:rsidRPr="00B772CA">
        <w:rPr>
          <w:iCs/>
          <w:lang w:val="en-US"/>
        </w:rPr>
        <w:t>[117]</w:t>
      </w:r>
      <w:r w:rsidR="00CD0CBE">
        <w:fldChar w:fldCharType="end"/>
      </w:r>
      <w:r w:rsidRPr="00520A83">
        <w:rPr>
          <w:lang w:val="en-US"/>
        </w:rPr>
        <w:t xml:space="preserve"> used a comparison of results of MACCS calculations for </w:t>
      </w:r>
      <w:r w:rsidR="00453C9E" w:rsidRPr="00520A83">
        <w:rPr>
          <w:lang w:val="en-US"/>
        </w:rPr>
        <w:t xml:space="preserve">a </w:t>
      </w:r>
      <w:r w:rsidRPr="00520A83">
        <w:rPr>
          <w:lang w:val="en-US"/>
        </w:rPr>
        <w:t xml:space="preserve">reference source term for BWR reactor with 3600 MW(Th) operating power for the Surry site (MACCS default site) and Central European site, respectively. The reference source terms were releases of a fixed fraction of each radionuclide group under the assumption of early energetic releases and late slow releases. By admission of the code developers, MACCS using 60 radionuclides for releases can estimate between 90 and 95% of prompt and chronic consequences calculated for the full 400 to 500 radionuclides present in a typical LWR core </w:t>
      </w:r>
      <w:r w:rsidR="00CD0CBE">
        <w:fldChar w:fldCharType="begin"/>
      </w:r>
      <w:r w:rsidR="00CD0CBE">
        <w:instrText xml:space="preserve"> REF _Ref339629639 \r \h  \* MERGEFORMAT </w:instrText>
      </w:r>
      <w:r w:rsidR="00CD0CBE">
        <w:fldChar w:fldCharType="separate"/>
      </w:r>
      <w:r w:rsidR="00B772CA" w:rsidRPr="00B772CA">
        <w:rPr>
          <w:lang w:val="en-US"/>
        </w:rPr>
        <w:t>[120]</w:t>
      </w:r>
      <w:r w:rsidR="00CD0CBE">
        <w:fldChar w:fldCharType="end"/>
      </w:r>
      <w:r w:rsidRPr="00520A83">
        <w:rPr>
          <w:lang w:val="en-US"/>
        </w:rPr>
        <w:t>. The “equivalency” data (effects/Bq) was determined separately for all types of consequences.</w:t>
      </w:r>
    </w:p>
    <w:p w:rsidR="00F90A26" w:rsidRPr="00DD341D" w:rsidRDefault="00F90A26" w:rsidP="00F90A26">
      <w:pPr>
        <w:pStyle w:val="authors"/>
        <w:spacing w:before="0" w:beforeAutospacing="0" w:after="0" w:afterAutospacing="0"/>
        <w:jc w:val="center"/>
        <w:rPr>
          <w:rFonts w:ascii="Trebuchet MS" w:hAnsi="Trebuchet MS"/>
          <w:sz w:val="18"/>
          <w:szCs w:val="18"/>
          <w:lang w:val="en-US"/>
        </w:rPr>
      </w:pPr>
    </w:p>
    <w:p w:rsidR="00F90A26" w:rsidRDefault="00F90A26" w:rsidP="00FD6E5A">
      <w:pPr>
        <w:pStyle w:val="Lgende"/>
      </w:pPr>
      <w:bookmarkStart w:id="369" w:name="_Ref339630838"/>
      <w:bookmarkStart w:id="370" w:name="_Toc474428902"/>
      <w:r>
        <w:t xml:space="preserve">Table </w:t>
      </w:r>
      <w:r w:rsidR="009E768B">
        <w:fldChar w:fldCharType="begin"/>
      </w:r>
      <w:r>
        <w:instrText xml:space="preserve"> SEQ Table \* ARABIC </w:instrText>
      </w:r>
      <w:r w:rsidR="009E768B">
        <w:fldChar w:fldCharType="separate"/>
      </w:r>
      <w:r w:rsidR="00B772CA">
        <w:rPr>
          <w:noProof/>
        </w:rPr>
        <w:t>6</w:t>
      </w:r>
      <w:r w:rsidR="009E768B">
        <w:fldChar w:fldCharType="end"/>
      </w:r>
      <w:bookmarkEnd w:id="369"/>
      <w:r>
        <w:t xml:space="preserve"> : </w:t>
      </w:r>
      <w:r w:rsidRPr="00DD341D">
        <w:rPr>
          <w:lang w:val="en-US"/>
        </w:rPr>
        <w:t>Assessment of Absolute Consequences and Risks per Accident</w:t>
      </w:r>
      <w:bookmarkEnd w:id="3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024"/>
        <w:gridCol w:w="1026"/>
        <w:gridCol w:w="1327"/>
        <w:gridCol w:w="1171"/>
        <w:gridCol w:w="940"/>
        <w:gridCol w:w="865"/>
        <w:gridCol w:w="1015"/>
        <w:gridCol w:w="1210"/>
      </w:tblGrid>
      <w:tr w:rsidR="00F90A26" w:rsidRPr="00B53E2A" w:rsidTr="00FD6E5A">
        <w:trPr>
          <w:trHeight w:val="465"/>
          <w:jc w:val="center"/>
        </w:trPr>
        <w:tc>
          <w:tcPr>
            <w:tcW w:w="105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Releases</w:t>
            </w:r>
          </w:p>
        </w:tc>
        <w:tc>
          <w:tcPr>
            <w:tcW w:w="1840"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Absolute Consequences</w:t>
            </w:r>
          </w:p>
        </w:tc>
        <w:tc>
          <w:tcPr>
            <w:tcW w:w="2106" w:type="pct"/>
            <w:gridSpan w:val="4"/>
            <w:tcBorders>
              <w:top w:val="single" w:sz="4" w:space="0" w:color="auto"/>
              <w:left w:val="single" w:sz="4" w:space="0" w:color="auto"/>
              <w:bottom w:val="single" w:sz="4" w:space="0" w:color="auto"/>
              <w:right w:val="single" w:sz="4" w:space="0" w:color="auto"/>
            </w:tcBorders>
            <w:vAlign w:val="center"/>
            <w:hideMark/>
          </w:tcPr>
          <w:p w:rsidR="00F90A26" w:rsidRPr="00FD6E5A" w:rsidRDefault="00453C9E" w:rsidP="00FD6E5A">
            <w:pPr>
              <w:spacing w:line="240" w:lineRule="auto"/>
              <w:rPr>
                <w:lang w:val="en-US"/>
              </w:rPr>
            </w:pPr>
            <w:r>
              <w:rPr>
                <w:lang w:val="en-US"/>
              </w:rPr>
              <w:t xml:space="preserve">Individual </w:t>
            </w:r>
            <w:r w:rsidR="00F90A26" w:rsidRPr="00FD6E5A">
              <w:rPr>
                <w:lang w:val="en-US"/>
              </w:rPr>
              <w:t>Risks per Accident</w:t>
            </w:r>
          </w:p>
        </w:tc>
      </w:tr>
      <w:tr w:rsidR="00F90A26" w:rsidRPr="00B53E2A" w:rsidTr="00FD6E5A">
        <w:trPr>
          <w:trHeight w:val="465"/>
          <w:jc w:val="center"/>
        </w:trPr>
        <w:tc>
          <w:tcPr>
            <w:tcW w:w="1054" w:type="pct"/>
            <w:gridSpan w:val="2"/>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1840" w:type="pct"/>
            <w:gridSpan w:val="3"/>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491" w:type="pct"/>
            <w:vMerge w:val="restar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Acute</w:t>
            </w:r>
          </w:p>
          <w:p w:rsidR="00F90A26" w:rsidRPr="00FD6E5A" w:rsidRDefault="00F90A26" w:rsidP="00FD6E5A">
            <w:pPr>
              <w:spacing w:line="240" w:lineRule="auto"/>
              <w:rPr>
                <w:lang w:val="en-US"/>
              </w:rPr>
            </w:pPr>
            <w:r w:rsidRPr="00FD6E5A">
              <w:rPr>
                <w:lang w:val="en-US"/>
              </w:rPr>
              <w:t>within 10 km</w:t>
            </w:r>
          </w:p>
        </w:tc>
        <w:tc>
          <w:tcPr>
            <w:tcW w:w="1615" w:type="pct"/>
            <w:gridSpan w:val="3"/>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Excess Deaths</w:t>
            </w:r>
          </w:p>
        </w:tc>
      </w:tr>
      <w:tr w:rsidR="00F90A26" w:rsidRPr="00B53E2A" w:rsidTr="00FD6E5A">
        <w:trPr>
          <w:trHeight w:val="465"/>
          <w:jc w:val="center"/>
        </w:trPr>
        <w:tc>
          <w:tcPr>
            <w:tcW w:w="1054" w:type="pct"/>
            <w:gridSpan w:val="2"/>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536" w:type="pct"/>
            <w:vMerge w:val="restart"/>
            <w:tcBorders>
              <w:top w:val="single" w:sz="4" w:space="0" w:color="auto"/>
              <w:left w:val="single" w:sz="4" w:space="0" w:color="auto"/>
              <w:bottom w:val="single" w:sz="4" w:space="0" w:color="auto"/>
              <w:right w:val="single" w:sz="4" w:space="0" w:color="auto"/>
            </w:tcBorders>
            <w:shd w:val="pct12" w:color="auto" w:fill="auto"/>
            <w:vAlign w:val="center"/>
            <w:hideMark/>
          </w:tcPr>
          <w:p w:rsidR="00F90A26" w:rsidRPr="00FD6E5A" w:rsidRDefault="00F90A26" w:rsidP="00FD6E5A">
            <w:pPr>
              <w:spacing w:line="240" w:lineRule="auto"/>
              <w:rPr>
                <w:lang w:val="en-US"/>
              </w:rPr>
            </w:pPr>
            <w:r w:rsidRPr="00FD6E5A">
              <w:rPr>
                <w:lang w:val="en-US"/>
              </w:rPr>
              <w:t>Acute Fatalities</w:t>
            </w:r>
          </w:p>
        </w:tc>
        <w:tc>
          <w:tcPr>
            <w:tcW w:w="693" w:type="pct"/>
            <w:vMerge w:val="restar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Lifetime Excess Deaths</w:t>
            </w:r>
          </w:p>
        </w:tc>
        <w:tc>
          <w:tcPr>
            <w:tcW w:w="612" w:type="pct"/>
            <w:vMerge w:val="restar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 xml:space="preserve">Lost Land </w:t>
            </w:r>
          </w:p>
          <w:p w:rsidR="00F90A26" w:rsidRPr="00FD6E5A" w:rsidRDefault="00F90A26" w:rsidP="00FD6E5A">
            <w:pPr>
              <w:spacing w:line="240" w:lineRule="auto"/>
              <w:rPr>
                <w:lang w:val="en-US"/>
              </w:rPr>
            </w:pPr>
            <w:r w:rsidRPr="00FD6E5A">
              <w:rPr>
                <w:lang w:val="en-US"/>
              </w:rPr>
              <w:t>[km</w:t>
            </w:r>
            <w:r w:rsidRPr="00FD6E5A">
              <w:rPr>
                <w:vertAlign w:val="superscript"/>
                <w:lang w:val="en-US"/>
              </w:rPr>
              <w:t>2</w:t>
            </w:r>
            <w:r w:rsidRPr="00FD6E5A">
              <w:rPr>
                <w:lang w:val="en-US"/>
              </w:rPr>
              <w:t>]</w:t>
            </w: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within 10 km</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within 40km</w:t>
            </w:r>
          </w:p>
        </w:tc>
        <w:tc>
          <w:tcPr>
            <w:tcW w:w="634"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GLOBAL</w:t>
            </w:r>
          </w:p>
        </w:tc>
      </w:tr>
      <w:tr w:rsidR="00F90A26" w:rsidRPr="00B53E2A" w:rsidTr="00FD6E5A">
        <w:trPr>
          <w:trHeight w:val="465"/>
          <w:jc w:val="center"/>
        </w:trPr>
        <w:tc>
          <w:tcPr>
            <w:tcW w:w="519"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INES</w:t>
            </w:r>
          </w:p>
        </w:tc>
        <w:tc>
          <w:tcPr>
            <w:tcW w:w="535"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I-131 equiv. [Bq]</w:t>
            </w: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p>
        </w:tc>
        <w:tc>
          <w:tcPr>
            <w:tcW w:w="634"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 xml:space="preserve">Excess death for </w:t>
            </w:r>
          </w:p>
          <w:p w:rsidR="00F90A26" w:rsidRPr="00FD6E5A" w:rsidRDefault="00F90A26" w:rsidP="00FD6E5A">
            <w:pPr>
              <w:spacing w:line="240" w:lineRule="auto"/>
              <w:rPr>
                <w:lang w:val="en-US"/>
              </w:rPr>
            </w:pPr>
            <w:r w:rsidRPr="00FD6E5A">
              <w:rPr>
                <w:lang w:val="en-US"/>
              </w:rPr>
              <w:t>&gt; E</w:t>
            </w:r>
            <w:r w:rsidRPr="00FD6E5A">
              <w:rPr>
                <w:vertAlign w:val="superscript"/>
                <w:lang w:val="en-US"/>
              </w:rPr>
              <w:t>8</w:t>
            </w:r>
            <w:r w:rsidRPr="00FD6E5A">
              <w:rPr>
                <w:lang w:val="en-US"/>
              </w:rPr>
              <w:t xml:space="preserve"> population </w:t>
            </w:r>
          </w:p>
          <w:p w:rsidR="00F90A26" w:rsidRPr="00FD6E5A" w:rsidRDefault="00F90A26" w:rsidP="00FD6E5A">
            <w:pPr>
              <w:spacing w:line="240" w:lineRule="auto"/>
              <w:rPr>
                <w:lang w:val="en-US"/>
              </w:rPr>
            </w:pPr>
            <w:r w:rsidRPr="00FD6E5A">
              <w:rPr>
                <w:lang w:val="en-US"/>
              </w:rPr>
              <w:t>(within 1600 km)</w:t>
            </w:r>
          </w:p>
        </w:tc>
      </w:tr>
      <w:tr w:rsidR="00F90A26" w:rsidRPr="00B53E2A" w:rsidTr="00FD6E5A">
        <w:trPr>
          <w:trHeight w:val="465"/>
          <w:jc w:val="center"/>
        </w:trPr>
        <w:tc>
          <w:tcPr>
            <w:tcW w:w="519"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4</w:t>
            </w:r>
          </w:p>
        </w:tc>
        <w:tc>
          <w:tcPr>
            <w:tcW w:w="535"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&lt; 200</w:t>
            </w:r>
          </w:p>
        </w:tc>
        <w:tc>
          <w:tcPr>
            <w:tcW w:w="536"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F90A26" w:rsidRPr="00FD6E5A" w:rsidRDefault="00F90A26" w:rsidP="00FD6E5A">
            <w:pPr>
              <w:spacing w:line="240" w:lineRule="auto"/>
              <w:rPr>
                <w:lang w:val="en-US"/>
              </w:rPr>
            </w:pPr>
            <w:r w:rsidRPr="00FD6E5A">
              <w:rPr>
                <w:lang w:val="en-US"/>
              </w:rPr>
              <w:t>0</w:t>
            </w:r>
          </w:p>
        </w:tc>
        <w:tc>
          <w:tcPr>
            <w:tcW w:w="693"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0-100</w:t>
            </w:r>
          </w:p>
        </w:tc>
        <w:tc>
          <w:tcPr>
            <w:tcW w:w="612"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0 - 5</w:t>
            </w:r>
          </w:p>
        </w:tc>
        <w:tc>
          <w:tcPr>
            <w:tcW w:w="491"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&lt; 1E</w:t>
            </w:r>
            <w:r w:rsidRPr="00F778BE">
              <w:rPr>
                <w:lang w:val="en-US"/>
              </w:rPr>
              <w:t>-4</w:t>
            </w:r>
          </w:p>
        </w:tc>
        <w:tc>
          <w:tcPr>
            <w:tcW w:w="452"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&lt; 1E</w:t>
            </w:r>
            <w:r w:rsidRPr="00F778BE">
              <w:rPr>
                <w:lang w:val="en-US"/>
              </w:rPr>
              <w:t>-4</w:t>
            </w:r>
          </w:p>
        </w:tc>
        <w:tc>
          <w:tcPr>
            <w:tcW w:w="530"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&lt; 1E</w:t>
            </w:r>
            <w:r w:rsidRPr="00F778BE">
              <w:rPr>
                <w:lang w:val="en-US"/>
              </w:rPr>
              <w:t>-4</w:t>
            </w:r>
          </w:p>
        </w:tc>
        <w:tc>
          <w:tcPr>
            <w:tcW w:w="634"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&lt; 1E</w:t>
            </w:r>
            <w:r w:rsidRPr="00F778BE">
              <w:rPr>
                <w:lang w:val="en-US"/>
              </w:rPr>
              <w:t>-5</w:t>
            </w:r>
          </w:p>
        </w:tc>
      </w:tr>
      <w:tr w:rsidR="00F90A26" w:rsidRPr="00B53E2A" w:rsidTr="00FD6E5A">
        <w:trPr>
          <w:trHeight w:val="465"/>
          <w:jc w:val="center"/>
        </w:trPr>
        <w:tc>
          <w:tcPr>
            <w:tcW w:w="519"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5</w:t>
            </w:r>
          </w:p>
        </w:tc>
        <w:tc>
          <w:tcPr>
            <w:tcW w:w="535"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200-2000</w:t>
            </w:r>
          </w:p>
        </w:tc>
        <w:tc>
          <w:tcPr>
            <w:tcW w:w="536"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F90A26" w:rsidRPr="00FD6E5A" w:rsidRDefault="00F90A26" w:rsidP="00FD6E5A">
            <w:pPr>
              <w:spacing w:line="240" w:lineRule="auto"/>
              <w:rPr>
                <w:lang w:val="en-US"/>
              </w:rPr>
            </w:pPr>
            <w:r w:rsidRPr="00FD6E5A">
              <w:rPr>
                <w:lang w:val="en-US"/>
              </w:rPr>
              <w:t>0</w:t>
            </w:r>
          </w:p>
        </w:tc>
        <w:tc>
          <w:tcPr>
            <w:tcW w:w="693"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100 - 1000</w:t>
            </w:r>
          </w:p>
        </w:tc>
        <w:tc>
          <w:tcPr>
            <w:tcW w:w="612"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5 - 100</w:t>
            </w:r>
          </w:p>
        </w:tc>
        <w:tc>
          <w:tcPr>
            <w:tcW w:w="491"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1E</w:t>
            </w:r>
            <w:r w:rsidRPr="00F778BE">
              <w:rPr>
                <w:lang w:val="en-US"/>
              </w:rPr>
              <w:t>-4</w:t>
            </w:r>
            <w:r w:rsidRPr="00D171D5">
              <w:rPr>
                <w:lang w:val="en-US"/>
              </w:rPr>
              <w:t xml:space="preserve"> - 1E</w:t>
            </w:r>
            <w:r w:rsidRPr="00F778BE">
              <w:rPr>
                <w:lang w:val="en-US"/>
              </w:rPr>
              <w:t>-3</w:t>
            </w:r>
          </w:p>
        </w:tc>
        <w:tc>
          <w:tcPr>
            <w:tcW w:w="452"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1E</w:t>
            </w:r>
            <w:r w:rsidRPr="00F778BE">
              <w:rPr>
                <w:lang w:val="en-US"/>
              </w:rPr>
              <w:t>-4</w:t>
            </w:r>
            <w:r w:rsidRPr="00D171D5">
              <w:rPr>
                <w:lang w:val="en-US"/>
              </w:rPr>
              <w:t xml:space="preserve"> - 1E</w:t>
            </w:r>
            <w:r w:rsidRPr="00F778BE">
              <w:rPr>
                <w:lang w:val="en-US"/>
              </w:rPr>
              <w:t>-3</w:t>
            </w:r>
          </w:p>
        </w:tc>
        <w:tc>
          <w:tcPr>
            <w:tcW w:w="530"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1E</w:t>
            </w:r>
            <w:r w:rsidRPr="00F778BE">
              <w:rPr>
                <w:lang w:val="en-US"/>
              </w:rPr>
              <w:t>-4</w:t>
            </w:r>
            <w:r w:rsidRPr="00D171D5">
              <w:rPr>
                <w:lang w:val="en-US"/>
              </w:rPr>
              <w:t xml:space="preserve"> - 1E</w:t>
            </w:r>
            <w:r w:rsidRPr="00F778BE">
              <w:rPr>
                <w:lang w:val="en-US"/>
              </w:rPr>
              <w:t>-3</w:t>
            </w:r>
          </w:p>
        </w:tc>
        <w:tc>
          <w:tcPr>
            <w:tcW w:w="634"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1E</w:t>
            </w:r>
            <w:r w:rsidRPr="00F778BE">
              <w:rPr>
                <w:lang w:val="en-US"/>
              </w:rPr>
              <w:t>-5</w:t>
            </w:r>
            <w:r w:rsidRPr="00D171D5">
              <w:rPr>
                <w:lang w:val="en-US"/>
              </w:rPr>
              <w:t xml:space="preserve"> - 1E</w:t>
            </w:r>
            <w:r w:rsidRPr="00F778BE">
              <w:rPr>
                <w:lang w:val="en-US"/>
              </w:rPr>
              <w:t>-4</w:t>
            </w:r>
          </w:p>
        </w:tc>
      </w:tr>
      <w:tr w:rsidR="00F90A26" w:rsidRPr="00B53E2A" w:rsidTr="00FD6E5A">
        <w:trPr>
          <w:trHeight w:val="465"/>
          <w:jc w:val="center"/>
        </w:trPr>
        <w:tc>
          <w:tcPr>
            <w:tcW w:w="519"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6</w:t>
            </w:r>
          </w:p>
        </w:tc>
        <w:tc>
          <w:tcPr>
            <w:tcW w:w="535"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2000-20000</w:t>
            </w:r>
          </w:p>
        </w:tc>
        <w:tc>
          <w:tcPr>
            <w:tcW w:w="536"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F90A26" w:rsidRPr="00FD6E5A" w:rsidRDefault="00F90A26" w:rsidP="00FD6E5A">
            <w:pPr>
              <w:spacing w:line="240" w:lineRule="auto"/>
              <w:rPr>
                <w:lang w:val="en-US"/>
              </w:rPr>
            </w:pPr>
            <w:r w:rsidRPr="00FD6E5A">
              <w:rPr>
                <w:lang w:val="en-US"/>
              </w:rPr>
              <w:t>0-1</w:t>
            </w:r>
          </w:p>
        </w:tc>
        <w:tc>
          <w:tcPr>
            <w:tcW w:w="693"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1000 - 10000</w:t>
            </w:r>
          </w:p>
        </w:tc>
        <w:tc>
          <w:tcPr>
            <w:tcW w:w="612"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100 - 500</w:t>
            </w:r>
          </w:p>
        </w:tc>
        <w:tc>
          <w:tcPr>
            <w:tcW w:w="491"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1E</w:t>
            </w:r>
            <w:r w:rsidRPr="00F778BE">
              <w:rPr>
                <w:lang w:val="en-US"/>
              </w:rPr>
              <w:t>-3</w:t>
            </w:r>
            <w:r w:rsidRPr="00D171D5">
              <w:rPr>
                <w:lang w:val="en-US"/>
              </w:rPr>
              <w:t xml:space="preserve"> - 5E</w:t>
            </w:r>
            <w:r w:rsidRPr="00F778BE">
              <w:rPr>
                <w:lang w:val="en-US"/>
              </w:rPr>
              <w:t>-3</w:t>
            </w:r>
          </w:p>
        </w:tc>
        <w:tc>
          <w:tcPr>
            <w:tcW w:w="452"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1E</w:t>
            </w:r>
            <w:r w:rsidRPr="00F778BE">
              <w:rPr>
                <w:lang w:val="en-US"/>
              </w:rPr>
              <w:t>-3</w:t>
            </w:r>
            <w:r w:rsidRPr="00D171D5">
              <w:rPr>
                <w:lang w:val="en-US"/>
              </w:rPr>
              <w:t xml:space="preserve"> - 5E</w:t>
            </w:r>
            <w:r w:rsidRPr="00F778BE">
              <w:rPr>
                <w:lang w:val="en-US"/>
              </w:rPr>
              <w:t>-3</w:t>
            </w:r>
          </w:p>
        </w:tc>
        <w:tc>
          <w:tcPr>
            <w:tcW w:w="530"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1E</w:t>
            </w:r>
            <w:r w:rsidRPr="00F778BE">
              <w:rPr>
                <w:lang w:val="en-US"/>
              </w:rPr>
              <w:t>-3</w:t>
            </w:r>
            <w:r w:rsidRPr="00D171D5">
              <w:rPr>
                <w:lang w:val="en-US"/>
              </w:rPr>
              <w:t xml:space="preserve"> - 5E</w:t>
            </w:r>
            <w:r w:rsidRPr="00F778BE">
              <w:rPr>
                <w:lang w:val="en-US"/>
              </w:rPr>
              <w:t>-3</w:t>
            </w:r>
          </w:p>
        </w:tc>
        <w:tc>
          <w:tcPr>
            <w:tcW w:w="634"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1E</w:t>
            </w:r>
            <w:r w:rsidRPr="00F778BE">
              <w:rPr>
                <w:lang w:val="en-US"/>
              </w:rPr>
              <w:t>-4</w:t>
            </w:r>
            <w:r w:rsidRPr="00D171D5">
              <w:rPr>
                <w:lang w:val="en-US"/>
              </w:rPr>
              <w:t xml:space="preserve"> - 5E</w:t>
            </w:r>
            <w:r w:rsidRPr="00F778BE">
              <w:rPr>
                <w:lang w:val="en-US"/>
              </w:rPr>
              <w:t>-4</w:t>
            </w:r>
          </w:p>
        </w:tc>
      </w:tr>
      <w:tr w:rsidR="00F90A26" w:rsidRPr="00B53E2A" w:rsidTr="00FD6E5A">
        <w:trPr>
          <w:trHeight w:val="465"/>
          <w:jc w:val="center"/>
        </w:trPr>
        <w:tc>
          <w:tcPr>
            <w:tcW w:w="519"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7 (“Large”)</w:t>
            </w:r>
          </w:p>
        </w:tc>
        <w:tc>
          <w:tcPr>
            <w:tcW w:w="535"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&gt; 20000</w:t>
            </w:r>
          </w:p>
        </w:tc>
        <w:tc>
          <w:tcPr>
            <w:tcW w:w="536" w:type="pct"/>
            <w:tcBorders>
              <w:top w:val="single" w:sz="4" w:space="0" w:color="auto"/>
              <w:left w:val="single" w:sz="4" w:space="0" w:color="auto"/>
              <w:bottom w:val="single" w:sz="4" w:space="0" w:color="auto"/>
              <w:right w:val="single" w:sz="4" w:space="0" w:color="auto"/>
            </w:tcBorders>
            <w:shd w:val="pct12" w:color="auto" w:fill="auto"/>
            <w:vAlign w:val="center"/>
            <w:hideMark/>
          </w:tcPr>
          <w:p w:rsidR="00F90A26" w:rsidRPr="00FD6E5A" w:rsidRDefault="00F90A26" w:rsidP="00FD6E5A">
            <w:pPr>
              <w:spacing w:line="240" w:lineRule="auto"/>
              <w:rPr>
                <w:lang w:val="en-US"/>
              </w:rPr>
            </w:pPr>
            <w:r w:rsidRPr="00FD6E5A">
              <w:rPr>
                <w:lang w:val="en-US"/>
              </w:rPr>
              <w:t>0-100</w:t>
            </w:r>
          </w:p>
        </w:tc>
        <w:tc>
          <w:tcPr>
            <w:tcW w:w="693"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10000 - &gt; 1000000</w:t>
            </w:r>
          </w:p>
        </w:tc>
        <w:tc>
          <w:tcPr>
            <w:tcW w:w="612" w:type="pct"/>
            <w:tcBorders>
              <w:top w:val="single" w:sz="4" w:space="0" w:color="auto"/>
              <w:left w:val="single" w:sz="4" w:space="0" w:color="auto"/>
              <w:bottom w:val="single" w:sz="4" w:space="0" w:color="auto"/>
              <w:right w:val="single" w:sz="4" w:space="0" w:color="auto"/>
            </w:tcBorders>
            <w:vAlign w:val="center"/>
            <w:hideMark/>
          </w:tcPr>
          <w:p w:rsidR="00F90A26" w:rsidRPr="00FD6E5A" w:rsidRDefault="00F90A26" w:rsidP="00FD6E5A">
            <w:pPr>
              <w:spacing w:line="240" w:lineRule="auto"/>
              <w:rPr>
                <w:lang w:val="en-US"/>
              </w:rPr>
            </w:pPr>
            <w:r w:rsidRPr="00FD6E5A">
              <w:rPr>
                <w:lang w:val="en-US"/>
              </w:rPr>
              <w:t>500 - &gt; 10000</w:t>
            </w:r>
          </w:p>
        </w:tc>
        <w:tc>
          <w:tcPr>
            <w:tcW w:w="491"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5E</w:t>
            </w:r>
            <w:r w:rsidRPr="00F778BE">
              <w:rPr>
                <w:lang w:val="en-US"/>
              </w:rPr>
              <w:t>-3</w:t>
            </w:r>
            <w:r w:rsidRPr="00D171D5">
              <w:rPr>
                <w:lang w:val="en-US"/>
              </w:rPr>
              <w:t xml:space="preserve"> - 5E</w:t>
            </w:r>
            <w:r w:rsidRPr="00F778BE">
              <w:rPr>
                <w:lang w:val="en-US"/>
              </w:rPr>
              <w:t>-2</w:t>
            </w:r>
          </w:p>
        </w:tc>
        <w:tc>
          <w:tcPr>
            <w:tcW w:w="452"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5E</w:t>
            </w:r>
            <w:r w:rsidRPr="00F778BE">
              <w:rPr>
                <w:lang w:val="en-US"/>
              </w:rPr>
              <w:t>-3</w:t>
            </w:r>
            <w:r w:rsidRPr="00D171D5">
              <w:rPr>
                <w:lang w:val="en-US"/>
              </w:rPr>
              <w:t xml:space="preserve"> - 5E</w:t>
            </w:r>
            <w:r w:rsidRPr="00F778BE">
              <w:rPr>
                <w:lang w:val="en-US"/>
              </w:rPr>
              <w:t>-2</w:t>
            </w:r>
          </w:p>
        </w:tc>
        <w:tc>
          <w:tcPr>
            <w:tcW w:w="530"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1E</w:t>
            </w:r>
            <w:r w:rsidRPr="00F778BE">
              <w:rPr>
                <w:lang w:val="en-US"/>
              </w:rPr>
              <w:t>-3</w:t>
            </w:r>
            <w:r w:rsidRPr="00D171D5">
              <w:rPr>
                <w:lang w:val="en-US"/>
              </w:rPr>
              <w:t xml:space="preserve"> - 5E</w:t>
            </w:r>
            <w:r w:rsidRPr="00F778BE">
              <w:rPr>
                <w:lang w:val="en-US"/>
              </w:rPr>
              <w:t>-2</w:t>
            </w:r>
          </w:p>
        </w:tc>
        <w:tc>
          <w:tcPr>
            <w:tcW w:w="634" w:type="pct"/>
            <w:tcBorders>
              <w:top w:val="single" w:sz="4" w:space="0" w:color="auto"/>
              <w:left w:val="single" w:sz="4" w:space="0" w:color="auto"/>
              <w:bottom w:val="single" w:sz="4" w:space="0" w:color="auto"/>
              <w:right w:val="single" w:sz="4" w:space="0" w:color="auto"/>
            </w:tcBorders>
            <w:vAlign w:val="center"/>
            <w:hideMark/>
          </w:tcPr>
          <w:p w:rsidR="00F90A26" w:rsidRPr="00D171D5" w:rsidRDefault="00F90A26" w:rsidP="00FD6E5A">
            <w:pPr>
              <w:spacing w:line="240" w:lineRule="auto"/>
              <w:rPr>
                <w:lang w:val="en-US"/>
              </w:rPr>
            </w:pPr>
            <w:r w:rsidRPr="00D171D5">
              <w:rPr>
                <w:lang w:val="en-US"/>
              </w:rPr>
              <w:t>5E</w:t>
            </w:r>
            <w:r w:rsidRPr="00F778BE">
              <w:rPr>
                <w:lang w:val="en-US"/>
              </w:rPr>
              <w:t>-4</w:t>
            </w:r>
            <w:r w:rsidRPr="00D171D5">
              <w:rPr>
                <w:lang w:val="en-US"/>
              </w:rPr>
              <w:t xml:space="preserve"> - 2E</w:t>
            </w:r>
            <w:r w:rsidRPr="00F778BE">
              <w:rPr>
                <w:lang w:val="en-US"/>
              </w:rPr>
              <w:t>-2</w:t>
            </w:r>
          </w:p>
        </w:tc>
      </w:tr>
    </w:tbl>
    <w:p w:rsidR="00F90A26" w:rsidRDefault="00F90A26" w:rsidP="00F90A26">
      <w:pPr>
        <w:rPr>
          <w:iCs/>
          <w:color w:val="000000"/>
          <w:lang w:val="en-US"/>
        </w:rPr>
      </w:pPr>
    </w:p>
    <w:p w:rsidR="0042104F" w:rsidRDefault="0042104F">
      <w:pPr>
        <w:spacing w:line="240" w:lineRule="auto"/>
        <w:jc w:val="left"/>
        <w:rPr>
          <w:iCs/>
          <w:color w:val="000000"/>
          <w:lang w:val="en-US"/>
        </w:rPr>
      </w:pPr>
      <w:r>
        <w:rPr>
          <w:iCs/>
          <w:color w:val="000000"/>
          <w:lang w:val="en-US"/>
        </w:rPr>
        <w:br w:type="page"/>
      </w:r>
    </w:p>
    <w:p w:rsidR="00BE1C25" w:rsidRPr="00520A83" w:rsidRDefault="00BE1C25" w:rsidP="00BE1C25">
      <w:pPr>
        <w:rPr>
          <w:lang w:val="en-US"/>
        </w:rPr>
      </w:pPr>
      <w:r w:rsidRPr="00520A83">
        <w:rPr>
          <w:lang w:val="en-US"/>
        </w:rPr>
        <w:lastRenderedPageBreak/>
        <w:t xml:space="preserve">As discussed previously and in in Section </w:t>
      </w:r>
      <w:r w:rsidR="00CD0CBE">
        <w:fldChar w:fldCharType="begin"/>
      </w:r>
      <w:r w:rsidR="00CD0CBE">
        <w:instrText xml:space="preserve"> REF _Ref273538824 \r \h  \* MERGEFORMAT </w:instrText>
      </w:r>
      <w:r w:rsidR="00CD0CBE">
        <w:fldChar w:fldCharType="separate"/>
      </w:r>
      <w:r w:rsidR="00B772CA">
        <w:t>1</w:t>
      </w:r>
      <w:r w:rsidR="00CD0CBE">
        <w:fldChar w:fldCharType="end"/>
      </w:r>
      <w:r w:rsidRPr="00520A83">
        <w:rPr>
          <w:lang w:val="en-US"/>
        </w:rPr>
        <w:t>, there is no common understanding of “acceptable” risk and each domain of economy/industry has its own explanation. Aiming to find a Common Risk Target to compare the PSA results for evaluation of safety of nuclear facilities the three following major postulates based on the IAEA definitions are used within the CRT methodology derivation:</w:t>
      </w:r>
    </w:p>
    <w:p w:rsidR="00BE1C25" w:rsidRPr="00520A83" w:rsidRDefault="00BE1C25" w:rsidP="00BE1C25">
      <w:pPr>
        <w:pStyle w:val="Paragraphedeliste"/>
        <w:numPr>
          <w:ilvl w:val="0"/>
          <w:numId w:val="167"/>
        </w:numPr>
        <w:rPr>
          <w:lang w:val="en-US"/>
        </w:rPr>
      </w:pPr>
      <w:r w:rsidRPr="00520A83">
        <w:rPr>
          <w:lang w:val="en-US"/>
        </w:rPr>
        <w:t xml:space="preserve">Risk is the product of frequency and consequences </w:t>
      </w:r>
      <w:r w:rsidR="00CD0CBE">
        <w:fldChar w:fldCharType="begin"/>
      </w:r>
      <w:r w:rsidR="00CD0CBE">
        <w:instrText xml:space="preserve"> REF _Ref467700854 \r \h  \* MERGEFORMAT </w:instrText>
      </w:r>
      <w:r w:rsidR="00CD0CBE">
        <w:fldChar w:fldCharType="separate"/>
      </w:r>
      <w:r w:rsidR="00B772CA" w:rsidRPr="00B772CA">
        <w:rPr>
          <w:lang w:val="en-US"/>
        </w:rPr>
        <w:t>[121]</w:t>
      </w:r>
      <w:r w:rsidR="00CD0CBE">
        <w:fldChar w:fldCharType="end"/>
      </w:r>
      <w:r w:rsidRPr="00520A83">
        <w:rPr>
          <w:lang w:val="en-US"/>
        </w:rPr>
        <w:t xml:space="preserve">. </w:t>
      </w:r>
    </w:p>
    <w:p w:rsidR="00BE1C25" w:rsidRPr="00520A83" w:rsidRDefault="00BE1C25" w:rsidP="00BE1C25">
      <w:pPr>
        <w:pStyle w:val="Paragraphedeliste"/>
        <w:numPr>
          <w:ilvl w:val="0"/>
          <w:numId w:val="167"/>
        </w:numPr>
        <w:rPr>
          <w:lang w:val="en-US"/>
        </w:rPr>
      </w:pPr>
      <w:r w:rsidRPr="00520A83">
        <w:rPr>
          <w:lang w:val="en-US"/>
        </w:rPr>
        <w:t xml:space="preserve">Risk </w:t>
      </w:r>
      <w:r w:rsidR="00865620" w:rsidRPr="00520A83">
        <w:rPr>
          <w:lang w:val="en-US"/>
        </w:rPr>
        <w:t xml:space="preserve">from nuclear facilities </w:t>
      </w:r>
      <w:r w:rsidRPr="00520A83">
        <w:rPr>
          <w:lang w:val="en-US"/>
        </w:rPr>
        <w:t xml:space="preserve">should not significantly enhance the already accepted risks from other industrial activities </w:t>
      </w:r>
      <w:r w:rsidR="00CD0CBE">
        <w:fldChar w:fldCharType="begin"/>
      </w:r>
      <w:r w:rsidR="00CD0CBE">
        <w:instrText xml:space="preserve"> REF _Ref467700854 \r \h  \* MERGEFORMAT </w:instrText>
      </w:r>
      <w:r w:rsidR="00CD0CBE">
        <w:fldChar w:fldCharType="separate"/>
      </w:r>
      <w:r w:rsidR="00B772CA" w:rsidRPr="00B772CA">
        <w:rPr>
          <w:lang w:val="en-US"/>
        </w:rPr>
        <w:t>[121]</w:t>
      </w:r>
      <w:r w:rsidR="00CD0CBE">
        <w:fldChar w:fldCharType="end"/>
      </w:r>
      <w:r w:rsidRPr="00520A83">
        <w:rPr>
          <w:lang w:val="en-US"/>
        </w:rPr>
        <w:t>.</w:t>
      </w:r>
    </w:p>
    <w:p w:rsidR="00BE1C25" w:rsidRPr="00520A83" w:rsidRDefault="00BE1C25" w:rsidP="00BE1C25">
      <w:pPr>
        <w:pStyle w:val="Paragraphedeliste"/>
        <w:numPr>
          <w:ilvl w:val="0"/>
          <w:numId w:val="167"/>
        </w:numPr>
        <w:rPr>
          <w:lang w:val="en-US"/>
        </w:rPr>
      </w:pPr>
      <w:r w:rsidRPr="00520A83">
        <w:rPr>
          <w:lang w:val="en-US"/>
        </w:rPr>
        <w:t>The total risk should be a constant (i.e. the frequency of accidents resulting in larger consequences should proportionally decrease with consequences in accordance with the Farm</w:t>
      </w:r>
      <w:r w:rsidRPr="00CF57A4">
        <w:rPr>
          <w:lang w:val="en-US"/>
        </w:rPr>
        <w:t>er curve, or IAEA INES scale</w:t>
      </w:r>
      <w:r w:rsidRPr="00520A83">
        <w:rPr>
          <w:lang w:val="en-US"/>
        </w:rPr>
        <w:t xml:space="preserve">) </w:t>
      </w:r>
      <w:r w:rsidR="00CD0CBE">
        <w:fldChar w:fldCharType="begin"/>
      </w:r>
      <w:r w:rsidR="00CD0CBE">
        <w:instrText xml:space="preserve"> REF _Ref467700854 \r \h  \* MERGEFORMAT </w:instrText>
      </w:r>
      <w:r w:rsidR="00CD0CBE">
        <w:fldChar w:fldCharType="separate"/>
      </w:r>
      <w:r w:rsidR="00B772CA" w:rsidRPr="00B772CA">
        <w:rPr>
          <w:lang w:val="en-US"/>
        </w:rPr>
        <w:t>[121]</w:t>
      </w:r>
      <w:r w:rsidR="00CD0CBE">
        <w:fldChar w:fldCharType="end"/>
      </w:r>
      <w:r w:rsidR="00CD0CBE">
        <w:fldChar w:fldCharType="begin"/>
      </w:r>
      <w:r w:rsidR="00CD0CBE">
        <w:instrText xml:space="preserve"> REF _Ref342818713 \r \h  \* MERGEFORMAT </w:instrText>
      </w:r>
      <w:r w:rsidR="00CD0CBE">
        <w:fldChar w:fldCharType="separate"/>
      </w:r>
      <w:r w:rsidR="00B772CA" w:rsidRPr="00B772CA">
        <w:rPr>
          <w:lang w:val="en-US"/>
        </w:rPr>
        <w:t>[122]</w:t>
      </w:r>
      <w:r w:rsidR="00CD0CBE">
        <w:fldChar w:fldCharType="end"/>
      </w:r>
      <w:r w:rsidRPr="00520A83">
        <w:rPr>
          <w:lang w:val="en-US"/>
        </w:rPr>
        <w:t>.</w:t>
      </w:r>
    </w:p>
    <w:p w:rsidR="00BE1C25" w:rsidRPr="00CF57A4" w:rsidRDefault="00BE1C25" w:rsidP="00BE1C25">
      <w:pPr>
        <w:rPr>
          <w:lang w:val="en-US"/>
        </w:rPr>
      </w:pPr>
      <w:r w:rsidRPr="00520A83">
        <w:rPr>
          <w:lang w:val="en-US"/>
        </w:rPr>
        <w:t>For the postulate C the Farmer curve is used, that represents constant risk. For better demonstration of the concept of risk the following table is used:</w:t>
      </w:r>
    </w:p>
    <w:p w:rsidR="00BE1C25" w:rsidRPr="00C969FB" w:rsidRDefault="00BE1C25" w:rsidP="00BE1C25">
      <w:pPr>
        <w:rPr>
          <w:lang w:val="en-US"/>
        </w:rPr>
      </w:pPr>
    </w:p>
    <w:p w:rsidR="00BE1C25" w:rsidRPr="00A445AC" w:rsidRDefault="00BE1C25" w:rsidP="00E236DA">
      <w:pPr>
        <w:pStyle w:val="Lgende"/>
      </w:pPr>
      <w:bookmarkStart w:id="371" w:name="_Toc474428903"/>
      <w:r w:rsidRPr="00520A83">
        <w:t>Table</w:t>
      </w:r>
      <w:r w:rsidRPr="00E236DA">
        <w:t xml:space="preserve"> </w:t>
      </w:r>
      <w:r w:rsidR="009E768B" w:rsidRPr="00FD6E5A">
        <w:fldChar w:fldCharType="begin"/>
      </w:r>
      <w:r w:rsidRPr="00BE1C25">
        <w:instrText xml:space="preserve"> SEQ Table \* ARABIC </w:instrText>
      </w:r>
      <w:r w:rsidR="009E768B" w:rsidRPr="00FD6E5A">
        <w:fldChar w:fldCharType="separate"/>
      </w:r>
      <w:r w:rsidR="00B772CA">
        <w:rPr>
          <w:noProof/>
        </w:rPr>
        <w:t>7</w:t>
      </w:r>
      <w:r w:rsidR="009E768B" w:rsidRPr="00FD6E5A">
        <w:fldChar w:fldCharType="end"/>
      </w:r>
      <w:r w:rsidRPr="00E236DA">
        <w:t> : Concept of Risk</w:t>
      </w:r>
      <w:bookmarkEnd w:id="371"/>
    </w:p>
    <w:p w:rsidR="00BE1C25" w:rsidRPr="00486110" w:rsidRDefault="00BE1C25" w:rsidP="00BE1C25">
      <w:pPr>
        <w:pStyle w:val="authors"/>
        <w:spacing w:before="0" w:beforeAutospacing="0" w:after="120" w:afterAutospacing="0"/>
        <w:jc w:val="center"/>
        <w:rPr>
          <w:rFonts w:ascii="Trebuchet MS" w:hAnsi="Trebuchet MS"/>
          <w:sz w:val="18"/>
          <w:szCs w:val="1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167"/>
        <w:gridCol w:w="1167"/>
        <w:gridCol w:w="1167"/>
      </w:tblGrid>
      <w:tr w:rsidR="00BE1C25" w:rsidRPr="00486110" w:rsidTr="00BE1C25">
        <w:trPr>
          <w:jc w:val="center"/>
        </w:trPr>
        <w:tc>
          <w:tcPr>
            <w:tcW w:w="1310" w:type="dxa"/>
            <w:tcBorders>
              <w:top w:val="single" w:sz="4" w:space="0" w:color="auto"/>
              <w:left w:val="single" w:sz="4" w:space="0" w:color="auto"/>
              <w:bottom w:val="single" w:sz="4" w:space="0" w:color="auto"/>
              <w:right w:val="single" w:sz="4" w:space="0" w:color="auto"/>
            </w:tcBorders>
          </w:tcPr>
          <w:p w:rsidR="00BE1C25" w:rsidRPr="00486110" w:rsidRDefault="00BE1C25" w:rsidP="00BE1C25">
            <w:pPr>
              <w:rPr>
                <w:rFonts w:ascii="Arial" w:hAnsi="Arial"/>
                <w:b/>
                <w:sz w:val="22"/>
                <w:szCs w:val="22"/>
                <w:lang w:val="en-US"/>
              </w:rPr>
            </w:pPr>
          </w:p>
        </w:tc>
        <w:tc>
          <w:tcPr>
            <w:tcW w:w="3501" w:type="dxa"/>
            <w:gridSpan w:val="3"/>
            <w:tcBorders>
              <w:top w:val="single" w:sz="4" w:space="0" w:color="auto"/>
              <w:left w:val="single" w:sz="4" w:space="0" w:color="auto"/>
              <w:bottom w:val="single" w:sz="4" w:space="0" w:color="auto"/>
              <w:right w:val="single" w:sz="4" w:space="0" w:color="auto"/>
            </w:tcBorders>
            <w:hideMark/>
          </w:tcPr>
          <w:p w:rsidR="00BE1C25" w:rsidRPr="00486110" w:rsidRDefault="00BE1C25" w:rsidP="00BE1C25">
            <w:pPr>
              <w:jc w:val="center"/>
              <w:rPr>
                <w:rFonts w:ascii="Arial" w:hAnsi="Arial"/>
                <w:b/>
                <w:sz w:val="22"/>
                <w:szCs w:val="22"/>
                <w:lang w:val="en-US"/>
              </w:rPr>
            </w:pPr>
            <w:r w:rsidRPr="00486110">
              <w:rPr>
                <w:b/>
                <w:lang w:val="en-US"/>
              </w:rPr>
              <w:t>Consequences</w:t>
            </w:r>
          </w:p>
        </w:tc>
      </w:tr>
      <w:tr w:rsidR="00BE1C25" w:rsidRPr="00486110" w:rsidTr="00BE1C25">
        <w:trPr>
          <w:jc w:val="center"/>
        </w:trPr>
        <w:tc>
          <w:tcPr>
            <w:tcW w:w="1310" w:type="dxa"/>
            <w:tcBorders>
              <w:top w:val="single" w:sz="4" w:space="0" w:color="auto"/>
              <w:left w:val="single" w:sz="4" w:space="0" w:color="auto"/>
              <w:bottom w:val="single" w:sz="4" w:space="0" w:color="auto"/>
              <w:right w:val="single" w:sz="4" w:space="0" w:color="auto"/>
            </w:tcBorders>
            <w:hideMark/>
          </w:tcPr>
          <w:p w:rsidR="00BE1C25" w:rsidRPr="00486110" w:rsidRDefault="00BE1C25" w:rsidP="00BE1C25">
            <w:pPr>
              <w:rPr>
                <w:rFonts w:ascii="Arial" w:hAnsi="Arial"/>
                <w:b/>
                <w:sz w:val="22"/>
                <w:szCs w:val="22"/>
                <w:lang w:val="en-US"/>
              </w:rPr>
            </w:pPr>
            <w:r w:rsidRPr="00486110">
              <w:rPr>
                <w:b/>
                <w:lang w:val="en-US"/>
              </w:rPr>
              <w:t>Frequency</w:t>
            </w:r>
          </w:p>
        </w:tc>
        <w:tc>
          <w:tcPr>
            <w:tcW w:w="1167" w:type="dxa"/>
            <w:tcBorders>
              <w:top w:val="single" w:sz="4" w:space="0" w:color="auto"/>
              <w:left w:val="single" w:sz="4" w:space="0" w:color="auto"/>
              <w:bottom w:val="single" w:sz="4" w:space="0" w:color="auto"/>
              <w:right w:val="single" w:sz="4" w:space="0" w:color="auto"/>
            </w:tcBorders>
            <w:hideMark/>
          </w:tcPr>
          <w:p w:rsidR="00BE1C25" w:rsidRPr="00486110" w:rsidRDefault="00BE1C25" w:rsidP="00BE1C25">
            <w:pPr>
              <w:rPr>
                <w:rFonts w:ascii="Arial" w:hAnsi="Arial"/>
                <w:b/>
                <w:sz w:val="22"/>
                <w:szCs w:val="22"/>
                <w:lang w:val="en-US"/>
              </w:rPr>
            </w:pPr>
            <w:r w:rsidRPr="00486110">
              <w:rPr>
                <w:b/>
                <w:lang w:val="en-US"/>
              </w:rPr>
              <w:t>Low</w:t>
            </w:r>
          </w:p>
        </w:tc>
        <w:tc>
          <w:tcPr>
            <w:tcW w:w="1167" w:type="dxa"/>
            <w:tcBorders>
              <w:top w:val="single" w:sz="4" w:space="0" w:color="auto"/>
              <w:left w:val="single" w:sz="4" w:space="0" w:color="auto"/>
              <w:bottom w:val="single" w:sz="4" w:space="0" w:color="auto"/>
              <w:right w:val="single" w:sz="4" w:space="0" w:color="auto"/>
            </w:tcBorders>
            <w:hideMark/>
          </w:tcPr>
          <w:p w:rsidR="00BE1C25" w:rsidRPr="00486110" w:rsidRDefault="00BE1C25" w:rsidP="00BE1C25">
            <w:pPr>
              <w:rPr>
                <w:rFonts w:ascii="Arial" w:hAnsi="Arial"/>
                <w:b/>
                <w:sz w:val="22"/>
                <w:szCs w:val="22"/>
                <w:lang w:val="en-US"/>
              </w:rPr>
            </w:pPr>
            <w:r w:rsidRPr="00486110">
              <w:rPr>
                <w:b/>
                <w:lang w:val="en-US"/>
              </w:rPr>
              <w:t>High</w:t>
            </w:r>
          </w:p>
        </w:tc>
        <w:tc>
          <w:tcPr>
            <w:tcW w:w="1167" w:type="dxa"/>
            <w:tcBorders>
              <w:top w:val="single" w:sz="4" w:space="0" w:color="auto"/>
              <w:left w:val="single" w:sz="4" w:space="0" w:color="auto"/>
              <w:bottom w:val="single" w:sz="4" w:space="0" w:color="auto"/>
              <w:right w:val="single" w:sz="4" w:space="0" w:color="auto"/>
            </w:tcBorders>
            <w:hideMark/>
          </w:tcPr>
          <w:p w:rsidR="00BE1C25" w:rsidRPr="00486110" w:rsidRDefault="00BE1C25" w:rsidP="00BE1C25">
            <w:pPr>
              <w:rPr>
                <w:rFonts w:ascii="Arial" w:hAnsi="Arial"/>
                <w:b/>
                <w:sz w:val="22"/>
                <w:szCs w:val="22"/>
                <w:lang w:val="en-US"/>
              </w:rPr>
            </w:pPr>
            <w:r w:rsidRPr="00486110">
              <w:rPr>
                <w:b/>
                <w:lang w:val="en-US"/>
              </w:rPr>
              <w:t>Very high</w:t>
            </w:r>
          </w:p>
        </w:tc>
      </w:tr>
      <w:tr w:rsidR="00BE1C25" w:rsidRPr="00486110" w:rsidTr="00BE1C25">
        <w:trPr>
          <w:jc w:val="center"/>
        </w:trPr>
        <w:tc>
          <w:tcPr>
            <w:tcW w:w="1310" w:type="dxa"/>
            <w:tcBorders>
              <w:top w:val="single" w:sz="4" w:space="0" w:color="auto"/>
              <w:left w:val="single" w:sz="4" w:space="0" w:color="auto"/>
              <w:bottom w:val="single" w:sz="4" w:space="0" w:color="auto"/>
              <w:right w:val="single" w:sz="4" w:space="0" w:color="auto"/>
            </w:tcBorders>
            <w:hideMark/>
          </w:tcPr>
          <w:p w:rsidR="00BE1C25" w:rsidRPr="00486110" w:rsidRDefault="00BE1C25" w:rsidP="00BE1C25">
            <w:pPr>
              <w:rPr>
                <w:rFonts w:ascii="Arial" w:hAnsi="Arial"/>
                <w:b/>
                <w:sz w:val="22"/>
                <w:szCs w:val="22"/>
                <w:lang w:val="en-US"/>
              </w:rPr>
            </w:pPr>
            <w:r w:rsidRPr="00486110">
              <w:rPr>
                <w:b/>
                <w:lang w:val="en-US"/>
              </w:rPr>
              <w:t>Low</w:t>
            </w:r>
          </w:p>
        </w:tc>
        <w:tc>
          <w:tcPr>
            <w:tcW w:w="1167" w:type="dxa"/>
            <w:tcBorders>
              <w:top w:val="single" w:sz="4" w:space="0" w:color="auto"/>
              <w:left w:val="single" w:sz="4" w:space="0" w:color="auto"/>
              <w:bottom w:val="single" w:sz="4" w:space="0" w:color="auto"/>
              <w:right w:val="single" w:sz="4" w:space="0" w:color="auto"/>
            </w:tcBorders>
            <w:shd w:val="pct10" w:color="auto" w:fill="auto"/>
          </w:tcPr>
          <w:p w:rsidR="00BE1C25" w:rsidRPr="00486110" w:rsidRDefault="00BE1C25" w:rsidP="00BE1C25">
            <w:pPr>
              <w:rPr>
                <w:rFonts w:ascii="Arial" w:hAnsi="Arial"/>
                <w:sz w:val="22"/>
                <w:szCs w:val="22"/>
                <w:lang w:val="en-US"/>
              </w:rPr>
            </w:pPr>
          </w:p>
        </w:tc>
        <w:tc>
          <w:tcPr>
            <w:tcW w:w="1167" w:type="dxa"/>
            <w:tcBorders>
              <w:top w:val="single" w:sz="4" w:space="0" w:color="auto"/>
              <w:left w:val="single" w:sz="4" w:space="0" w:color="auto"/>
              <w:bottom w:val="single" w:sz="4" w:space="0" w:color="auto"/>
              <w:right w:val="single" w:sz="4" w:space="0" w:color="auto"/>
            </w:tcBorders>
            <w:shd w:val="pct10" w:color="auto" w:fill="auto"/>
          </w:tcPr>
          <w:p w:rsidR="00BE1C25" w:rsidRPr="00486110" w:rsidRDefault="00BE1C25" w:rsidP="00BE1C25">
            <w:pPr>
              <w:rPr>
                <w:rFonts w:ascii="Arial" w:hAnsi="Arial"/>
                <w:sz w:val="22"/>
                <w:szCs w:val="22"/>
                <w:lang w:val="en-US"/>
              </w:rPr>
            </w:pPr>
          </w:p>
        </w:tc>
        <w:tc>
          <w:tcPr>
            <w:tcW w:w="1167" w:type="dxa"/>
            <w:tcBorders>
              <w:top w:val="single" w:sz="4" w:space="0" w:color="auto"/>
              <w:left w:val="single" w:sz="4" w:space="0" w:color="auto"/>
              <w:bottom w:val="single" w:sz="4" w:space="0" w:color="auto"/>
              <w:right w:val="single" w:sz="4" w:space="0" w:color="auto"/>
            </w:tcBorders>
            <w:shd w:val="pct10" w:color="auto" w:fill="auto"/>
          </w:tcPr>
          <w:p w:rsidR="00BE1C25" w:rsidRPr="00486110" w:rsidRDefault="00BE1C25" w:rsidP="00BE1C25">
            <w:pPr>
              <w:rPr>
                <w:rFonts w:ascii="Arial" w:hAnsi="Arial"/>
                <w:sz w:val="22"/>
                <w:szCs w:val="22"/>
                <w:lang w:val="en-US"/>
              </w:rPr>
            </w:pPr>
          </w:p>
        </w:tc>
      </w:tr>
      <w:tr w:rsidR="00BE1C25" w:rsidRPr="00486110" w:rsidTr="00BE1C25">
        <w:trPr>
          <w:jc w:val="center"/>
        </w:trPr>
        <w:tc>
          <w:tcPr>
            <w:tcW w:w="1310" w:type="dxa"/>
            <w:tcBorders>
              <w:top w:val="single" w:sz="4" w:space="0" w:color="auto"/>
              <w:left w:val="single" w:sz="4" w:space="0" w:color="auto"/>
              <w:bottom w:val="single" w:sz="4" w:space="0" w:color="auto"/>
              <w:right w:val="single" w:sz="4" w:space="0" w:color="auto"/>
            </w:tcBorders>
            <w:hideMark/>
          </w:tcPr>
          <w:p w:rsidR="00BE1C25" w:rsidRPr="00486110" w:rsidRDefault="00BE1C25" w:rsidP="00BE1C25">
            <w:pPr>
              <w:rPr>
                <w:rFonts w:ascii="Arial" w:hAnsi="Arial"/>
                <w:b/>
                <w:sz w:val="22"/>
                <w:szCs w:val="22"/>
                <w:lang w:val="en-US"/>
              </w:rPr>
            </w:pPr>
            <w:r w:rsidRPr="00486110">
              <w:rPr>
                <w:b/>
                <w:lang w:val="en-US"/>
              </w:rPr>
              <w:t>High</w:t>
            </w:r>
          </w:p>
        </w:tc>
        <w:tc>
          <w:tcPr>
            <w:tcW w:w="1167" w:type="dxa"/>
            <w:tcBorders>
              <w:top w:val="single" w:sz="4" w:space="0" w:color="auto"/>
              <w:left w:val="single" w:sz="4" w:space="0" w:color="auto"/>
              <w:bottom w:val="single" w:sz="4" w:space="0" w:color="auto"/>
              <w:right w:val="single" w:sz="4" w:space="0" w:color="auto"/>
            </w:tcBorders>
            <w:shd w:val="pct10" w:color="auto" w:fill="auto"/>
          </w:tcPr>
          <w:p w:rsidR="00BE1C25" w:rsidRPr="00486110" w:rsidRDefault="00BE1C25" w:rsidP="00BE1C25">
            <w:pPr>
              <w:rPr>
                <w:rFonts w:ascii="Arial" w:hAnsi="Arial"/>
                <w:sz w:val="22"/>
                <w:szCs w:val="22"/>
                <w:lang w:val="en-US"/>
              </w:rPr>
            </w:pPr>
          </w:p>
        </w:tc>
        <w:tc>
          <w:tcPr>
            <w:tcW w:w="1167" w:type="dxa"/>
            <w:tcBorders>
              <w:top w:val="single" w:sz="4" w:space="0" w:color="auto"/>
              <w:left w:val="single" w:sz="4" w:space="0" w:color="auto"/>
              <w:bottom w:val="single" w:sz="4" w:space="0" w:color="auto"/>
              <w:right w:val="single" w:sz="4" w:space="0" w:color="auto"/>
            </w:tcBorders>
            <w:shd w:val="pct10" w:color="auto" w:fill="auto"/>
          </w:tcPr>
          <w:p w:rsidR="00BE1C25" w:rsidRPr="00486110" w:rsidRDefault="00BE1C25" w:rsidP="00BE1C25">
            <w:pPr>
              <w:rPr>
                <w:rFonts w:ascii="Arial" w:hAnsi="Arial"/>
                <w:sz w:val="22"/>
                <w:szCs w:val="22"/>
                <w:lang w:val="en-US"/>
              </w:rPr>
            </w:pPr>
          </w:p>
        </w:tc>
        <w:tc>
          <w:tcPr>
            <w:tcW w:w="1167" w:type="dxa"/>
            <w:tcBorders>
              <w:top w:val="single" w:sz="4" w:space="0" w:color="auto"/>
              <w:left w:val="single" w:sz="4" w:space="0" w:color="auto"/>
              <w:bottom w:val="single" w:sz="4" w:space="0" w:color="auto"/>
              <w:right w:val="single" w:sz="4" w:space="0" w:color="auto"/>
            </w:tcBorders>
          </w:tcPr>
          <w:p w:rsidR="00BE1C25" w:rsidRPr="00486110" w:rsidRDefault="00BE1C25" w:rsidP="00BE1C25">
            <w:pPr>
              <w:rPr>
                <w:rFonts w:ascii="Arial" w:hAnsi="Arial"/>
                <w:sz w:val="22"/>
                <w:szCs w:val="22"/>
                <w:lang w:val="en-US"/>
              </w:rPr>
            </w:pPr>
          </w:p>
        </w:tc>
      </w:tr>
      <w:tr w:rsidR="00BE1C25" w:rsidRPr="00486110" w:rsidTr="00BE1C25">
        <w:trPr>
          <w:jc w:val="center"/>
        </w:trPr>
        <w:tc>
          <w:tcPr>
            <w:tcW w:w="1310" w:type="dxa"/>
            <w:tcBorders>
              <w:top w:val="single" w:sz="4" w:space="0" w:color="auto"/>
              <w:left w:val="single" w:sz="4" w:space="0" w:color="auto"/>
              <w:bottom w:val="single" w:sz="4" w:space="0" w:color="auto"/>
              <w:right w:val="single" w:sz="4" w:space="0" w:color="auto"/>
            </w:tcBorders>
            <w:hideMark/>
          </w:tcPr>
          <w:p w:rsidR="00BE1C25" w:rsidRPr="00486110" w:rsidRDefault="00BE1C25" w:rsidP="00BE1C25">
            <w:pPr>
              <w:rPr>
                <w:rFonts w:ascii="Arial" w:hAnsi="Arial"/>
                <w:b/>
                <w:sz w:val="22"/>
                <w:szCs w:val="22"/>
                <w:lang w:val="en-US"/>
              </w:rPr>
            </w:pPr>
            <w:r w:rsidRPr="00486110">
              <w:rPr>
                <w:b/>
                <w:lang w:val="en-US"/>
              </w:rPr>
              <w:t>Very High</w:t>
            </w:r>
          </w:p>
        </w:tc>
        <w:tc>
          <w:tcPr>
            <w:tcW w:w="1167" w:type="dxa"/>
            <w:tcBorders>
              <w:top w:val="single" w:sz="4" w:space="0" w:color="auto"/>
              <w:left w:val="single" w:sz="4" w:space="0" w:color="auto"/>
              <w:bottom w:val="single" w:sz="4" w:space="0" w:color="auto"/>
              <w:right w:val="single" w:sz="4" w:space="0" w:color="auto"/>
            </w:tcBorders>
            <w:shd w:val="pct10" w:color="auto" w:fill="auto"/>
          </w:tcPr>
          <w:p w:rsidR="00BE1C25" w:rsidRPr="00486110" w:rsidRDefault="00BE1C25" w:rsidP="00BE1C25">
            <w:pPr>
              <w:rPr>
                <w:rFonts w:ascii="Arial" w:hAnsi="Arial"/>
                <w:sz w:val="22"/>
                <w:szCs w:val="22"/>
                <w:lang w:val="en-US"/>
              </w:rPr>
            </w:pPr>
          </w:p>
        </w:tc>
        <w:tc>
          <w:tcPr>
            <w:tcW w:w="1167" w:type="dxa"/>
            <w:tcBorders>
              <w:top w:val="single" w:sz="4" w:space="0" w:color="auto"/>
              <w:left w:val="single" w:sz="4" w:space="0" w:color="auto"/>
              <w:bottom w:val="single" w:sz="4" w:space="0" w:color="auto"/>
              <w:right w:val="single" w:sz="4" w:space="0" w:color="auto"/>
            </w:tcBorders>
          </w:tcPr>
          <w:p w:rsidR="00BE1C25" w:rsidRPr="00486110" w:rsidRDefault="00BE1C25" w:rsidP="00BE1C25">
            <w:pPr>
              <w:rPr>
                <w:rFonts w:ascii="Arial" w:hAnsi="Arial"/>
                <w:sz w:val="22"/>
                <w:szCs w:val="22"/>
                <w:lang w:val="en-US"/>
              </w:rPr>
            </w:pPr>
          </w:p>
        </w:tc>
        <w:tc>
          <w:tcPr>
            <w:tcW w:w="1167" w:type="dxa"/>
            <w:tcBorders>
              <w:top w:val="single" w:sz="4" w:space="0" w:color="auto"/>
              <w:left w:val="single" w:sz="4" w:space="0" w:color="auto"/>
              <w:bottom w:val="single" w:sz="4" w:space="0" w:color="auto"/>
              <w:right w:val="single" w:sz="4" w:space="0" w:color="auto"/>
            </w:tcBorders>
          </w:tcPr>
          <w:p w:rsidR="00BE1C25" w:rsidRPr="00486110" w:rsidRDefault="00BE1C25" w:rsidP="00BE1C25">
            <w:pPr>
              <w:rPr>
                <w:rFonts w:ascii="Arial" w:hAnsi="Arial"/>
                <w:sz w:val="22"/>
                <w:szCs w:val="22"/>
                <w:lang w:val="en-US"/>
              </w:rPr>
            </w:pPr>
          </w:p>
        </w:tc>
      </w:tr>
    </w:tbl>
    <w:p w:rsidR="00BE1C25" w:rsidRPr="00486110" w:rsidRDefault="00BE1C25" w:rsidP="00BE1C25">
      <w:pPr>
        <w:rPr>
          <w:rFonts w:ascii="Arial" w:hAnsi="Arial"/>
          <w:sz w:val="22"/>
          <w:szCs w:val="22"/>
          <w:lang w:val="en-US"/>
        </w:rPr>
      </w:pPr>
    </w:p>
    <w:p w:rsidR="00BE1C25" w:rsidRPr="00520A83" w:rsidRDefault="00BE1C25" w:rsidP="00BE1C25">
      <w:pPr>
        <w:rPr>
          <w:lang w:val="en-US"/>
        </w:rPr>
      </w:pPr>
      <w:r w:rsidRPr="00520A83">
        <w:rPr>
          <w:lang w:val="en-US"/>
        </w:rPr>
        <w:t>The grey fields in the table represent the acceptable results from the point of view of total risk and they are obtained by multiplication of the corresponding cells in the table. The border may be defined as the highest product coming from combinations very high-low, or high-high. This way, the Farmer curve is defined, i.e. a constant acceptable risk is defined. Now, the task is to find the corresponding levels of Low, High and Very high frequency and consequences.</w:t>
      </w:r>
    </w:p>
    <w:p w:rsidR="00BE1C25" w:rsidRPr="00520A83" w:rsidRDefault="00BE1C25" w:rsidP="00BE1C25">
      <w:pPr>
        <w:rPr>
          <w:lang w:val="en-US"/>
        </w:rPr>
      </w:pPr>
    </w:p>
    <w:p w:rsidR="00BE1C25" w:rsidRPr="00520A83" w:rsidRDefault="00BE1C25" w:rsidP="00BE1C25">
      <w:pPr>
        <w:rPr>
          <w:lang w:val="en-US"/>
        </w:rPr>
      </w:pPr>
      <w:r w:rsidRPr="00520A83">
        <w:rPr>
          <w:lang w:val="en-US"/>
        </w:rPr>
        <w:t xml:space="preserve">For the purpose of finding grades of consequences the IAEA INES scale may be used, since it is graded according to the amount of releases during an incident/accident similar way as shown in the table above, and therefore for the levels Low, High and Very High the INES grades INES5, INES6 and INES7 can be taken which differ in principle by one order of magnitude. According to </w:t>
      </w:r>
      <w:r w:rsidR="00CD0CBE">
        <w:fldChar w:fldCharType="begin"/>
      </w:r>
      <w:r w:rsidR="00CD0CBE">
        <w:instrText xml:space="preserve"> REF _Ref467700854 \r \h  \* MERGEFORMAT </w:instrText>
      </w:r>
      <w:r w:rsidR="00CD0CBE">
        <w:fldChar w:fldCharType="separate"/>
      </w:r>
      <w:r w:rsidR="00B772CA" w:rsidRPr="00B772CA">
        <w:rPr>
          <w:lang w:val="en-US"/>
        </w:rPr>
        <w:t>[121]</w:t>
      </w:r>
      <w:r w:rsidR="00CD0CBE">
        <w:fldChar w:fldCharType="end"/>
      </w:r>
      <w:r w:rsidRPr="00520A83">
        <w:rPr>
          <w:lang w:val="en-US"/>
        </w:rPr>
        <w:t xml:space="preserve"> Principle 3, 3.15 “Safety has to be assessed for all facilities and activities, consistent with a graded approach”. Here it should be reminded that risks coming from Severe Accidents of nuclear power plants are part of total nuclear risks that are related also to mining, manufacturing, reprocessing, transport, normal operation, design basis accidents, decommissioning and disposals.</w:t>
      </w:r>
    </w:p>
    <w:p w:rsidR="00BE1C25" w:rsidRPr="00520A83" w:rsidRDefault="00BE1C25" w:rsidP="00BE1C25">
      <w:pPr>
        <w:rPr>
          <w:lang w:val="en-US"/>
        </w:rPr>
      </w:pPr>
    </w:p>
    <w:p w:rsidR="00BE1C25" w:rsidRPr="00CF57A4" w:rsidRDefault="00BE1C25" w:rsidP="00E236DA">
      <w:pPr>
        <w:rPr>
          <w:lang w:val="en-US"/>
        </w:rPr>
      </w:pPr>
      <w:r w:rsidRPr="00520A83">
        <w:rPr>
          <w:lang w:val="en-US"/>
        </w:rPr>
        <w:t>The following measures of risk are generally considered while evaluating total risks: individual risk, societal risk, environmental risk and economic risk, therefore also for ASAMPSA</w:t>
      </w:r>
      <w:r w:rsidR="007A2E00">
        <w:rPr>
          <w:lang w:val="en-US"/>
        </w:rPr>
        <w:t>_</w:t>
      </w:r>
      <w:r w:rsidRPr="00520A83">
        <w:rPr>
          <w:lang w:val="en-US"/>
        </w:rPr>
        <w:t xml:space="preserve">E and CRT methodology derivation the same consideration is applied (see Chapter </w:t>
      </w:r>
      <w:r w:rsidR="00227298">
        <w:fldChar w:fldCharType="begin"/>
      </w:r>
      <w:r w:rsidR="00227298">
        <w:instrText xml:space="preserve"> REF _Ref339631948 \r \h  \* MERGEFORMAT </w:instrText>
      </w:r>
      <w:r w:rsidR="00227298">
        <w:fldChar w:fldCharType="separate"/>
      </w:r>
      <w:r w:rsidR="00B772CA" w:rsidRPr="00B772CA">
        <w:rPr>
          <w:lang w:val="en-US"/>
        </w:rPr>
        <w:t>1.3</w:t>
      </w:r>
      <w:r w:rsidR="00227298">
        <w:fldChar w:fldCharType="end"/>
      </w:r>
      <w:r w:rsidRPr="00520A83">
        <w:rPr>
          <w:lang w:val="en-US"/>
        </w:rPr>
        <w:t xml:space="preserve"> and</w:t>
      </w:r>
      <w:r w:rsidR="00857D76" w:rsidRPr="00520A83">
        <w:rPr>
          <w:lang w:val="en-US"/>
        </w:rPr>
        <w:t xml:space="preserve"> Equation</w:t>
      </w:r>
      <w:r w:rsidRPr="00520A83">
        <w:rPr>
          <w:lang w:val="en-US"/>
        </w:rPr>
        <w:t xml:space="preserve"> </w:t>
      </w:r>
      <w:r w:rsidR="00CD0CBE">
        <w:fldChar w:fldCharType="begin"/>
      </w:r>
      <w:r w:rsidR="00CD0CBE">
        <w:instrText xml:space="preserve"> REF _Ref342819093 \h  \* MERGEFORMAT </w:instrText>
      </w:r>
      <w:r w:rsidR="00CD0CBE">
        <w:fldChar w:fldCharType="separate"/>
      </w:r>
      <w:r w:rsidR="00B772CA" w:rsidRPr="00B772CA">
        <w:rPr>
          <w:noProof/>
        </w:rPr>
        <w:t>3.10</w:t>
      </w:r>
      <w:r w:rsidR="00B772CA" w:rsidRPr="00B772CA">
        <w:t>.1</w:t>
      </w:r>
      <w:r w:rsidR="00CD0CBE">
        <w:fldChar w:fldCharType="end"/>
      </w:r>
      <w:r w:rsidR="00857D76" w:rsidRPr="00520A83">
        <w:rPr>
          <w:lang w:val="en-US"/>
        </w:rPr>
        <w:t xml:space="preserve"> </w:t>
      </w:r>
      <w:r w:rsidRPr="00520A83">
        <w:rPr>
          <w:lang w:val="en-US"/>
        </w:rPr>
        <w:t>below for Risk of Severe Accident RSA).</w:t>
      </w:r>
    </w:p>
    <w:p w:rsidR="00BE1C25" w:rsidRPr="00520A83" w:rsidRDefault="00BE1C25" w:rsidP="00BE1C25">
      <w:pPr>
        <w:spacing w:line="240" w:lineRule="auto"/>
        <w:jc w:val="left"/>
        <w:rPr>
          <w:rFonts w:ascii="Times New Roman" w:hAnsi="Times New Roman"/>
          <w:sz w:val="24"/>
          <w:lang w:val="en-US" w:eastAsia="sk-SK"/>
        </w:rPr>
      </w:pPr>
      <w:r w:rsidRPr="00C969FB">
        <w:rPr>
          <w:lang w:val="en-US"/>
        </w:rPr>
        <w:br w:type="page"/>
      </w:r>
    </w:p>
    <w:p w:rsidR="00BE1C25" w:rsidRPr="00520A83" w:rsidRDefault="00BE1C25" w:rsidP="00BE1C25">
      <w:pPr>
        <w:pStyle w:val="NormalWeb"/>
        <w:tabs>
          <w:tab w:val="left" w:pos="2977"/>
          <w:tab w:val="left" w:pos="3828"/>
        </w:tabs>
        <w:spacing w:before="0" w:beforeAutospacing="0" w:after="0" w:afterAutospacing="0"/>
        <w:jc w:val="both"/>
        <w:rPr>
          <w:lang w:val="en-US"/>
        </w:rPr>
      </w:pPr>
    </w:p>
    <w:p w:rsidR="00BE1C25" w:rsidRPr="00520A83" w:rsidRDefault="00BE1C25" w:rsidP="00BE1C25">
      <w:pPr>
        <w:pStyle w:val="NormalWeb"/>
        <w:tabs>
          <w:tab w:val="left" w:pos="2977"/>
          <w:tab w:val="left" w:pos="3828"/>
        </w:tabs>
        <w:spacing w:before="0" w:beforeAutospacing="0" w:after="0" w:afterAutospacing="0"/>
        <w:jc w:val="both"/>
        <w:rPr>
          <w:i/>
          <w:sz w:val="18"/>
          <w:szCs w:val="18"/>
          <w:lang w:val="en-US"/>
        </w:rPr>
      </w:pPr>
      <w:r w:rsidRPr="00520A83">
        <w:rPr>
          <w:sz w:val="22"/>
          <w:szCs w:val="22"/>
          <w:lang w:val="en-US"/>
        </w:rPr>
        <w:tab/>
      </w:r>
      <w:r w:rsidRPr="00520A83">
        <w:rPr>
          <w:i/>
          <w:sz w:val="18"/>
          <w:szCs w:val="18"/>
          <w:lang w:val="en-US"/>
        </w:rPr>
        <w:t xml:space="preserve">IMMEDIATE </w:t>
      </w:r>
      <w:r w:rsidRPr="00520A83">
        <w:rPr>
          <w:i/>
          <w:sz w:val="18"/>
          <w:szCs w:val="18"/>
          <w:lang w:val="en-US"/>
        </w:rPr>
        <w:tab/>
        <w:t>LONGTERM</w:t>
      </w:r>
    </w:p>
    <w:p w:rsidR="00BE1C25" w:rsidRPr="00520A83" w:rsidRDefault="009623FD" w:rsidP="00BE1C25">
      <w:pPr>
        <w:pStyle w:val="NormalWeb"/>
        <w:tabs>
          <w:tab w:val="left" w:pos="2977"/>
          <w:tab w:val="left" w:pos="3828"/>
        </w:tabs>
        <w:spacing w:before="0" w:beforeAutospacing="0" w:after="0" w:afterAutospacing="0"/>
        <w:jc w:val="both"/>
        <w:rPr>
          <w:i/>
          <w:sz w:val="18"/>
          <w:szCs w:val="18"/>
          <w:lang w:val="en-US"/>
        </w:rPr>
      </w:pPr>
      <w:r>
        <w:rPr>
          <w:noProof/>
          <w:lang w:val="fr-FR" w:eastAsia="fr-FR"/>
        </w:rPr>
        <mc:AlternateContent>
          <mc:Choice Requires="wps">
            <w:drawing>
              <wp:anchor distT="0" distB="0" distL="114300" distR="114300" simplePos="0" relativeHeight="251679744" behindDoc="0" locked="0" layoutInCell="1" allowOverlap="1" wp14:anchorId="6BC1459B" wp14:editId="709849C9">
                <wp:simplePos x="0" y="0"/>
                <wp:positionH relativeFrom="column">
                  <wp:posOffset>1936750</wp:posOffset>
                </wp:positionH>
                <wp:positionV relativeFrom="paragraph">
                  <wp:posOffset>36195</wp:posOffset>
                </wp:positionV>
                <wp:extent cx="247650" cy="393700"/>
                <wp:effectExtent l="38100" t="0" r="19050" b="635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393700"/>
                        </a:xfrm>
                        <a:prstGeom prst="line">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2.85pt" to="172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" strokecolor="#c00000">
                <v:stroke endarrow="block"/>
              </v:line>
            </w:pict>
          </mc:Fallback>
        </mc:AlternateContent>
      </w:r>
      <w:r>
        <w:rPr>
          <w:noProof/>
          <w:lang w:val="fr-FR" w:eastAsia="fr-FR"/>
        </w:rPr>
        <mc:AlternateContent>
          <mc:Choice Requires="wps">
            <w:drawing>
              <wp:anchor distT="0" distB="0" distL="114300" distR="114300" simplePos="0" relativeHeight="251676672" behindDoc="0" locked="0" layoutInCell="1" allowOverlap="1" wp14:anchorId="1D53953D" wp14:editId="2A910A52">
                <wp:simplePos x="0" y="0"/>
                <wp:positionH relativeFrom="column">
                  <wp:posOffset>2355850</wp:posOffset>
                </wp:positionH>
                <wp:positionV relativeFrom="paragraph">
                  <wp:posOffset>67945</wp:posOffset>
                </wp:positionV>
                <wp:extent cx="476250" cy="317500"/>
                <wp:effectExtent l="38100" t="0" r="19050" b="635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317500"/>
                        </a:xfrm>
                        <a:prstGeom prst="line">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5.35pt" to="22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uZQQIAAGg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" strokecolor="#c00000">
                <v:stroke endarrow="block"/>
              </v:line>
            </w:pict>
          </mc:Fallback>
        </mc:AlternateContent>
      </w:r>
      <w:r>
        <w:rPr>
          <w:noProof/>
          <w:lang w:val="fr-FR" w:eastAsia="fr-FR"/>
        </w:rPr>
        <mc:AlternateContent>
          <mc:Choice Requires="wps">
            <w:drawing>
              <wp:anchor distT="0" distB="0" distL="114300" distR="114300" simplePos="0" relativeHeight="251677696" behindDoc="0" locked="0" layoutInCell="1" allowOverlap="1" wp14:anchorId="1945B85E" wp14:editId="22BEBA0E">
                <wp:simplePos x="0" y="0"/>
                <wp:positionH relativeFrom="column">
                  <wp:posOffset>2774950</wp:posOffset>
                </wp:positionH>
                <wp:positionV relativeFrom="paragraph">
                  <wp:posOffset>67945</wp:posOffset>
                </wp:positionV>
                <wp:extent cx="184150" cy="317500"/>
                <wp:effectExtent l="38100" t="0" r="25400" b="635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 cy="317500"/>
                        </a:xfrm>
                        <a:prstGeom prst="line">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5.35pt" to="23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6xQAIAAGg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" strokecolor="#c00000">
                <v:stroke endarrow="block"/>
              </v:line>
            </w:pict>
          </mc:Fallback>
        </mc:AlternateContent>
      </w:r>
      <w:r>
        <w:rPr>
          <w:noProof/>
          <w:lang w:val="fr-FR" w:eastAsia="fr-FR"/>
        </w:rPr>
        <mc:AlternateContent>
          <mc:Choice Requires="wps">
            <w:drawing>
              <wp:anchor distT="0" distB="0" distL="114300" distR="114300" simplePos="0" relativeHeight="251678720" behindDoc="0" locked="0" layoutInCell="1" allowOverlap="1" wp14:anchorId="09F45EA4" wp14:editId="7EDF6BDA">
                <wp:simplePos x="0" y="0"/>
                <wp:positionH relativeFrom="column">
                  <wp:posOffset>3048000</wp:posOffset>
                </wp:positionH>
                <wp:positionV relativeFrom="paragraph">
                  <wp:posOffset>36195</wp:posOffset>
                </wp:positionV>
                <wp:extent cx="215900" cy="381000"/>
                <wp:effectExtent l="0" t="0" r="50800" b="571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381000"/>
                        </a:xfrm>
                        <a:prstGeom prst="line">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2.85pt" to="257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" strokecolor="#c00000">
                <v:stroke endarrow="block"/>
              </v:line>
            </w:pict>
          </mc:Fallback>
        </mc:AlternateContent>
      </w:r>
    </w:p>
    <w:p w:rsidR="00BE1C25" w:rsidRPr="00520A83" w:rsidRDefault="00BE1C25" w:rsidP="00BE1C25">
      <w:pPr>
        <w:pStyle w:val="NormalWeb"/>
        <w:tabs>
          <w:tab w:val="left" w:pos="2977"/>
          <w:tab w:val="left" w:pos="3828"/>
        </w:tabs>
        <w:spacing w:before="0" w:beforeAutospacing="0" w:after="0" w:afterAutospacing="0"/>
        <w:jc w:val="both"/>
        <w:rPr>
          <w:i/>
          <w:sz w:val="18"/>
          <w:szCs w:val="18"/>
          <w:lang w:val="en-US"/>
        </w:rPr>
      </w:pPr>
      <w:r w:rsidRPr="00520A83">
        <w:rPr>
          <w:i/>
          <w:sz w:val="18"/>
          <w:szCs w:val="18"/>
          <w:lang w:val="en-US"/>
        </w:rPr>
        <w:tab/>
      </w:r>
    </w:p>
    <w:p w:rsidR="00BE1C25" w:rsidRPr="00520A83" w:rsidRDefault="00BE1C25" w:rsidP="00BE1C25">
      <w:pPr>
        <w:pStyle w:val="NormalWeb"/>
        <w:tabs>
          <w:tab w:val="left" w:pos="2977"/>
          <w:tab w:val="left" w:pos="3828"/>
        </w:tabs>
        <w:spacing w:before="0" w:beforeAutospacing="0" w:after="0" w:afterAutospacing="0"/>
        <w:jc w:val="both"/>
        <w:rPr>
          <w:i/>
          <w:sz w:val="22"/>
          <w:szCs w:val="22"/>
          <w:lang w:val="en-US"/>
        </w:rPr>
      </w:pPr>
    </w:p>
    <w:p w:rsidR="00BE1C25" w:rsidRDefault="00BE1C25" w:rsidP="00BE1C25">
      <w:pPr>
        <w:pStyle w:val="NormalWeb"/>
        <w:spacing w:before="0" w:beforeAutospacing="0" w:after="0" w:afterAutospacing="0"/>
        <w:ind w:left="2160"/>
        <w:rPr>
          <w:b/>
          <w:lang w:val="en-US"/>
        </w:rPr>
      </w:pPr>
      <w:bookmarkStart w:id="372" w:name="_Ref342819013"/>
      <w:bookmarkStart w:id="373" w:name="_Ref342818266"/>
      <w:r w:rsidRPr="00520A83">
        <w:rPr>
          <w:rFonts w:ascii="Trebuchet MS" w:hAnsi="Trebuchet MS"/>
          <w:spacing w:val="20"/>
          <w:sz w:val="18"/>
          <w:szCs w:val="18"/>
          <w:lang w:val="en-US"/>
        </w:rPr>
        <w:t>R</w:t>
      </w:r>
      <w:r w:rsidRPr="00520A83">
        <w:rPr>
          <w:rFonts w:ascii="Trebuchet MS" w:hAnsi="Trebuchet MS"/>
          <w:spacing w:val="20"/>
          <w:sz w:val="18"/>
          <w:szCs w:val="18"/>
          <w:vertAlign w:val="subscript"/>
          <w:lang w:val="en-US"/>
        </w:rPr>
        <w:t>SA</w:t>
      </w:r>
      <w:r w:rsidRPr="00520A83">
        <w:rPr>
          <w:rFonts w:ascii="Trebuchet MS" w:hAnsi="Trebuchet MS"/>
          <w:spacing w:val="20"/>
          <w:sz w:val="18"/>
          <w:szCs w:val="18"/>
          <w:lang w:val="en-US"/>
        </w:rPr>
        <w:t xml:space="preserve"> = R</w:t>
      </w:r>
      <w:r w:rsidRPr="00520A83">
        <w:rPr>
          <w:rFonts w:ascii="Trebuchet MS" w:hAnsi="Trebuchet MS"/>
          <w:spacing w:val="20"/>
          <w:sz w:val="18"/>
          <w:szCs w:val="18"/>
          <w:vertAlign w:val="subscript"/>
          <w:lang w:val="en-US"/>
        </w:rPr>
        <w:t>indiv</w:t>
      </w:r>
      <w:r w:rsidRPr="00520A83">
        <w:rPr>
          <w:rFonts w:ascii="Trebuchet MS" w:hAnsi="Trebuchet MS"/>
          <w:spacing w:val="20"/>
          <w:sz w:val="18"/>
          <w:szCs w:val="18"/>
          <w:lang w:val="en-US"/>
        </w:rPr>
        <w:t xml:space="preserve"> + R</w:t>
      </w:r>
      <w:r w:rsidRPr="00520A83">
        <w:rPr>
          <w:rFonts w:ascii="Trebuchet MS" w:hAnsi="Trebuchet MS"/>
          <w:spacing w:val="20"/>
          <w:sz w:val="18"/>
          <w:szCs w:val="18"/>
          <w:vertAlign w:val="subscript"/>
          <w:lang w:val="en-US"/>
        </w:rPr>
        <w:t>soc</w:t>
      </w:r>
      <w:r w:rsidRPr="00520A83">
        <w:rPr>
          <w:rFonts w:ascii="Trebuchet MS" w:hAnsi="Trebuchet MS"/>
          <w:spacing w:val="20"/>
          <w:sz w:val="18"/>
          <w:szCs w:val="18"/>
          <w:lang w:val="en-US"/>
        </w:rPr>
        <w:t xml:space="preserve"> + R</w:t>
      </w:r>
      <w:r w:rsidRPr="00520A83">
        <w:rPr>
          <w:rFonts w:ascii="Trebuchet MS" w:hAnsi="Trebuchet MS"/>
          <w:spacing w:val="20"/>
          <w:sz w:val="18"/>
          <w:szCs w:val="18"/>
          <w:vertAlign w:val="subscript"/>
          <w:lang w:val="en-US"/>
        </w:rPr>
        <w:t>enviro</w:t>
      </w:r>
      <w:r w:rsidRPr="00520A83">
        <w:rPr>
          <w:rFonts w:ascii="Trebuchet MS" w:hAnsi="Trebuchet MS"/>
          <w:spacing w:val="20"/>
          <w:sz w:val="18"/>
          <w:szCs w:val="18"/>
          <w:lang w:val="en-US"/>
        </w:rPr>
        <w:t xml:space="preserve"> + R</w:t>
      </w:r>
      <w:bookmarkStart w:id="374" w:name="_Ref342813306"/>
      <w:r w:rsidRPr="00520A83">
        <w:rPr>
          <w:rFonts w:ascii="Trebuchet MS" w:hAnsi="Trebuchet MS"/>
          <w:spacing w:val="20"/>
          <w:sz w:val="18"/>
          <w:szCs w:val="18"/>
          <w:vertAlign w:val="subscript"/>
          <w:lang w:val="en-US"/>
        </w:rPr>
        <w:t>costs</w:t>
      </w:r>
      <w:r>
        <w:rPr>
          <w:rFonts w:ascii="Trebuchet MS" w:hAnsi="Trebuchet MS"/>
          <w:spacing w:val="20"/>
          <w:sz w:val="18"/>
          <w:szCs w:val="18"/>
          <w:lang w:val="en-US"/>
        </w:rPr>
        <w:t xml:space="preserve"> </w:t>
      </w:r>
      <w:r>
        <w:rPr>
          <w:b/>
          <w:lang w:val="en-US"/>
        </w:rPr>
        <w:tab/>
      </w:r>
      <w:r>
        <w:rPr>
          <w:b/>
          <w:lang w:val="en-US"/>
        </w:rPr>
        <w:tab/>
      </w:r>
      <w:r>
        <w:rPr>
          <w:b/>
          <w:lang w:val="en-US"/>
        </w:rPr>
        <w:tab/>
      </w:r>
      <w:r>
        <w:rPr>
          <w:b/>
          <w:lang w:val="en-US"/>
        </w:rPr>
        <w:tab/>
      </w:r>
      <w:r>
        <w:rPr>
          <w:b/>
          <w:lang w:val="en-US"/>
        </w:rPr>
        <w:tab/>
      </w:r>
    </w:p>
    <w:bookmarkStart w:id="375" w:name="_Ref342819093"/>
    <w:p w:rsidR="00BE1C25" w:rsidRPr="0042104F" w:rsidRDefault="009E768B" w:rsidP="00FD6E5A">
      <w:pPr>
        <w:pStyle w:val="NormalWeb"/>
        <w:spacing w:before="0" w:beforeAutospacing="0" w:after="0" w:afterAutospacing="0"/>
        <w:ind w:left="2160"/>
        <w:jc w:val="right"/>
        <w:rPr>
          <w:rFonts w:ascii="Trebuchet MS" w:hAnsi="Trebuchet MS"/>
          <w:sz w:val="18"/>
          <w:lang w:val="en-US" w:eastAsia="fr-FR"/>
        </w:rPr>
      </w:pPr>
      <w:r w:rsidRPr="0042104F">
        <w:rPr>
          <w:rFonts w:ascii="Trebuchet MS" w:hAnsi="Trebuchet MS"/>
          <w:sz w:val="18"/>
          <w:lang w:val="en-US" w:eastAsia="fr-FR"/>
        </w:rPr>
        <w:fldChar w:fldCharType="begin"/>
      </w:r>
      <w:r w:rsidR="00BE1C25" w:rsidRPr="0042104F">
        <w:rPr>
          <w:rFonts w:ascii="Trebuchet MS" w:hAnsi="Trebuchet MS"/>
          <w:sz w:val="18"/>
          <w:lang w:val="en-US" w:eastAsia="fr-FR"/>
        </w:rPr>
        <w:instrText xml:space="preserve"> STYLEREF 2 \s </w:instrText>
      </w:r>
      <w:r w:rsidRPr="0042104F">
        <w:rPr>
          <w:rFonts w:ascii="Trebuchet MS" w:hAnsi="Trebuchet MS"/>
          <w:sz w:val="18"/>
          <w:lang w:val="en-US" w:eastAsia="fr-FR"/>
        </w:rPr>
        <w:fldChar w:fldCharType="separate"/>
      </w:r>
      <w:r w:rsidR="00B772CA">
        <w:rPr>
          <w:rFonts w:ascii="Trebuchet MS" w:hAnsi="Trebuchet MS"/>
          <w:noProof/>
          <w:sz w:val="18"/>
          <w:lang w:val="en-US" w:eastAsia="fr-FR"/>
        </w:rPr>
        <w:t>3.10</w:t>
      </w:r>
      <w:r w:rsidRPr="0042104F">
        <w:rPr>
          <w:rFonts w:ascii="Trebuchet MS" w:hAnsi="Trebuchet MS"/>
          <w:sz w:val="18"/>
          <w:lang w:val="en-US" w:eastAsia="fr-FR"/>
        </w:rPr>
        <w:fldChar w:fldCharType="end"/>
      </w:r>
      <w:r w:rsidR="00BE1C25" w:rsidRPr="0042104F">
        <w:rPr>
          <w:rFonts w:ascii="Trebuchet MS" w:hAnsi="Trebuchet MS"/>
          <w:sz w:val="18"/>
          <w:lang w:val="en-US" w:eastAsia="fr-FR"/>
        </w:rPr>
        <w:t>.</w:t>
      </w:r>
      <w:r w:rsidRPr="0042104F">
        <w:rPr>
          <w:rFonts w:ascii="Trebuchet MS" w:hAnsi="Trebuchet MS"/>
          <w:sz w:val="18"/>
          <w:lang w:val="en-US" w:eastAsia="fr-FR"/>
        </w:rPr>
        <w:fldChar w:fldCharType="begin"/>
      </w:r>
      <w:r w:rsidR="00BE1C25" w:rsidRPr="0042104F">
        <w:rPr>
          <w:rFonts w:ascii="Trebuchet MS" w:hAnsi="Trebuchet MS"/>
          <w:sz w:val="18"/>
          <w:lang w:val="en-US" w:eastAsia="fr-FR"/>
        </w:rPr>
        <w:instrText xml:space="preserve"> SEQ Equation \* ARABIC \s 2 </w:instrText>
      </w:r>
      <w:r w:rsidRPr="0042104F">
        <w:rPr>
          <w:rFonts w:ascii="Trebuchet MS" w:hAnsi="Trebuchet MS"/>
          <w:sz w:val="18"/>
          <w:lang w:val="en-US" w:eastAsia="fr-FR"/>
        </w:rPr>
        <w:fldChar w:fldCharType="separate"/>
      </w:r>
      <w:r w:rsidR="00B772CA">
        <w:rPr>
          <w:rFonts w:ascii="Trebuchet MS" w:hAnsi="Trebuchet MS"/>
          <w:noProof/>
          <w:sz w:val="18"/>
          <w:lang w:val="en-US" w:eastAsia="fr-FR"/>
        </w:rPr>
        <w:t>1</w:t>
      </w:r>
      <w:r w:rsidRPr="0042104F">
        <w:rPr>
          <w:rFonts w:ascii="Trebuchet MS" w:hAnsi="Trebuchet MS"/>
          <w:sz w:val="18"/>
          <w:lang w:val="en-US" w:eastAsia="fr-FR"/>
        </w:rPr>
        <w:fldChar w:fldCharType="end"/>
      </w:r>
      <w:bookmarkEnd w:id="372"/>
      <w:bookmarkEnd w:id="375"/>
    </w:p>
    <w:bookmarkEnd w:id="373"/>
    <w:bookmarkEnd w:id="374"/>
    <w:p w:rsidR="00BE1C25" w:rsidRPr="00486110" w:rsidRDefault="009623FD" w:rsidP="00BE1C25">
      <w:pPr>
        <w:pStyle w:val="NormalWeb"/>
        <w:spacing w:before="0" w:beforeAutospacing="0" w:after="0" w:afterAutospacing="0"/>
        <w:jc w:val="center"/>
        <w:rPr>
          <w:spacing w:val="20"/>
          <w:sz w:val="28"/>
          <w:szCs w:val="28"/>
          <w:lang w:val="en-US"/>
        </w:rPr>
      </w:pPr>
      <w:r>
        <w:rPr>
          <w:noProof/>
          <w:lang w:val="fr-FR" w:eastAsia="fr-FR"/>
        </w:rPr>
        <mc:AlternateContent>
          <mc:Choice Requires="wps">
            <w:drawing>
              <wp:anchor distT="0" distB="0" distL="114300" distR="114300" simplePos="0" relativeHeight="251670528" behindDoc="0" locked="0" layoutInCell="1" allowOverlap="1" wp14:anchorId="5C3985D3" wp14:editId="25CFE4C4">
                <wp:simplePos x="0" y="0"/>
                <wp:positionH relativeFrom="column">
                  <wp:posOffset>3360420</wp:posOffset>
                </wp:positionH>
                <wp:positionV relativeFrom="paragraph">
                  <wp:posOffset>14605</wp:posOffset>
                </wp:positionV>
                <wp:extent cx="1593850" cy="685800"/>
                <wp:effectExtent l="0" t="0" r="63500" b="571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15pt" to="390.1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U7OQIAAF8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">
                <v:stroke endarrow="block"/>
              </v:line>
            </w:pict>
          </mc:Fallback>
        </mc:AlternateContent>
      </w:r>
      <w:r>
        <w:rPr>
          <w:noProof/>
          <w:lang w:val="fr-FR" w:eastAsia="fr-FR"/>
        </w:rPr>
        <mc:AlternateContent>
          <mc:Choice Requires="wps">
            <w:drawing>
              <wp:anchor distT="0" distB="0" distL="114300" distR="114300" simplePos="0" relativeHeight="251671552" behindDoc="0" locked="0" layoutInCell="1" allowOverlap="1" wp14:anchorId="3388095F" wp14:editId="04DC5702">
                <wp:simplePos x="0" y="0"/>
                <wp:positionH relativeFrom="column">
                  <wp:posOffset>2833370</wp:posOffset>
                </wp:positionH>
                <wp:positionV relativeFrom="paragraph">
                  <wp:posOffset>14605</wp:posOffset>
                </wp:positionV>
                <wp:extent cx="755650" cy="793750"/>
                <wp:effectExtent l="0" t="0" r="82550" b="635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793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1pt,1.15pt" to="282.6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">
                <v:stroke endarrow="block"/>
              </v:line>
            </w:pict>
          </mc:Fallback>
        </mc:AlternateContent>
      </w:r>
      <w:r>
        <w:rPr>
          <w:noProof/>
          <w:lang w:val="fr-FR" w:eastAsia="fr-FR"/>
        </w:rPr>
        <mc:AlternateContent>
          <mc:Choice Requires="wps">
            <w:drawing>
              <wp:anchor distT="0" distB="0" distL="114300" distR="114300" simplePos="0" relativeHeight="251672576" behindDoc="0" locked="0" layoutInCell="1" allowOverlap="1" wp14:anchorId="1402A4DF" wp14:editId="447BBAE1">
                <wp:simplePos x="0" y="0"/>
                <wp:positionH relativeFrom="column">
                  <wp:posOffset>1993900</wp:posOffset>
                </wp:positionH>
                <wp:positionV relativeFrom="paragraph">
                  <wp:posOffset>74295</wp:posOffset>
                </wp:positionV>
                <wp:extent cx="304800" cy="625475"/>
                <wp:effectExtent l="38100" t="0" r="19050" b="6032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25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5.85pt" to="181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">
                <v:stroke endarrow="block"/>
              </v:line>
            </w:pict>
          </mc:Fallback>
        </mc:AlternateContent>
      </w:r>
      <w:r>
        <w:rPr>
          <w:noProof/>
          <w:lang w:val="fr-FR" w:eastAsia="fr-FR"/>
        </w:rPr>
        <mc:AlternateContent>
          <mc:Choice Requires="wps">
            <w:drawing>
              <wp:anchor distT="0" distB="0" distL="114300" distR="114300" simplePos="0" relativeHeight="251673600" behindDoc="0" locked="0" layoutInCell="1" allowOverlap="1" wp14:anchorId="59BD2899" wp14:editId="48CB4DC6">
                <wp:simplePos x="0" y="0"/>
                <wp:positionH relativeFrom="column">
                  <wp:posOffset>1238250</wp:posOffset>
                </wp:positionH>
                <wp:positionV relativeFrom="paragraph">
                  <wp:posOffset>77470</wp:posOffset>
                </wp:positionV>
                <wp:extent cx="609600" cy="556260"/>
                <wp:effectExtent l="38100" t="0" r="19050" b="5334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6.1pt" to="145.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">
                <v:stroke endarrow="block"/>
              </v:line>
            </w:pict>
          </mc:Fallback>
        </mc:AlternateContent>
      </w:r>
    </w:p>
    <w:p w:rsidR="00BE1C25" w:rsidRPr="00486110" w:rsidRDefault="00BE1C25" w:rsidP="00BE1C25">
      <w:pPr>
        <w:pStyle w:val="NormalWeb"/>
        <w:spacing w:before="0" w:beforeAutospacing="0" w:after="0" w:afterAutospacing="0"/>
        <w:jc w:val="both"/>
        <w:rPr>
          <w:lang w:val="en-US"/>
        </w:rPr>
      </w:pPr>
    </w:p>
    <w:p w:rsidR="00BE1C25" w:rsidRPr="00486110" w:rsidRDefault="00BE1C25" w:rsidP="00BE1C25">
      <w:pPr>
        <w:pStyle w:val="NormalWeb"/>
        <w:spacing w:before="0" w:beforeAutospacing="0" w:after="0" w:afterAutospacing="0"/>
        <w:jc w:val="both"/>
        <w:rPr>
          <w:lang w:val="en-US"/>
        </w:rPr>
      </w:pPr>
    </w:p>
    <w:p w:rsidR="00BE1C25" w:rsidRPr="00486110" w:rsidRDefault="009623FD" w:rsidP="00BE1C25">
      <w:pPr>
        <w:pStyle w:val="NormalWeb"/>
        <w:spacing w:before="0" w:beforeAutospacing="0" w:after="0" w:afterAutospacing="0"/>
        <w:jc w:val="both"/>
        <w:rPr>
          <w:lang w:val="en-US"/>
        </w:rPr>
      </w:pPr>
      <w:r>
        <w:rPr>
          <w:noProof/>
          <w:lang w:val="fr-FR" w:eastAsia="fr-FR"/>
        </w:rPr>
        <mc:AlternateContent>
          <mc:Choice Requires="wps">
            <w:drawing>
              <wp:anchor distT="0" distB="0" distL="114300" distR="114300" simplePos="0" relativeHeight="251674624" behindDoc="0" locked="0" layoutInCell="1" allowOverlap="1" wp14:anchorId="3A7376C1" wp14:editId="7A9F8B13">
                <wp:simplePos x="0" y="0"/>
                <wp:positionH relativeFrom="column">
                  <wp:posOffset>140970</wp:posOffset>
                </wp:positionH>
                <wp:positionV relativeFrom="paragraph">
                  <wp:posOffset>88265</wp:posOffset>
                </wp:positionV>
                <wp:extent cx="5767070" cy="1689100"/>
                <wp:effectExtent l="0" t="0" r="24130" b="2540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1689100"/>
                        </a:xfrm>
                        <a:prstGeom prst="rect">
                          <a:avLst/>
                        </a:prstGeom>
                        <a:noFill/>
                        <a:ln w="22225">
                          <a:solidFill>
                            <a:srgbClr val="0000FF"/>
                          </a:solidFill>
                          <a:prstDash val="dash"/>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1.1pt;margin-top:6.95pt;width:454.1pt;height:1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" filled="f" strokecolor="blue" strokeweight="1.75pt">
                <v:fill opacity="0"/>
                <v:stroke dashstyle="dash"/>
              </v:rect>
            </w:pict>
          </mc:Fallback>
        </mc:AlternateContent>
      </w:r>
    </w:p>
    <w:p w:rsidR="00BE1C25" w:rsidRPr="00486110" w:rsidRDefault="009623FD" w:rsidP="00BE1C25">
      <w:pPr>
        <w:pStyle w:val="NormalWeb"/>
        <w:spacing w:before="0" w:beforeAutospacing="0" w:after="0" w:afterAutospacing="0"/>
        <w:jc w:val="both"/>
        <w:rPr>
          <w:lang w:val="en-US"/>
        </w:rPr>
      </w:pPr>
      <w:r>
        <w:rPr>
          <w:noProof/>
          <w:lang w:val="fr-FR" w:eastAsia="fr-FR"/>
        </w:rPr>
        <mc:AlternateContent>
          <mc:Choice Requires="wps">
            <w:drawing>
              <wp:anchor distT="0" distB="0" distL="114300" distR="114300" simplePos="0" relativeHeight="251675648" behindDoc="0" locked="0" layoutInCell="1" allowOverlap="1" wp14:anchorId="55A7443F" wp14:editId="0CF217E8">
                <wp:simplePos x="0" y="0"/>
                <wp:positionH relativeFrom="column">
                  <wp:posOffset>285750</wp:posOffset>
                </wp:positionH>
                <wp:positionV relativeFrom="paragraph">
                  <wp:posOffset>32385</wp:posOffset>
                </wp:positionV>
                <wp:extent cx="2444750" cy="488950"/>
                <wp:effectExtent l="0" t="0" r="12700" b="2540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488950"/>
                        </a:xfrm>
                        <a:prstGeom prst="rect">
                          <a:avLst/>
                        </a:prstGeom>
                        <a:noFill/>
                        <a:ln w="22225">
                          <a:solidFill>
                            <a:srgbClr val="0000FF"/>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2.5pt;margin-top:2.55pt;width:192.5pt;height: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" filled="f" strokecolor="blue" strokeweight="1.75pt">
                <v:fill opacity="0"/>
              </v:rect>
            </w:pict>
          </mc:Fallback>
        </mc:AlternateContent>
      </w:r>
      <w:r w:rsidR="00BE1C25" w:rsidRPr="00486110">
        <w:rPr>
          <w:lang w:val="en-US"/>
        </w:rPr>
        <w:tab/>
      </w:r>
      <w:r w:rsidR="00BE1C25" w:rsidRPr="00486110">
        <w:rPr>
          <w:lang w:val="en-US"/>
        </w:rPr>
        <w:tab/>
      </w:r>
      <w:r w:rsidR="00BE1C25" w:rsidRPr="00486110">
        <w:rPr>
          <w:lang w:val="en-US"/>
        </w:rPr>
        <w:tab/>
      </w:r>
      <w:r w:rsidR="00BE1C25" w:rsidRPr="00486110">
        <w:rPr>
          <w:lang w:val="en-US"/>
        </w:rPr>
        <w:tab/>
      </w:r>
      <w:r w:rsidR="00BE1C25" w:rsidRPr="00486110">
        <w:rPr>
          <w:lang w:val="en-US"/>
        </w:rPr>
        <w:tab/>
      </w:r>
      <w:r w:rsidR="00BE1C25" w:rsidRPr="00486110">
        <w:rPr>
          <w:lang w:val="en-US"/>
        </w:rPr>
        <w:tab/>
      </w:r>
      <w:r w:rsidR="00BE1C25" w:rsidRPr="00486110">
        <w:rPr>
          <w:lang w:val="en-US"/>
        </w:rPr>
        <w:tab/>
      </w:r>
    </w:p>
    <w:p w:rsidR="00BE1C25" w:rsidRPr="00486110" w:rsidRDefault="00BE1C25" w:rsidP="00BE1C25">
      <w:pPr>
        <w:pStyle w:val="NormalWeb"/>
        <w:tabs>
          <w:tab w:val="left" w:pos="567"/>
          <w:tab w:val="left" w:pos="2552"/>
          <w:tab w:val="left" w:pos="4536"/>
          <w:tab w:val="left" w:pos="6946"/>
        </w:tabs>
        <w:spacing w:before="0" w:beforeAutospacing="0" w:after="0" w:afterAutospacing="0"/>
        <w:jc w:val="both"/>
        <w:rPr>
          <w:rFonts w:ascii="Trebuchet MS" w:hAnsi="Trebuchet MS"/>
          <w:sz w:val="18"/>
          <w:szCs w:val="18"/>
          <w:lang w:val="en-US"/>
        </w:rPr>
      </w:pPr>
      <w:r w:rsidRPr="00486110">
        <w:rPr>
          <w:lang w:val="en-US"/>
        </w:rPr>
        <w:tab/>
      </w:r>
      <w:r w:rsidRPr="00486110">
        <w:rPr>
          <w:rFonts w:ascii="Trebuchet MS" w:hAnsi="Trebuchet MS"/>
          <w:b/>
          <w:sz w:val="18"/>
          <w:szCs w:val="18"/>
          <w:bdr w:val="double" w:sz="12" w:space="0" w:color="FF0000" w:frame="1"/>
          <w:shd w:val="clear" w:color="auto" w:fill="FFFF00"/>
          <w:lang w:val="en-US"/>
        </w:rPr>
        <w:t>Acute deaths</w:t>
      </w:r>
      <w:r w:rsidRPr="00486110">
        <w:rPr>
          <w:rFonts w:ascii="Trebuchet MS" w:hAnsi="Trebuchet MS"/>
          <w:sz w:val="18"/>
          <w:szCs w:val="18"/>
          <w:lang w:val="en-US"/>
        </w:rPr>
        <w:tab/>
      </w:r>
      <w:r w:rsidRPr="00486110">
        <w:rPr>
          <w:rFonts w:ascii="Trebuchet MS" w:hAnsi="Trebuchet MS"/>
          <w:b/>
          <w:sz w:val="18"/>
          <w:szCs w:val="18"/>
          <w:bdr w:val="double" w:sz="12" w:space="0" w:color="FF0000" w:frame="1"/>
          <w:lang w:val="en-US"/>
        </w:rPr>
        <w:t>Lifetime deaths</w:t>
      </w:r>
      <w:r w:rsidRPr="00486110">
        <w:rPr>
          <w:rFonts w:ascii="Trebuchet MS" w:hAnsi="Trebuchet MS"/>
          <w:sz w:val="18"/>
          <w:szCs w:val="18"/>
          <w:lang w:val="en-US"/>
        </w:rPr>
        <w:tab/>
      </w:r>
      <w:r w:rsidRPr="00486110">
        <w:rPr>
          <w:rFonts w:ascii="Trebuchet MS" w:hAnsi="Trebuchet MS"/>
          <w:b/>
          <w:color w:val="548DD4" w:themeColor="text2" w:themeTint="99"/>
          <w:sz w:val="18"/>
          <w:szCs w:val="18"/>
          <w:bdr w:val="double" w:sz="12" w:space="0" w:color="FF0000" w:frame="1"/>
          <w:lang w:val="en-US"/>
        </w:rPr>
        <w:t>Environmental damage</w:t>
      </w:r>
      <w:r w:rsidRPr="00486110">
        <w:rPr>
          <w:rFonts w:ascii="Trebuchet MS" w:hAnsi="Trebuchet MS"/>
          <w:sz w:val="18"/>
          <w:szCs w:val="18"/>
          <w:lang w:val="en-US"/>
        </w:rPr>
        <w:t>.</w:t>
      </w:r>
      <w:r w:rsidRPr="00486110">
        <w:rPr>
          <w:rFonts w:ascii="Trebuchet MS" w:hAnsi="Trebuchet MS"/>
          <w:sz w:val="18"/>
          <w:szCs w:val="18"/>
          <w:lang w:val="en-US"/>
        </w:rPr>
        <w:tab/>
      </w:r>
      <w:r w:rsidRPr="00486110">
        <w:rPr>
          <w:rFonts w:ascii="Trebuchet MS" w:hAnsi="Trebuchet MS"/>
          <w:b/>
          <w:color w:val="548DD4" w:themeColor="text2" w:themeTint="99"/>
          <w:sz w:val="18"/>
          <w:szCs w:val="18"/>
          <w:bdr w:val="double" w:sz="12" w:space="0" w:color="FF0000" w:frame="1"/>
          <w:lang w:val="en-US"/>
        </w:rPr>
        <w:t>Wide-spread econ.damage</w:t>
      </w:r>
    </w:p>
    <w:p w:rsidR="00BE1C25" w:rsidRPr="00486110" w:rsidRDefault="00BE1C25" w:rsidP="00BE1C25">
      <w:pPr>
        <w:pStyle w:val="NormalWeb"/>
        <w:tabs>
          <w:tab w:val="left" w:pos="720"/>
          <w:tab w:val="left" w:pos="2880"/>
          <w:tab w:val="left" w:pos="4678"/>
          <w:tab w:val="left" w:pos="7513"/>
        </w:tabs>
        <w:spacing w:before="0" w:beforeAutospacing="0" w:after="0" w:afterAutospacing="0"/>
        <w:jc w:val="both"/>
        <w:rPr>
          <w:rFonts w:ascii="Trebuchet MS" w:hAnsi="Trebuchet MS"/>
          <w:sz w:val="18"/>
          <w:szCs w:val="18"/>
          <w:lang w:val="en-US"/>
        </w:rPr>
      </w:pPr>
      <w:r w:rsidRPr="00486110">
        <w:rPr>
          <w:rFonts w:ascii="Trebuchet MS" w:hAnsi="Trebuchet MS"/>
          <w:sz w:val="18"/>
          <w:szCs w:val="18"/>
          <w:lang w:val="en-US"/>
        </w:rPr>
        <w:tab/>
      </w:r>
      <w:r w:rsidRPr="00486110">
        <w:rPr>
          <w:rFonts w:ascii="Trebuchet MS" w:hAnsi="Trebuchet MS"/>
          <w:sz w:val="18"/>
          <w:szCs w:val="18"/>
          <w:lang w:val="en-US"/>
        </w:rPr>
        <w:tab/>
      </w:r>
      <w:r w:rsidRPr="00486110">
        <w:rPr>
          <w:rFonts w:ascii="Trebuchet MS" w:hAnsi="Trebuchet MS"/>
          <w:sz w:val="18"/>
          <w:szCs w:val="18"/>
          <w:lang w:val="en-US"/>
        </w:rPr>
        <w:tab/>
        <w:t>Loss of non-agricult. land</w:t>
      </w:r>
      <w:r w:rsidRPr="00486110" w:rsidDel="002942E5">
        <w:rPr>
          <w:rFonts w:ascii="Trebuchet MS" w:hAnsi="Trebuchet MS"/>
          <w:sz w:val="18"/>
          <w:szCs w:val="18"/>
          <w:lang w:val="en-US"/>
        </w:rPr>
        <w:t xml:space="preserve"> </w:t>
      </w:r>
      <w:r w:rsidRPr="00486110">
        <w:rPr>
          <w:rFonts w:ascii="Trebuchet MS" w:hAnsi="Trebuchet MS"/>
          <w:sz w:val="18"/>
          <w:szCs w:val="18"/>
          <w:lang w:val="en-US"/>
        </w:rPr>
        <w:tab/>
        <w:t>Lost production</w:t>
      </w:r>
    </w:p>
    <w:p w:rsidR="00BE1C25" w:rsidRPr="00486110" w:rsidRDefault="00BE1C25" w:rsidP="00BE1C25">
      <w:pPr>
        <w:pStyle w:val="NormalWeb"/>
        <w:tabs>
          <w:tab w:val="left" w:pos="567"/>
          <w:tab w:val="left" w:pos="2694"/>
          <w:tab w:val="left" w:pos="4678"/>
          <w:tab w:val="left" w:pos="7560"/>
        </w:tabs>
        <w:spacing w:before="0" w:beforeAutospacing="0" w:after="0" w:afterAutospacing="0"/>
        <w:jc w:val="both"/>
        <w:rPr>
          <w:rFonts w:ascii="Trebuchet MS" w:hAnsi="Trebuchet MS"/>
          <w:sz w:val="18"/>
          <w:szCs w:val="18"/>
          <w:lang w:val="en-US"/>
        </w:rPr>
      </w:pPr>
      <w:r w:rsidRPr="00486110">
        <w:rPr>
          <w:rFonts w:ascii="Trebuchet MS" w:hAnsi="Trebuchet MS"/>
          <w:sz w:val="18"/>
          <w:szCs w:val="18"/>
          <w:lang w:val="en-US"/>
        </w:rPr>
        <w:tab/>
        <w:t>Acute injuries</w:t>
      </w:r>
      <w:r w:rsidRPr="00486110">
        <w:rPr>
          <w:rFonts w:ascii="Trebuchet MS" w:hAnsi="Trebuchet MS"/>
          <w:sz w:val="18"/>
          <w:szCs w:val="18"/>
          <w:lang w:val="en-US"/>
        </w:rPr>
        <w:tab/>
      </w:r>
      <w:r w:rsidRPr="00486110">
        <w:rPr>
          <w:rFonts w:ascii="Trebuchet MS" w:hAnsi="Trebuchet MS"/>
          <w:b/>
          <w:sz w:val="18"/>
          <w:szCs w:val="18"/>
          <w:lang w:val="en-US"/>
        </w:rPr>
        <w:t>Societal disruption</w:t>
      </w:r>
      <w:r w:rsidRPr="00486110">
        <w:rPr>
          <w:rFonts w:ascii="Trebuchet MS" w:hAnsi="Trebuchet MS"/>
          <w:sz w:val="18"/>
          <w:szCs w:val="18"/>
          <w:lang w:val="en-US"/>
        </w:rPr>
        <w:tab/>
        <w:t>Loss of waters</w:t>
      </w:r>
      <w:r w:rsidRPr="00486110" w:rsidDel="002942E5">
        <w:rPr>
          <w:rFonts w:ascii="Trebuchet MS" w:hAnsi="Trebuchet MS"/>
          <w:sz w:val="18"/>
          <w:szCs w:val="18"/>
          <w:lang w:val="en-US"/>
        </w:rPr>
        <w:t xml:space="preserve"> </w:t>
      </w:r>
      <w:r w:rsidRPr="00486110">
        <w:rPr>
          <w:rFonts w:ascii="Trebuchet MS" w:hAnsi="Trebuchet MS"/>
          <w:sz w:val="18"/>
          <w:szCs w:val="18"/>
          <w:lang w:val="en-US"/>
        </w:rPr>
        <w:t>.</w:t>
      </w:r>
      <w:r w:rsidRPr="00486110">
        <w:rPr>
          <w:rFonts w:ascii="Trebuchet MS" w:hAnsi="Trebuchet MS"/>
          <w:sz w:val="18"/>
          <w:szCs w:val="18"/>
          <w:lang w:val="en-US"/>
        </w:rPr>
        <w:tab/>
        <w:t>Repair</w:t>
      </w:r>
      <w:r w:rsidRPr="00486110" w:rsidDel="002942E5">
        <w:rPr>
          <w:rFonts w:ascii="Trebuchet MS" w:hAnsi="Trebuchet MS"/>
          <w:sz w:val="18"/>
          <w:szCs w:val="18"/>
          <w:lang w:val="en-US"/>
        </w:rPr>
        <w:t xml:space="preserve"> </w:t>
      </w:r>
    </w:p>
    <w:p w:rsidR="00BE1C25" w:rsidRPr="00486110" w:rsidRDefault="00BE1C25" w:rsidP="00BE1C25">
      <w:pPr>
        <w:pStyle w:val="NormalWeb"/>
        <w:tabs>
          <w:tab w:val="left" w:pos="567"/>
          <w:tab w:val="left" w:pos="2694"/>
          <w:tab w:val="left" w:pos="4678"/>
          <w:tab w:val="left" w:pos="7560"/>
        </w:tabs>
        <w:spacing w:before="0" w:beforeAutospacing="0" w:after="0" w:afterAutospacing="0"/>
        <w:jc w:val="both"/>
        <w:rPr>
          <w:rFonts w:ascii="Trebuchet MS" w:hAnsi="Trebuchet MS"/>
          <w:sz w:val="18"/>
          <w:szCs w:val="18"/>
          <w:lang w:val="en-US"/>
        </w:rPr>
      </w:pPr>
      <w:r w:rsidRPr="00486110">
        <w:rPr>
          <w:rFonts w:ascii="Trebuchet MS" w:hAnsi="Trebuchet MS"/>
          <w:sz w:val="18"/>
          <w:szCs w:val="18"/>
          <w:lang w:val="en-US"/>
        </w:rPr>
        <w:tab/>
        <w:t>Loss of property</w:t>
      </w:r>
      <w:r w:rsidRPr="00486110">
        <w:rPr>
          <w:rFonts w:ascii="Trebuchet MS" w:hAnsi="Trebuchet MS"/>
          <w:sz w:val="18"/>
          <w:szCs w:val="18"/>
          <w:lang w:val="en-US"/>
        </w:rPr>
        <w:tab/>
        <w:t>Lifetime hospit.</w:t>
      </w:r>
      <w:r w:rsidRPr="00486110">
        <w:rPr>
          <w:rFonts w:ascii="Trebuchet MS" w:hAnsi="Trebuchet MS"/>
          <w:sz w:val="18"/>
          <w:szCs w:val="18"/>
          <w:lang w:val="en-US"/>
        </w:rPr>
        <w:tab/>
        <w:t>Loss/injury water ecosyst.</w:t>
      </w:r>
      <w:r w:rsidRPr="00486110">
        <w:rPr>
          <w:rFonts w:ascii="Trebuchet MS" w:hAnsi="Trebuchet MS"/>
          <w:sz w:val="18"/>
          <w:szCs w:val="18"/>
          <w:lang w:val="en-US"/>
        </w:rPr>
        <w:tab/>
        <w:t>Clean-up</w:t>
      </w:r>
      <w:r w:rsidRPr="00486110" w:rsidDel="002942E5">
        <w:rPr>
          <w:rFonts w:ascii="Trebuchet MS" w:hAnsi="Trebuchet MS"/>
          <w:sz w:val="18"/>
          <w:szCs w:val="18"/>
          <w:lang w:val="en-US"/>
        </w:rPr>
        <w:t xml:space="preserve"> </w:t>
      </w:r>
    </w:p>
    <w:p w:rsidR="00BE1C25" w:rsidRPr="00486110" w:rsidRDefault="00BE1C25" w:rsidP="00BE1C25">
      <w:pPr>
        <w:pStyle w:val="NormalWeb"/>
        <w:tabs>
          <w:tab w:val="left" w:pos="567"/>
          <w:tab w:val="left" w:pos="2694"/>
          <w:tab w:val="left" w:pos="4678"/>
          <w:tab w:val="left" w:pos="7560"/>
        </w:tabs>
        <w:spacing w:before="0" w:beforeAutospacing="0" w:after="0" w:afterAutospacing="0"/>
        <w:jc w:val="both"/>
        <w:rPr>
          <w:rFonts w:ascii="Trebuchet MS" w:hAnsi="Trebuchet MS"/>
          <w:sz w:val="18"/>
          <w:szCs w:val="18"/>
          <w:lang w:val="en-US"/>
        </w:rPr>
      </w:pPr>
      <w:r w:rsidRPr="00486110">
        <w:rPr>
          <w:rFonts w:ascii="Trebuchet MS" w:hAnsi="Trebuchet MS"/>
          <w:sz w:val="18"/>
          <w:szCs w:val="18"/>
          <w:lang w:val="en-US"/>
        </w:rPr>
        <w:tab/>
        <w:t>Loss of employment</w:t>
      </w:r>
      <w:r w:rsidRPr="00486110">
        <w:rPr>
          <w:rFonts w:ascii="Trebuchet MS" w:hAnsi="Trebuchet MS"/>
          <w:sz w:val="18"/>
          <w:szCs w:val="18"/>
          <w:lang w:val="en-US"/>
        </w:rPr>
        <w:tab/>
        <w:t>Moral/Psycho risk</w:t>
      </w:r>
      <w:r w:rsidRPr="00486110">
        <w:rPr>
          <w:rFonts w:ascii="Trebuchet MS" w:hAnsi="Trebuchet MS"/>
          <w:sz w:val="18"/>
          <w:szCs w:val="18"/>
          <w:lang w:val="en-US"/>
        </w:rPr>
        <w:tab/>
        <w:t>Loss/injury aerial ecosyst.</w:t>
      </w:r>
      <w:r w:rsidRPr="00486110" w:rsidDel="002942E5">
        <w:rPr>
          <w:rFonts w:ascii="Trebuchet MS" w:hAnsi="Trebuchet MS"/>
          <w:sz w:val="18"/>
          <w:szCs w:val="18"/>
          <w:lang w:val="en-US"/>
        </w:rPr>
        <w:t xml:space="preserve"> </w:t>
      </w:r>
      <w:r w:rsidRPr="00486110">
        <w:rPr>
          <w:rFonts w:ascii="Trebuchet MS" w:hAnsi="Trebuchet MS"/>
          <w:sz w:val="18"/>
          <w:szCs w:val="18"/>
          <w:lang w:val="en-US"/>
        </w:rPr>
        <w:tab/>
        <w:t>Actuarial injuries</w:t>
      </w:r>
      <w:r w:rsidRPr="00486110" w:rsidDel="002942E5">
        <w:rPr>
          <w:rFonts w:ascii="Trebuchet MS" w:hAnsi="Trebuchet MS"/>
          <w:sz w:val="18"/>
          <w:szCs w:val="18"/>
          <w:lang w:val="en-US"/>
        </w:rPr>
        <w:t xml:space="preserve"> </w:t>
      </w:r>
    </w:p>
    <w:p w:rsidR="00BE1C25" w:rsidRPr="00486110" w:rsidRDefault="00BE1C25" w:rsidP="00BE1C25">
      <w:pPr>
        <w:pStyle w:val="NormalWeb"/>
        <w:tabs>
          <w:tab w:val="left" w:pos="720"/>
          <w:tab w:val="left" w:pos="2552"/>
          <w:tab w:val="left" w:pos="4678"/>
          <w:tab w:val="left" w:pos="7560"/>
        </w:tabs>
        <w:spacing w:before="0" w:beforeAutospacing="0" w:after="0" w:afterAutospacing="0"/>
        <w:jc w:val="both"/>
        <w:rPr>
          <w:rFonts w:ascii="Trebuchet MS" w:hAnsi="Trebuchet MS"/>
          <w:sz w:val="18"/>
          <w:szCs w:val="18"/>
          <w:lang w:val="en-US"/>
        </w:rPr>
      </w:pPr>
      <w:r w:rsidRPr="00486110">
        <w:rPr>
          <w:rFonts w:ascii="Trebuchet MS" w:hAnsi="Trebuchet MS"/>
          <w:sz w:val="18"/>
          <w:szCs w:val="18"/>
          <w:lang w:val="en-US"/>
        </w:rPr>
        <w:tab/>
      </w:r>
      <w:r w:rsidRPr="00486110">
        <w:rPr>
          <w:rFonts w:ascii="Trebuchet MS" w:hAnsi="Trebuchet MS"/>
          <w:sz w:val="18"/>
          <w:szCs w:val="18"/>
          <w:lang w:val="en-US"/>
        </w:rPr>
        <w:tab/>
        <w:t>Lifetime health problems</w:t>
      </w:r>
      <w:r w:rsidRPr="00486110">
        <w:rPr>
          <w:rFonts w:ascii="Trebuchet MS" w:hAnsi="Trebuchet MS"/>
          <w:sz w:val="18"/>
          <w:szCs w:val="18"/>
          <w:lang w:val="en-US"/>
        </w:rPr>
        <w:tab/>
        <w:t>Loss/injury terrest. ecosyst.</w:t>
      </w:r>
      <w:r w:rsidRPr="00486110">
        <w:rPr>
          <w:rFonts w:ascii="Trebuchet MS" w:hAnsi="Trebuchet MS"/>
          <w:sz w:val="18"/>
          <w:szCs w:val="18"/>
          <w:lang w:val="en-US"/>
        </w:rPr>
        <w:tab/>
      </w:r>
    </w:p>
    <w:p w:rsidR="00BE1C25" w:rsidRPr="00486110" w:rsidRDefault="00BE1C25" w:rsidP="00BE1C25">
      <w:pPr>
        <w:pStyle w:val="NormalWeb"/>
        <w:tabs>
          <w:tab w:val="left" w:pos="720"/>
          <w:tab w:val="left" w:pos="2880"/>
          <w:tab w:val="left" w:pos="4678"/>
          <w:tab w:val="left" w:pos="7560"/>
        </w:tabs>
        <w:spacing w:before="0" w:beforeAutospacing="0" w:after="0" w:afterAutospacing="0"/>
        <w:jc w:val="both"/>
        <w:rPr>
          <w:rFonts w:ascii="Trebuchet MS" w:hAnsi="Trebuchet MS"/>
          <w:sz w:val="18"/>
          <w:szCs w:val="18"/>
          <w:lang w:val="en-US"/>
        </w:rPr>
      </w:pPr>
      <w:r w:rsidRPr="00486110">
        <w:rPr>
          <w:rFonts w:ascii="Trebuchet MS" w:hAnsi="Trebuchet MS"/>
          <w:sz w:val="18"/>
          <w:szCs w:val="18"/>
          <w:lang w:val="en-US"/>
        </w:rPr>
        <w:tab/>
      </w:r>
      <w:r w:rsidRPr="00486110">
        <w:rPr>
          <w:rFonts w:ascii="Trebuchet MS" w:hAnsi="Trebuchet MS"/>
          <w:sz w:val="18"/>
          <w:szCs w:val="18"/>
          <w:lang w:val="en-US"/>
        </w:rPr>
        <w:tab/>
      </w:r>
      <w:r w:rsidRPr="00486110">
        <w:rPr>
          <w:rFonts w:ascii="Trebuchet MS" w:hAnsi="Trebuchet MS"/>
          <w:sz w:val="18"/>
          <w:szCs w:val="18"/>
          <w:lang w:val="en-US"/>
        </w:rPr>
        <w:tab/>
        <w:t>Condemned area</w:t>
      </w:r>
      <w:r w:rsidRPr="00486110" w:rsidDel="002942E5">
        <w:rPr>
          <w:rFonts w:ascii="Trebuchet MS" w:hAnsi="Trebuchet MS"/>
          <w:sz w:val="18"/>
          <w:szCs w:val="18"/>
          <w:lang w:val="en-US"/>
        </w:rPr>
        <w:t xml:space="preserve"> </w:t>
      </w:r>
      <w:r w:rsidRPr="00486110">
        <w:rPr>
          <w:rFonts w:ascii="Trebuchet MS" w:hAnsi="Trebuchet MS"/>
          <w:sz w:val="18"/>
          <w:szCs w:val="18"/>
          <w:lang w:val="en-US"/>
        </w:rPr>
        <w:tab/>
      </w:r>
    </w:p>
    <w:p w:rsidR="00BE1C25" w:rsidRPr="00486110" w:rsidRDefault="00BE1C25" w:rsidP="00BE1C25">
      <w:pPr>
        <w:pStyle w:val="NormalWeb"/>
        <w:tabs>
          <w:tab w:val="left" w:pos="720"/>
          <w:tab w:val="left" w:pos="2880"/>
          <w:tab w:val="left" w:pos="4678"/>
          <w:tab w:val="left" w:pos="7560"/>
        </w:tabs>
        <w:spacing w:before="0" w:beforeAutospacing="0" w:after="0" w:afterAutospacing="0"/>
        <w:jc w:val="both"/>
        <w:rPr>
          <w:rFonts w:ascii="Trebuchet MS" w:hAnsi="Trebuchet MS"/>
          <w:sz w:val="18"/>
          <w:szCs w:val="18"/>
          <w:lang w:val="en-US"/>
        </w:rPr>
      </w:pPr>
      <w:r w:rsidRPr="00486110">
        <w:rPr>
          <w:rFonts w:ascii="Trebuchet MS" w:hAnsi="Trebuchet MS"/>
          <w:sz w:val="18"/>
          <w:szCs w:val="18"/>
          <w:lang w:val="en-US"/>
        </w:rPr>
        <w:tab/>
      </w:r>
      <w:r w:rsidRPr="00486110">
        <w:rPr>
          <w:rFonts w:ascii="Trebuchet MS" w:hAnsi="Trebuchet MS"/>
          <w:sz w:val="18"/>
          <w:szCs w:val="18"/>
          <w:lang w:val="en-US"/>
        </w:rPr>
        <w:tab/>
      </w:r>
      <w:r w:rsidRPr="00486110">
        <w:rPr>
          <w:rFonts w:ascii="Trebuchet MS" w:hAnsi="Trebuchet MS"/>
          <w:sz w:val="18"/>
          <w:szCs w:val="18"/>
          <w:lang w:val="en-US"/>
        </w:rPr>
        <w:tab/>
        <w:t>Interdicted area</w:t>
      </w:r>
      <w:r w:rsidRPr="00486110" w:rsidDel="002942E5">
        <w:rPr>
          <w:rFonts w:ascii="Trebuchet MS" w:hAnsi="Trebuchet MS"/>
          <w:sz w:val="18"/>
          <w:szCs w:val="18"/>
          <w:lang w:val="en-US"/>
        </w:rPr>
        <w:t xml:space="preserve"> </w:t>
      </w:r>
    </w:p>
    <w:p w:rsidR="00BE1C25" w:rsidRPr="00486110" w:rsidRDefault="00BE1C25" w:rsidP="00BE1C25">
      <w:pPr>
        <w:pStyle w:val="NormalWeb"/>
        <w:tabs>
          <w:tab w:val="left" w:pos="720"/>
          <w:tab w:val="left" w:pos="2880"/>
          <w:tab w:val="left" w:pos="4678"/>
          <w:tab w:val="left" w:pos="7560"/>
        </w:tabs>
        <w:spacing w:before="0" w:beforeAutospacing="0" w:after="0" w:afterAutospacing="0"/>
        <w:jc w:val="both"/>
        <w:rPr>
          <w:rFonts w:ascii="Trebuchet MS" w:hAnsi="Trebuchet MS"/>
          <w:sz w:val="18"/>
          <w:szCs w:val="18"/>
          <w:lang w:val="en-US"/>
        </w:rPr>
      </w:pPr>
      <w:r w:rsidRPr="00486110">
        <w:rPr>
          <w:rFonts w:ascii="Trebuchet MS" w:hAnsi="Trebuchet MS"/>
          <w:sz w:val="18"/>
          <w:szCs w:val="18"/>
          <w:lang w:val="en-US"/>
        </w:rPr>
        <w:tab/>
      </w:r>
      <w:r w:rsidRPr="00486110">
        <w:rPr>
          <w:rFonts w:ascii="Trebuchet MS" w:hAnsi="Trebuchet MS"/>
          <w:sz w:val="18"/>
          <w:szCs w:val="18"/>
          <w:lang w:val="en-US"/>
        </w:rPr>
        <w:tab/>
      </w:r>
      <w:r w:rsidRPr="00486110">
        <w:rPr>
          <w:rFonts w:ascii="Trebuchet MS" w:hAnsi="Trebuchet MS"/>
          <w:sz w:val="18"/>
          <w:szCs w:val="18"/>
          <w:lang w:val="en-US"/>
        </w:rPr>
        <w:tab/>
        <w:t>Crop disposal</w:t>
      </w:r>
      <w:r w:rsidRPr="00486110" w:rsidDel="002942E5">
        <w:rPr>
          <w:rFonts w:ascii="Trebuchet MS" w:hAnsi="Trebuchet MS"/>
          <w:sz w:val="18"/>
          <w:szCs w:val="18"/>
          <w:lang w:val="en-US"/>
        </w:rPr>
        <w:t xml:space="preserve"> </w:t>
      </w:r>
    </w:p>
    <w:p w:rsidR="00BE1C25" w:rsidRPr="00486110" w:rsidRDefault="00BE1C25" w:rsidP="00BE1C25">
      <w:pPr>
        <w:pStyle w:val="NormalWeb"/>
        <w:tabs>
          <w:tab w:val="left" w:pos="720"/>
          <w:tab w:val="left" w:pos="2880"/>
          <w:tab w:val="left" w:pos="4678"/>
          <w:tab w:val="left" w:pos="7560"/>
        </w:tabs>
        <w:spacing w:before="0" w:beforeAutospacing="0" w:after="0" w:afterAutospacing="0"/>
        <w:jc w:val="both"/>
        <w:rPr>
          <w:rFonts w:ascii="Trebuchet MS" w:hAnsi="Trebuchet MS"/>
          <w:sz w:val="18"/>
          <w:szCs w:val="18"/>
          <w:lang w:val="en-US"/>
        </w:rPr>
      </w:pPr>
      <w:r w:rsidRPr="00486110">
        <w:rPr>
          <w:rFonts w:ascii="Trebuchet MS" w:hAnsi="Trebuchet MS"/>
          <w:sz w:val="18"/>
          <w:szCs w:val="18"/>
          <w:lang w:val="en-US"/>
        </w:rPr>
        <w:tab/>
      </w:r>
      <w:r w:rsidRPr="00486110">
        <w:rPr>
          <w:rFonts w:ascii="Trebuchet MS" w:hAnsi="Trebuchet MS"/>
          <w:sz w:val="18"/>
          <w:szCs w:val="18"/>
          <w:lang w:val="en-US"/>
        </w:rPr>
        <w:tab/>
      </w:r>
      <w:r w:rsidRPr="00486110">
        <w:rPr>
          <w:rFonts w:ascii="Trebuchet MS" w:hAnsi="Trebuchet MS"/>
          <w:sz w:val="18"/>
          <w:szCs w:val="18"/>
          <w:lang w:val="en-US"/>
        </w:rPr>
        <w:tab/>
        <w:t>Milk disposal</w:t>
      </w:r>
    </w:p>
    <w:p w:rsidR="00BE1C25" w:rsidRDefault="00BE1C25" w:rsidP="00BE1C25">
      <w:pPr>
        <w:rPr>
          <w:shd w:val="clear" w:color="auto" w:fill="FFFF00"/>
          <w:lang w:val="en-US"/>
        </w:rPr>
      </w:pPr>
    </w:p>
    <w:p w:rsidR="00BE1C25" w:rsidRPr="00486110" w:rsidRDefault="00BE1C25" w:rsidP="00BE1C25">
      <w:pPr>
        <w:rPr>
          <w:lang w:val="en-US"/>
        </w:rPr>
      </w:pPr>
      <w:r w:rsidRPr="00486110">
        <w:rPr>
          <w:shd w:val="clear" w:color="auto" w:fill="FFFF00"/>
          <w:lang w:val="en-US"/>
        </w:rPr>
        <w:t xml:space="preserve">        </w:t>
      </w:r>
      <w:r w:rsidRPr="00486110">
        <w:rPr>
          <w:lang w:val="en-US"/>
        </w:rPr>
        <w:t xml:space="preserve">     represents LERF,</w:t>
      </w:r>
    </w:p>
    <w:p w:rsidR="00BE1C25" w:rsidRPr="00486110" w:rsidRDefault="00BE1C25" w:rsidP="00BE1C25">
      <w:pPr>
        <w:rPr>
          <w:lang w:val="en-US"/>
        </w:rPr>
      </w:pPr>
    </w:p>
    <w:p w:rsidR="00BE1C25" w:rsidRPr="00486110" w:rsidRDefault="00BE1C25" w:rsidP="00BE1C25">
      <w:pPr>
        <w:rPr>
          <w:lang w:val="en-US"/>
        </w:rPr>
      </w:pPr>
      <w:r w:rsidRPr="00486110">
        <w:rPr>
          <w:bdr w:val="double" w:sz="12" w:space="0" w:color="FF0000" w:frame="1"/>
          <w:lang w:val="en-US"/>
        </w:rPr>
        <w:t xml:space="preserve">       </w:t>
      </w:r>
      <w:r w:rsidRPr="00486110">
        <w:rPr>
          <w:lang w:val="en-US"/>
        </w:rPr>
        <w:t xml:space="preserve">   represents generally evaluated Industrial risk,</w:t>
      </w:r>
    </w:p>
    <w:p w:rsidR="00BE1C25" w:rsidRPr="00486110" w:rsidRDefault="00BE1C25" w:rsidP="00BE1C25">
      <w:pPr>
        <w:rPr>
          <w:lang w:val="en-US"/>
        </w:rPr>
      </w:pPr>
    </w:p>
    <w:p w:rsidR="00BE1C25" w:rsidRPr="00486110" w:rsidRDefault="00BE1C25" w:rsidP="00BE1C25">
      <w:pPr>
        <w:rPr>
          <w:lang w:val="en-US"/>
        </w:rPr>
      </w:pPr>
      <w:r w:rsidRPr="00486110">
        <w:rPr>
          <w:bdr w:val="single" w:sz="12" w:space="0" w:color="0000FF" w:frame="1"/>
          <w:lang w:val="en-US"/>
        </w:rPr>
        <w:t xml:space="preserve">         </w:t>
      </w:r>
      <w:r w:rsidRPr="00486110">
        <w:rPr>
          <w:lang w:val="en-US"/>
        </w:rPr>
        <w:t xml:space="preserve">   represents part of Common Risk Target (to be comparable to industrial risk expressing </w:t>
      </w:r>
      <w:r>
        <w:rPr>
          <w:lang w:val="en-US"/>
        </w:rPr>
        <w:t xml:space="preserve">mostly </w:t>
      </w:r>
      <w:r w:rsidRPr="00486110">
        <w:rPr>
          <w:lang w:val="en-US"/>
        </w:rPr>
        <w:t>deaths),</w:t>
      </w:r>
    </w:p>
    <w:p w:rsidR="00BE1C25" w:rsidRPr="00486110" w:rsidRDefault="00BE1C25" w:rsidP="00BE1C25">
      <w:pPr>
        <w:pStyle w:val="NormalWeb"/>
        <w:tabs>
          <w:tab w:val="left" w:pos="7560"/>
        </w:tabs>
        <w:spacing w:before="0" w:beforeAutospacing="0" w:after="0" w:afterAutospacing="0"/>
        <w:jc w:val="both"/>
        <w:rPr>
          <w:sz w:val="22"/>
          <w:szCs w:val="22"/>
          <w:lang w:val="en-US"/>
        </w:rPr>
      </w:pPr>
    </w:p>
    <w:p w:rsidR="00BE1C25" w:rsidRDefault="00BE1C25" w:rsidP="00BE1C25">
      <w:pPr>
        <w:rPr>
          <w:lang w:val="en-US"/>
        </w:rPr>
      </w:pPr>
      <w:r w:rsidRPr="00486110">
        <w:rPr>
          <w:bdr w:val="dashed" w:sz="12" w:space="0" w:color="0000FF" w:frame="1"/>
          <w:lang w:val="en-US"/>
        </w:rPr>
        <w:t xml:space="preserve">         </w:t>
      </w:r>
      <w:r w:rsidRPr="00486110">
        <w:rPr>
          <w:lang w:val="en-US"/>
        </w:rPr>
        <w:t xml:space="preserve">   represents total scope of Common Risk Target (minimizing releases, it means all risks).</w:t>
      </w:r>
    </w:p>
    <w:p w:rsidR="00BE1C25" w:rsidRDefault="00BE1C25" w:rsidP="00BE1C25">
      <w:pPr>
        <w:rPr>
          <w:lang w:val="en-US"/>
        </w:rPr>
      </w:pPr>
    </w:p>
    <w:p w:rsidR="00BE1C25" w:rsidRDefault="00BE1C25" w:rsidP="00BE1C25">
      <w:pPr>
        <w:rPr>
          <w:sz w:val="22"/>
          <w:szCs w:val="22"/>
          <w:lang w:val="en-US"/>
        </w:rPr>
      </w:pPr>
      <w:r w:rsidRPr="00520A83">
        <w:rPr>
          <w:lang w:val="en-US"/>
        </w:rPr>
        <w:t xml:space="preserve">As it comes from statistics on real accident in Chernobyl with existing </w:t>
      </w:r>
      <w:r w:rsidR="00857D76" w:rsidRPr="00520A83">
        <w:rPr>
          <w:lang w:val="en-US"/>
        </w:rPr>
        <w:t>long-term</w:t>
      </w:r>
      <w:r w:rsidRPr="00520A83">
        <w:rPr>
          <w:lang w:val="en-US"/>
        </w:rPr>
        <w:t xml:space="preserve"> 30-year observations and measurements (e.g. </w:t>
      </w:r>
      <w:r w:rsidR="00CD0CBE">
        <w:fldChar w:fldCharType="begin"/>
      </w:r>
      <w:r w:rsidR="00CD0CBE">
        <w:instrText xml:space="preserve"> REF _Ref342819204 \r \h  \* MERGEFORMAT </w:instrText>
      </w:r>
      <w:r w:rsidR="00CD0CBE">
        <w:fldChar w:fldCharType="separate"/>
      </w:r>
      <w:r w:rsidR="00B772CA" w:rsidRPr="00B772CA">
        <w:rPr>
          <w:lang w:val="en-US"/>
        </w:rPr>
        <w:t>[123]</w:t>
      </w:r>
      <w:r w:rsidR="00CD0CBE">
        <w:fldChar w:fldCharType="end"/>
      </w:r>
      <w:r w:rsidR="00857D76" w:rsidRPr="00520A83">
        <w:rPr>
          <w:lang w:val="en-US"/>
        </w:rPr>
        <w:t xml:space="preserve"> </w:t>
      </w:r>
      <w:r w:rsidRPr="00520A83">
        <w:rPr>
          <w:lang w:val="en-US"/>
        </w:rPr>
        <w:t xml:space="preserve">and many others), acute fatalities are negligible in comparison with other </w:t>
      </w:r>
      <w:r w:rsidR="00857D76" w:rsidRPr="00520A83">
        <w:rPr>
          <w:lang w:val="en-US"/>
        </w:rPr>
        <w:t>long-term</w:t>
      </w:r>
      <w:r w:rsidRPr="00520A83">
        <w:rPr>
          <w:lang w:val="en-US"/>
        </w:rPr>
        <w:t xml:space="preserve"> consequences following a nuclear accident, which is apparent also from Table </w:t>
      </w:r>
      <w:r w:rsidR="0097110F">
        <w:rPr>
          <w:lang w:val="en-US"/>
        </w:rPr>
        <w:t>6</w:t>
      </w:r>
      <w:r w:rsidR="0097110F" w:rsidRPr="00520A83">
        <w:rPr>
          <w:lang w:val="en-US"/>
        </w:rPr>
        <w:t xml:space="preserve"> </w:t>
      </w:r>
      <w:r w:rsidRPr="00520A83">
        <w:rPr>
          <w:lang w:val="en-US"/>
        </w:rPr>
        <w:t>based on MACCS2 calculations. The formula above with its graphic distinction of particular components of total risk shows LERF - being the widely used risk measure in L2 PSA focusing on early releases. LERF is tied more or less to releases of I131, which are considered to be the most devastating in terms of immediate (or rather delayed) human health impact ONLY. This is caused by its nature as far as chemical and radiological characteristics influencing thyroid. Thus, from the point of view of absolute consequences usually expressed in fatalities, LERF is not an indicator to relay upon in terms of safety and “intrinsic” effects of a severe accident. It should be noted, that LERF was not developed for safety purposes, but for radiation protection purposes.</w:t>
      </w:r>
    </w:p>
    <w:p w:rsidR="00BE1C25" w:rsidRDefault="00BE1C25" w:rsidP="00BE1C25">
      <w:pPr>
        <w:pStyle w:val="NormalWeb"/>
        <w:tabs>
          <w:tab w:val="left" w:pos="7560"/>
        </w:tabs>
        <w:spacing w:before="0" w:beforeAutospacing="0" w:after="0" w:afterAutospacing="0"/>
        <w:jc w:val="both"/>
        <w:rPr>
          <w:lang w:val="en-US"/>
        </w:rPr>
      </w:pPr>
    </w:p>
    <w:p w:rsidR="00F90A26" w:rsidRDefault="00F90A26" w:rsidP="00F90A26">
      <w:pPr>
        <w:pStyle w:val="NormalWeb"/>
        <w:tabs>
          <w:tab w:val="left" w:pos="7560"/>
        </w:tabs>
        <w:spacing w:before="0" w:beforeAutospacing="0" w:after="0" w:afterAutospacing="0"/>
        <w:jc w:val="both"/>
        <w:rPr>
          <w:lang w:val="en-US"/>
        </w:rPr>
      </w:pPr>
    </w:p>
    <w:p w:rsidR="00F90A26" w:rsidRPr="00505B2A" w:rsidRDefault="0007655D" w:rsidP="00505B2A">
      <w:pPr>
        <w:pStyle w:val="Titre4"/>
        <w:numPr>
          <w:ilvl w:val="3"/>
          <w:numId w:val="156"/>
        </w:numPr>
      </w:pPr>
      <w:bookmarkStart w:id="376" w:name="_Toc387831948"/>
      <w:r w:rsidRPr="0089273E">
        <w:lastRenderedPageBreak/>
        <w:t>Level 2 Risk Assessment (</w:t>
      </w:r>
      <w:r w:rsidR="00F90A26" w:rsidRPr="00505B2A">
        <w:t>Containment matrix</w:t>
      </w:r>
      <w:bookmarkEnd w:id="376"/>
      <w:r w:rsidRPr="0089273E">
        <w:t>)</w:t>
      </w:r>
    </w:p>
    <w:p w:rsidR="00F90A26" w:rsidRDefault="00F90A26" w:rsidP="00F90A26">
      <w:pPr>
        <w:rPr>
          <w:lang w:val="en-US"/>
        </w:rPr>
      </w:pPr>
      <w:r w:rsidRPr="00890010">
        <w:rPr>
          <w:lang w:val="en-US"/>
        </w:rPr>
        <w:t>The containment fragility analysis identifies various containment failure modes due to various loads. Typical containment loads analyzed are for instance: in-vessel steam explosion, ex-vessel steam explosion, RCS blow-down and generation of non-condensable gases, loads due to hydrogen and carbon monoxide combustion, due to high-pressure gas releases, direct containment heating, basemat melt-through etc.</w:t>
      </w:r>
    </w:p>
    <w:p w:rsidR="00F90A26" w:rsidRDefault="00F90A26" w:rsidP="00F90A26">
      <w:pPr>
        <w:rPr>
          <w:lang w:val="en-US"/>
        </w:rPr>
      </w:pPr>
    </w:p>
    <w:p w:rsidR="00F90A26" w:rsidRDefault="00F90A26" w:rsidP="00F90A26">
      <w:pPr>
        <w:rPr>
          <w:lang w:val="en-US"/>
        </w:rPr>
      </w:pPr>
      <w:r w:rsidRPr="00890010">
        <w:rPr>
          <w:lang w:val="en-US"/>
        </w:rPr>
        <w:t xml:space="preserve">Containment accident progression is analyzed, where the methodology of Containment Event Trees/Accident </w:t>
      </w:r>
      <w:r w:rsidR="0076078B">
        <w:rPr>
          <w:lang w:val="en-US"/>
        </w:rPr>
        <w:t>P</w:t>
      </w:r>
      <w:r w:rsidRPr="00890010">
        <w:rPr>
          <w:lang w:val="en-US"/>
        </w:rPr>
        <w:t>rogression Event Trees (CET/APET) is normally used. The APET produces a large number of end-states and since some of them are identical or similar in terms of key release attributes, they are grouped together with respect to similar radiological characteristics and potential off-site consequences. This grouping is referred to as release categories, release bins, release modes, release classes, or source term bins.</w:t>
      </w:r>
    </w:p>
    <w:p w:rsidR="00F90A26" w:rsidRDefault="00F90A26" w:rsidP="00F90A26">
      <w:pPr>
        <w:rPr>
          <w:lang w:val="en-US"/>
        </w:rPr>
      </w:pPr>
    </w:p>
    <w:p w:rsidR="00F90A26" w:rsidRDefault="00F90A26" w:rsidP="00F90A26">
      <w:pPr>
        <w:rPr>
          <w:lang w:val="en-US"/>
        </w:rPr>
      </w:pPr>
      <w:r>
        <w:rPr>
          <w:lang w:val="en-US"/>
        </w:rPr>
        <w:t xml:space="preserve">Typical form of the results referring to PDS and release categories is a containment matrix, one example follows in </w:t>
      </w:r>
      <w:r w:rsidR="009E768B">
        <w:rPr>
          <w:lang w:val="en-US"/>
        </w:rPr>
        <w:fldChar w:fldCharType="begin"/>
      </w:r>
      <w:r w:rsidR="00890010">
        <w:rPr>
          <w:lang w:val="en-US"/>
        </w:rPr>
        <w:instrText xml:space="preserve"> REF _Ref339634589 \h </w:instrText>
      </w:r>
      <w:r w:rsidR="009E768B">
        <w:rPr>
          <w:lang w:val="en-US"/>
        </w:rPr>
      </w:r>
      <w:r w:rsidR="009E768B">
        <w:rPr>
          <w:lang w:val="en-US"/>
        </w:rPr>
        <w:fldChar w:fldCharType="separate"/>
      </w:r>
      <w:r w:rsidR="00B772CA">
        <w:t xml:space="preserve">Table </w:t>
      </w:r>
      <w:r w:rsidR="00B772CA">
        <w:rPr>
          <w:noProof/>
        </w:rPr>
        <w:t>8</w:t>
      </w:r>
      <w:r w:rsidR="009E768B">
        <w:rPr>
          <w:lang w:val="en-US"/>
        </w:rPr>
        <w:fldChar w:fldCharType="end"/>
      </w:r>
      <w:r>
        <w:rPr>
          <w:lang w:val="en-US"/>
        </w:rPr>
        <w:t>.</w:t>
      </w:r>
    </w:p>
    <w:p w:rsidR="00F90A26" w:rsidRDefault="00F90A26" w:rsidP="00F90A26">
      <w:pPr>
        <w:rPr>
          <w:lang w:val="en-US"/>
        </w:rPr>
      </w:pPr>
    </w:p>
    <w:p w:rsidR="00890010" w:rsidRDefault="00890010" w:rsidP="00505B2A">
      <w:pPr>
        <w:pStyle w:val="Lgende"/>
      </w:pPr>
      <w:bookmarkStart w:id="377" w:name="_Ref339634589"/>
      <w:bookmarkStart w:id="378" w:name="_Toc474428904"/>
      <w:r>
        <w:t xml:space="preserve">Table </w:t>
      </w:r>
      <w:r w:rsidR="009E768B">
        <w:fldChar w:fldCharType="begin"/>
      </w:r>
      <w:r>
        <w:instrText xml:space="preserve"> SEQ Table \* ARABIC </w:instrText>
      </w:r>
      <w:r w:rsidR="009E768B">
        <w:fldChar w:fldCharType="separate"/>
      </w:r>
      <w:r w:rsidR="00B772CA">
        <w:rPr>
          <w:noProof/>
        </w:rPr>
        <w:t>8</w:t>
      </w:r>
      <w:r w:rsidR="009E768B">
        <w:fldChar w:fldCharType="end"/>
      </w:r>
      <w:bookmarkEnd w:id="377"/>
      <w:r>
        <w:t xml:space="preserve"> : </w:t>
      </w:r>
      <w:r>
        <w:rPr>
          <w:lang w:val="en-US"/>
        </w:rPr>
        <w:t>Example of Containment Matrix</w:t>
      </w:r>
      <w:bookmarkEnd w:id="378"/>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20"/>
        <w:gridCol w:w="720"/>
        <w:gridCol w:w="900"/>
        <w:gridCol w:w="720"/>
        <w:gridCol w:w="900"/>
        <w:gridCol w:w="720"/>
        <w:gridCol w:w="720"/>
        <w:gridCol w:w="18"/>
        <w:gridCol w:w="702"/>
        <w:gridCol w:w="900"/>
        <w:gridCol w:w="720"/>
        <w:gridCol w:w="1260"/>
      </w:tblGrid>
      <w:tr w:rsidR="00F90A26" w:rsidTr="00F90A26">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PDS</w:t>
            </w:r>
          </w:p>
        </w:tc>
        <w:tc>
          <w:tcPr>
            <w:tcW w:w="7740" w:type="dxa"/>
            <w:gridSpan w:val="11"/>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Release bin categories/Release classes RC</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PDS</w:t>
            </w:r>
          </w:p>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Freq.</w:t>
            </w:r>
          </w:p>
        </w:tc>
      </w:tr>
      <w:tr w:rsidR="00F90A26" w:rsidTr="00F90A26">
        <w:tc>
          <w:tcPr>
            <w:tcW w:w="1260" w:type="dxa"/>
            <w:vMerge/>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SGTR</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Early Cont. Failure</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Late Cont. Failure</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Bypass</w:t>
            </w:r>
          </w:p>
        </w:tc>
        <w:tc>
          <w:tcPr>
            <w:tcW w:w="72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Cont. Unisol.</w:t>
            </w:r>
          </w:p>
        </w:tc>
        <w:tc>
          <w:tcPr>
            <w:tcW w:w="900"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Basemat melt</w:t>
            </w:r>
          </w:p>
        </w:tc>
        <w:tc>
          <w:tcPr>
            <w:tcW w:w="720"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No CF</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p>
        </w:tc>
      </w:tr>
      <w:tr w:rsidR="00F90A26" w:rsidTr="00505B2A">
        <w:tc>
          <w:tcPr>
            <w:tcW w:w="1260" w:type="dxa"/>
            <w:vMerge/>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Type1</w:t>
            </w:r>
          </w:p>
        </w:tc>
        <w:tc>
          <w:tcPr>
            <w:tcW w:w="900"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Type2</w:t>
            </w:r>
          </w:p>
        </w:tc>
        <w:tc>
          <w:tcPr>
            <w:tcW w:w="720"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Type3</w:t>
            </w:r>
          </w:p>
        </w:tc>
        <w:tc>
          <w:tcPr>
            <w:tcW w:w="900"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Type1</w:t>
            </w:r>
          </w:p>
        </w:tc>
        <w:tc>
          <w:tcPr>
            <w:tcW w:w="720"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Type2</w:t>
            </w:r>
          </w:p>
        </w:tc>
        <w:tc>
          <w:tcPr>
            <w:tcW w:w="720"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Type2</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90A26" w:rsidRDefault="00F90A26" w:rsidP="00F90A26">
            <w:pPr>
              <w:rPr>
                <w:rFonts w:ascii="Arial Narrow" w:hAnsi="Arial Narrow"/>
                <w:b/>
                <w:sz w:val="20"/>
                <w:szCs w:val="20"/>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rPr>
                <w:rFonts w:ascii="Arial Narrow" w:hAnsi="Arial Narrow"/>
                <w:b/>
                <w:sz w:val="20"/>
                <w:szCs w:val="20"/>
                <w:lang w:val="en-US"/>
              </w:rPr>
            </w:pPr>
          </w:p>
        </w:tc>
        <w:tc>
          <w:tcPr>
            <w:tcW w:w="720"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rPr>
                <w:rFonts w:ascii="Arial Narrow" w:hAnsi="Arial Narrow"/>
                <w:b/>
                <w:sz w:val="20"/>
                <w:szCs w:val="20"/>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p>
        </w:tc>
      </w:tr>
      <w:tr w:rsidR="00F90A26" w:rsidTr="00F90A26">
        <w:tc>
          <w:tcPr>
            <w:tcW w:w="1260" w:type="dxa"/>
            <w:tcBorders>
              <w:top w:val="single" w:sz="4" w:space="0" w:color="auto"/>
              <w:left w:val="single" w:sz="4" w:space="0" w:color="auto"/>
              <w:bottom w:val="single" w:sz="4" w:space="0" w:color="auto"/>
              <w:right w:val="single" w:sz="4" w:space="0" w:color="auto"/>
            </w:tcBorders>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1</w:t>
            </w:r>
          </w:p>
        </w:tc>
        <w:tc>
          <w:tcPr>
            <w:tcW w:w="720" w:type="dxa"/>
            <w:tcBorders>
              <w:top w:val="single" w:sz="4" w:space="0" w:color="auto"/>
              <w:left w:val="single" w:sz="4" w:space="0" w:color="auto"/>
              <w:bottom w:val="single" w:sz="4" w:space="0" w:color="auto"/>
              <w:right w:val="single" w:sz="4" w:space="0" w:color="auto"/>
            </w:tcBorders>
            <w:hideMark/>
          </w:tcPr>
          <w:p w:rsidR="00F90A26" w:rsidRDefault="00F90A26" w:rsidP="00F90A26">
            <w:pP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SGTR1</w:t>
            </w: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38" w:type="dxa"/>
            <w:gridSpan w:val="2"/>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02"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pct10" w:color="auto" w:fill="auto"/>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f1</w:t>
            </w:r>
          </w:p>
        </w:tc>
      </w:tr>
      <w:tr w:rsidR="00F90A26" w:rsidTr="00F90A26">
        <w:tc>
          <w:tcPr>
            <w:tcW w:w="1260" w:type="dxa"/>
            <w:tcBorders>
              <w:top w:val="single" w:sz="4" w:space="0" w:color="auto"/>
              <w:left w:val="single" w:sz="4" w:space="0" w:color="auto"/>
              <w:bottom w:val="single" w:sz="4" w:space="0" w:color="auto"/>
              <w:right w:val="single" w:sz="4" w:space="0" w:color="auto"/>
            </w:tcBorders>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2</w:t>
            </w:r>
          </w:p>
        </w:tc>
        <w:tc>
          <w:tcPr>
            <w:tcW w:w="720" w:type="dxa"/>
            <w:tcBorders>
              <w:top w:val="single" w:sz="4" w:space="0" w:color="auto"/>
              <w:left w:val="single" w:sz="4" w:space="0" w:color="auto"/>
              <w:bottom w:val="single" w:sz="4" w:space="0" w:color="auto"/>
              <w:right w:val="single" w:sz="4" w:space="0" w:color="auto"/>
            </w:tcBorders>
            <w:hideMark/>
          </w:tcPr>
          <w:p w:rsidR="00F90A26" w:rsidRDefault="00F90A26" w:rsidP="00F90A26">
            <w:pP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SGTR2</w:t>
            </w: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38" w:type="dxa"/>
            <w:gridSpan w:val="2"/>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02"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pct10" w:color="auto" w:fill="auto"/>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f2</w:t>
            </w:r>
          </w:p>
        </w:tc>
      </w:tr>
      <w:tr w:rsidR="00F90A26" w:rsidTr="00F90A26">
        <w:tc>
          <w:tcPr>
            <w:tcW w:w="1260" w:type="dxa"/>
            <w:tcBorders>
              <w:top w:val="single" w:sz="4" w:space="0" w:color="auto"/>
              <w:left w:val="single" w:sz="4" w:space="0" w:color="auto"/>
              <w:bottom w:val="single" w:sz="4" w:space="0" w:color="auto"/>
              <w:right w:val="single" w:sz="4" w:space="0" w:color="auto"/>
            </w:tcBorders>
          </w:tcPr>
          <w:p w:rsidR="00F90A26" w:rsidRDefault="00F90A26" w:rsidP="00F90A26">
            <w:pPr>
              <w:jc w:val="cente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38" w:type="dxa"/>
            <w:gridSpan w:val="2"/>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02"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pct10" w:color="auto" w:fill="auto"/>
          </w:tcPr>
          <w:p w:rsidR="00F90A26" w:rsidRDefault="00F90A26" w:rsidP="00F90A26">
            <w:pPr>
              <w:jc w:val="center"/>
              <w:rPr>
                <w:rFonts w:ascii="Arial Narrow" w:hAnsi="Arial Narrow"/>
                <w:sz w:val="20"/>
                <w:szCs w:val="20"/>
                <w:lang w:val="en-US"/>
              </w:rPr>
            </w:pPr>
          </w:p>
        </w:tc>
      </w:tr>
      <w:tr w:rsidR="00F90A26" w:rsidTr="00F90A26">
        <w:tc>
          <w:tcPr>
            <w:tcW w:w="1260" w:type="dxa"/>
            <w:tcBorders>
              <w:top w:val="single" w:sz="4" w:space="0" w:color="auto"/>
              <w:left w:val="single" w:sz="4" w:space="0" w:color="auto"/>
              <w:bottom w:val="single" w:sz="4" w:space="0" w:color="auto"/>
              <w:right w:val="single" w:sz="4" w:space="0" w:color="auto"/>
            </w:tcBorders>
          </w:tcPr>
          <w:p w:rsidR="00F90A26" w:rsidRDefault="00F90A26" w:rsidP="00F90A26">
            <w:pPr>
              <w:jc w:val="cente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38" w:type="dxa"/>
            <w:gridSpan w:val="2"/>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02"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pct10" w:color="auto" w:fill="auto"/>
          </w:tcPr>
          <w:p w:rsidR="00F90A26" w:rsidRDefault="00F90A26" w:rsidP="00F90A26">
            <w:pPr>
              <w:jc w:val="center"/>
              <w:rPr>
                <w:rFonts w:ascii="Arial Narrow" w:hAnsi="Arial Narrow"/>
                <w:sz w:val="20"/>
                <w:szCs w:val="20"/>
                <w:lang w:val="en-US"/>
              </w:rPr>
            </w:pPr>
          </w:p>
        </w:tc>
      </w:tr>
      <w:tr w:rsidR="00F90A26" w:rsidTr="00F90A26">
        <w:tc>
          <w:tcPr>
            <w:tcW w:w="1260" w:type="dxa"/>
            <w:tcBorders>
              <w:top w:val="single" w:sz="4" w:space="0" w:color="auto"/>
              <w:left w:val="single" w:sz="4" w:space="0" w:color="auto"/>
              <w:bottom w:val="single" w:sz="4" w:space="0" w:color="auto"/>
              <w:right w:val="single" w:sz="4" w:space="0" w:color="auto"/>
            </w:tcBorders>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n</w:t>
            </w:r>
          </w:p>
        </w:tc>
        <w:tc>
          <w:tcPr>
            <w:tcW w:w="720" w:type="dxa"/>
            <w:tcBorders>
              <w:top w:val="single" w:sz="4" w:space="0" w:color="auto"/>
              <w:left w:val="single" w:sz="4" w:space="0" w:color="auto"/>
              <w:bottom w:val="single" w:sz="4" w:space="0" w:color="auto"/>
              <w:right w:val="single" w:sz="4" w:space="0" w:color="auto"/>
            </w:tcBorders>
            <w:hideMark/>
          </w:tcPr>
          <w:p w:rsidR="00F90A26" w:rsidRDefault="00F90A26" w:rsidP="00F90A26">
            <w:pP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 xml:space="preserve"> SGTRn</w:t>
            </w: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38" w:type="dxa"/>
            <w:gridSpan w:val="2"/>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02"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sz w:val="20"/>
                <w:szCs w:val="20"/>
                <w:lang w:val="en-US"/>
              </w:rPr>
            </w:pPr>
          </w:p>
        </w:tc>
        <w:tc>
          <w:tcPr>
            <w:tcW w:w="1260" w:type="dxa"/>
            <w:tcBorders>
              <w:top w:val="single" w:sz="4" w:space="0" w:color="auto"/>
              <w:left w:val="single" w:sz="4" w:space="0" w:color="auto"/>
              <w:bottom w:val="single" w:sz="4" w:space="0" w:color="auto"/>
              <w:right w:val="single" w:sz="4" w:space="0" w:color="auto"/>
            </w:tcBorders>
            <w:shd w:val="pct10" w:color="auto" w:fill="auto"/>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fn</w:t>
            </w:r>
          </w:p>
        </w:tc>
      </w:tr>
      <w:tr w:rsidR="00F90A26" w:rsidTr="00F90A26">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rPr>
                <w:rFonts w:ascii="Arial Narrow" w:hAnsi="Arial Narrow"/>
                <w:sz w:val="20"/>
                <w:szCs w:val="20"/>
                <w:lang w:val="en-US"/>
              </w:rPr>
            </w:pPr>
            <w:r>
              <w:rPr>
                <w:rFonts w:ascii="Arial Narrow" w:hAnsi="Arial Narrow"/>
                <w:b/>
                <w:sz w:val="20"/>
                <w:szCs w:val="20"/>
                <w:lang w:val="en-US"/>
              </w:rPr>
              <w:t>BinFreq./year (sum (R1:Rn</w:t>
            </w:r>
            <w:r>
              <w:rPr>
                <w:rFonts w:ascii="Arial Narrow" w:hAnsi="Arial Narrow"/>
                <w:sz w:val="20"/>
                <w:szCs w:val="20"/>
                <w:lang w:val="en-US"/>
              </w:rPr>
              <w:t>)</w:t>
            </w:r>
          </w:p>
        </w:tc>
        <w:tc>
          <w:tcPr>
            <w:tcW w:w="72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90A26" w:rsidRDefault="00F90A26" w:rsidP="00F90A26">
            <w:pP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SGTR</w:t>
            </w:r>
          </w:p>
        </w:tc>
        <w:tc>
          <w:tcPr>
            <w:tcW w:w="72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90A26" w:rsidRDefault="00F90A26" w:rsidP="00F90A26">
            <w:pP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ECF-T1</w:t>
            </w:r>
          </w:p>
        </w:tc>
        <w:tc>
          <w:tcPr>
            <w:tcW w:w="90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90A26" w:rsidRDefault="00F90A26" w:rsidP="00F90A26">
            <w:pP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ECF-T2</w:t>
            </w:r>
          </w:p>
        </w:tc>
        <w:tc>
          <w:tcPr>
            <w:tcW w:w="72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90A26" w:rsidRDefault="00F90A26" w:rsidP="00F90A26">
            <w:pP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ECF-T3</w:t>
            </w:r>
          </w:p>
        </w:tc>
        <w:tc>
          <w:tcPr>
            <w:tcW w:w="90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90A26" w:rsidRDefault="00F90A26" w:rsidP="00F90A26">
            <w:pPr>
              <w:rPr>
                <w:rFonts w:ascii="Arial Narrow" w:hAnsi="Arial Narrow"/>
                <w:sz w:val="20"/>
                <w:szCs w:val="20"/>
                <w:lang w:val="en-US"/>
              </w:rPr>
            </w:pPr>
            <w:r>
              <w:rPr>
                <w:rFonts w:ascii="Arial Narrow" w:hAnsi="Arial Narrow"/>
                <w:sz w:val="20"/>
                <w:szCs w:val="20"/>
                <w:lang w:val="en-US"/>
              </w:rPr>
              <w:t>…</w:t>
            </w:r>
          </w:p>
        </w:tc>
        <w:tc>
          <w:tcPr>
            <w:tcW w:w="720" w:type="dxa"/>
            <w:tcBorders>
              <w:top w:val="single" w:sz="4" w:space="0" w:color="auto"/>
              <w:left w:val="single" w:sz="4" w:space="0" w:color="auto"/>
              <w:bottom w:val="single" w:sz="4" w:space="0" w:color="auto"/>
              <w:right w:val="single" w:sz="4" w:space="0" w:color="auto"/>
            </w:tcBorders>
            <w:shd w:val="pct10" w:color="auto" w:fill="auto"/>
            <w:vAlign w:val="center"/>
          </w:tcPr>
          <w:p w:rsidR="00F90A26" w:rsidRDefault="00F90A26" w:rsidP="00F90A26">
            <w:pPr>
              <w:rPr>
                <w:rFonts w:ascii="Arial Narrow" w:hAnsi="Arial Narrow"/>
                <w:sz w:val="20"/>
                <w:szCs w:val="20"/>
                <w:lang w:val="en-US"/>
              </w:rPr>
            </w:pPr>
          </w:p>
        </w:tc>
        <w:tc>
          <w:tcPr>
            <w:tcW w:w="738"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F90A26" w:rsidRDefault="00F90A26" w:rsidP="00F90A26">
            <w:pPr>
              <w:rPr>
                <w:rFonts w:ascii="Arial Narrow" w:hAnsi="Arial Narrow"/>
                <w:sz w:val="20"/>
                <w:szCs w:val="20"/>
                <w:lang w:val="en-US"/>
              </w:rPr>
            </w:pPr>
          </w:p>
        </w:tc>
        <w:tc>
          <w:tcPr>
            <w:tcW w:w="702" w:type="dxa"/>
            <w:tcBorders>
              <w:top w:val="single" w:sz="4" w:space="0" w:color="auto"/>
              <w:left w:val="single" w:sz="4" w:space="0" w:color="auto"/>
              <w:bottom w:val="single" w:sz="4" w:space="0" w:color="auto"/>
              <w:right w:val="single" w:sz="4" w:space="0" w:color="auto"/>
            </w:tcBorders>
            <w:shd w:val="pct10" w:color="auto" w:fill="auto"/>
            <w:vAlign w:val="center"/>
          </w:tcPr>
          <w:p w:rsidR="00F90A26" w:rsidRDefault="00F90A26" w:rsidP="00F90A26">
            <w:pPr>
              <w:rPr>
                <w:rFonts w:ascii="Arial Narrow" w:hAnsi="Arial Narrow"/>
                <w:sz w:val="20"/>
                <w:szCs w:val="20"/>
                <w:lang w:val="en-US"/>
              </w:rPr>
            </w:pPr>
          </w:p>
        </w:tc>
        <w:tc>
          <w:tcPr>
            <w:tcW w:w="900" w:type="dxa"/>
            <w:tcBorders>
              <w:top w:val="single" w:sz="4" w:space="0" w:color="auto"/>
              <w:left w:val="single" w:sz="4" w:space="0" w:color="auto"/>
              <w:bottom w:val="single" w:sz="4" w:space="0" w:color="auto"/>
              <w:right w:val="single" w:sz="4" w:space="0" w:color="auto"/>
            </w:tcBorders>
            <w:shd w:val="pct10" w:color="auto" w:fill="auto"/>
            <w:vAlign w:val="center"/>
          </w:tcPr>
          <w:p w:rsidR="00F90A26" w:rsidRDefault="00F90A26" w:rsidP="00F90A26">
            <w:pPr>
              <w:rPr>
                <w:rFonts w:ascii="Arial Narrow" w:hAnsi="Arial Narrow"/>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F90A26" w:rsidRDefault="00F90A26" w:rsidP="00F90A26">
            <w:pP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NoCF</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rPr>
                <w:rFonts w:ascii="Arial Narrow" w:hAnsi="Arial Narrow"/>
                <w:sz w:val="20"/>
                <w:szCs w:val="20"/>
                <w:lang w:val="de-DE"/>
              </w:rPr>
            </w:pPr>
            <w:r>
              <w:rPr>
                <w:rFonts w:ascii="Arial Narrow" w:hAnsi="Arial Narrow"/>
                <w:sz w:val="20"/>
                <w:szCs w:val="20"/>
                <w:lang w:val="de-DE"/>
              </w:rPr>
              <w:t>Sum(f1:fn)</w:t>
            </w:r>
          </w:p>
          <w:p w:rsidR="00F90A26" w:rsidRDefault="00F90A26" w:rsidP="00F90A26">
            <w:pPr>
              <w:rPr>
                <w:rFonts w:ascii="Arial Narrow" w:hAnsi="Arial Narrow"/>
                <w:sz w:val="20"/>
                <w:szCs w:val="20"/>
                <w:lang w:val="de-DE"/>
              </w:rPr>
            </w:pPr>
            <w:r>
              <w:rPr>
                <w:rFonts w:ascii="Arial Narrow" w:hAnsi="Arial Narrow"/>
                <w:sz w:val="20"/>
                <w:szCs w:val="20"/>
                <w:lang w:val="de-DE"/>
              </w:rPr>
              <w:t>=sum(C</w:t>
            </w:r>
            <w:r>
              <w:rPr>
                <w:rFonts w:ascii="Arial Narrow" w:hAnsi="Arial Narrow"/>
                <w:sz w:val="20"/>
                <w:szCs w:val="20"/>
                <w:vertAlign w:val="subscript"/>
                <w:lang w:val="de-DE"/>
              </w:rPr>
              <w:t>2</w:t>
            </w:r>
            <w:r>
              <w:rPr>
                <w:rFonts w:ascii="Arial Narrow" w:hAnsi="Arial Narrow"/>
                <w:sz w:val="20"/>
                <w:szCs w:val="20"/>
                <w:lang w:val="de-DE"/>
              </w:rPr>
              <w:t>:C</w:t>
            </w:r>
            <w:r>
              <w:rPr>
                <w:rFonts w:ascii="Arial Narrow" w:hAnsi="Arial Narrow"/>
                <w:sz w:val="20"/>
                <w:szCs w:val="20"/>
                <w:vertAlign w:val="subscript"/>
                <w:lang w:val="de-DE"/>
              </w:rPr>
              <w:t>m+1</w:t>
            </w:r>
            <w:r>
              <w:rPr>
                <w:rFonts w:ascii="Arial Narrow" w:hAnsi="Arial Narrow"/>
                <w:sz w:val="20"/>
                <w:szCs w:val="20"/>
                <w:lang w:val="de-DE"/>
              </w:rPr>
              <w:t>)</w:t>
            </w:r>
          </w:p>
          <w:p w:rsidR="00F90A26" w:rsidRDefault="00F90A26" w:rsidP="00F90A26">
            <w:pPr>
              <w:rPr>
                <w:rFonts w:ascii="Arial Narrow" w:hAnsi="Arial Narrow"/>
                <w:b/>
                <w:szCs w:val="18"/>
                <w:lang w:val="en-US"/>
              </w:rPr>
            </w:pPr>
            <w:r>
              <w:rPr>
                <w:rFonts w:ascii="Arial Narrow" w:hAnsi="Arial Narrow"/>
                <w:b/>
                <w:sz w:val="20"/>
                <w:szCs w:val="20"/>
                <w:lang w:val="en-US"/>
              </w:rPr>
              <w:t>=FDF</w:t>
            </w:r>
          </w:p>
        </w:tc>
      </w:tr>
      <w:tr w:rsidR="00F90A26" w:rsidTr="00F90A26">
        <w:tc>
          <w:tcPr>
            <w:tcW w:w="1260" w:type="dxa"/>
            <w:tcBorders>
              <w:top w:val="single" w:sz="4" w:space="0" w:color="auto"/>
              <w:left w:val="single" w:sz="4" w:space="0" w:color="auto"/>
              <w:bottom w:val="single" w:sz="4" w:space="0" w:color="auto"/>
              <w:right w:val="single" w:sz="4" w:space="0" w:color="auto"/>
            </w:tcBorders>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Release Class</w:t>
            </w:r>
          </w:p>
        </w:tc>
        <w:tc>
          <w:tcPr>
            <w:tcW w:w="720" w:type="dxa"/>
            <w:tcBorders>
              <w:top w:val="single" w:sz="4" w:space="0" w:color="auto"/>
              <w:left w:val="single" w:sz="4" w:space="0" w:color="auto"/>
              <w:bottom w:val="single" w:sz="4" w:space="0" w:color="auto"/>
              <w:right w:val="single" w:sz="4" w:space="0" w:color="auto"/>
            </w:tcBorders>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RC1</w:t>
            </w:r>
          </w:p>
        </w:tc>
        <w:tc>
          <w:tcPr>
            <w:tcW w:w="720" w:type="dxa"/>
            <w:tcBorders>
              <w:top w:val="single" w:sz="4" w:space="0" w:color="auto"/>
              <w:left w:val="single" w:sz="4" w:space="0" w:color="auto"/>
              <w:bottom w:val="single" w:sz="4" w:space="0" w:color="auto"/>
              <w:right w:val="single" w:sz="4" w:space="0" w:color="auto"/>
            </w:tcBorders>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RC2</w:t>
            </w:r>
          </w:p>
        </w:tc>
        <w:tc>
          <w:tcPr>
            <w:tcW w:w="900" w:type="dxa"/>
            <w:tcBorders>
              <w:top w:val="single" w:sz="4" w:space="0" w:color="auto"/>
              <w:left w:val="single" w:sz="4" w:space="0" w:color="auto"/>
              <w:bottom w:val="single" w:sz="4" w:space="0" w:color="auto"/>
              <w:right w:val="single" w:sz="4" w:space="0" w:color="auto"/>
            </w:tcBorders>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RC3</w:t>
            </w: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b/>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b/>
                <w:sz w:val="20"/>
                <w:szCs w:val="20"/>
                <w:lang w:val="en-US"/>
              </w:rPr>
            </w:pPr>
          </w:p>
        </w:tc>
        <w:tc>
          <w:tcPr>
            <w:tcW w:w="738" w:type="dxa"/>
            <w:gridSpan w:val="2"/>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b/>
                <w:sz w:val="20"/>
                <w:szCs w:val="20"/>
                <w:lang w:val="en-US"/>
              </w:rPr>
            </w:pPr>
          </w:p>
        </w:tc>
        <w:tc>
          <w:tcPr>
            <w:tcW w:w="702"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b/>
                <w:sz w:val="20"/>
                <w:szCs w:val="20"/>
                <w:lang w:val="en-US"/>
              </w:rPr>
            </w:pPr>
          </w:p>
        </w:tc>
        <w:tc>
          <w:tcPr>
            <w:tcW w:w="90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b/>
                <w:sz w:val="20"/>
                <w:szCs w:val="20"/>
                <w:lang w:val="en-US"/>
              </w:rPr>
            </w:pPr>
          </w:p>
        </w:tc>
        <w:tc>
          <w:tcPr>
            <w:tcW w:w="720" w:type="dxa"/>
            <w:tcBorders>
              <w:top w:val="single" w:sz="4" w:space="0" w:color="auto"/>
              <w:left w:val="single" w:sz="4" w:space="0" w:color="auto"/>
              <w:bottom w:val="single" w:sz="4" w:space="0" w:color="auto"/>
              <w:right w:val="single" w:sz="4" w:space="0" w:color="auto"/>
            </w:tcBorders>
            <w:hideMark/>
          </w:tcPr>
          <w:p w:rsidR="00F90A26" w:rsidRDefault="00F90A26" w:rsidP="00F90A26">
            <w:pPr>
              <w:rPr>
                <w:rFonts w:ascii="Arial Narrow" w:hAnsi="Arial Narrow"/>
                <w:b/>
                <w:sz w:val="20"/>
                <w:szCs w:val="20"/>
                <w:lang w:val="en-US"/>
              </w:rPr>
            </w:pPr>
            <w:r>
              <w:rPr>
                <w:rFonts w:ascii="Arial Narrow" w:hAnsi="Arial Narrow"/>
                <w:b/>
                <w:sz w:val="20"/>
                <w:szCs w:val="20"/>
                <w:lang w:val="en-US"/>
              </w:rPr>
              <w:t>RCm</w:t>
            </w:r>
          </w:p>
        </w:tc>
        <w:tc>
          <w:tcPr>
            <w:tcW w:w="1260" w:type="dxa"/>
            <w:tcBorders>
              <w:top w:val="single" w:sz="4" w:space="0" w:color="auto"/>
              <w:left w:val="single" w:sz="4" w:space="0" w:color="auto"/>
              <w:bottom w:val="single" w:sz="4" w:space="0" w:color="auto"/>
              <w:right w:val="single" w:sz="4" w:space="0" w:color="auto"/>
            </w:tcBorders>
          </w:tcPr>
          <w:p w:rsidR="00F90A26" w:rsidRDefault="00F90A26" w:rsidP="00F90A26">
            <w:pPr>
              <w:rPr>
                <w:rFonts w:ascii="Arial Narrow" w:hAnsi="Arial Narrow"/>
                <w:b/>
                <w:sz w:val="20"/>
                <w:szCs w:val="20"/>
                <w:lang w:val="en-US"/>
              </w:rPr>
            </w:pPr>
          </w:p>
        </w:tc>
      </w:tr>
    </w:tbl>
    <w:p w:rsidR="00F90A26" w:rsidRDefault="00F90A26" w:rsidP="00F90A26">
      <w:pPr>
        <w:rPr>
          <w:sz w:val="28"/>
          <w:szCs w:val="28"/>
          <w:lang w:val="en-US"/>
        </w:rPr>
      </w:pPr>
    </w:p>
    <w:p w:rsidR="00F90A26" w:rsidRDefault="0007655D" w:rsidP="00F90A26">
      <w:pPr>
        <w:rPr>
          <w:lang w:val="en-US"/>
        </w:rPr>
      </w:pPr>
      <w:r>
        <w:rPr>
          <w:lang w:val="en-US"/>
        </w:rPr>
        <w:t>The risk is assessed as follows:</w:t>
      </w:r>
    </w:p>
    <w:p w:rsidR="00F90A26" w:rsidRDefault="00F90A26" w:rsidP="00F90A26">
      <w:pPr>
        <w:rPr>
          <w:lang w:val="en-US"/>
        </w:rPr>
      </w:pPr>
      <w:r>
        <w:rPr>
          <w:lang w:val="en-US"/>
        </w:rPr>
        <w:t xml:space="preserve">R = f × c, where </w:t>
      </w:r>
    </w:p>
    <w:p w:rsidR="00F90A26" w:rsidRDefault="00F90A26" w:rsidP="00F90A26">
      <w:pPr>
        <w:rPr>
          <w:lang w:val="en-US"/>
        </w:rPr>
      </w:pPr>
    </w:p>
    <w:p w:rsidR="00F90A26" w:rsidRDefault="00F90A26" w:rsidP="00F90A26">
      <w:pPr>
        <w:rPr>
          <w:lang w:val="en-US"/>
        </w:rPr>
      </w:pPr>
      <w:r>
        <w:rPr>
          <w:lang w:val="en-US"/>
        </w:rPr>
        <w:t xml:space="preserve">R is Risk, </w:t>
      </w:r>
    </w:p>
    <w:p w:rsidR="00F90A26" w:rsidRDefault="00F90A26" w:rsidP="00F90A26">
      <w:pPr>
        <w:rPr>
          <w:lang w:val="en-US"/>
        </w:rPr>
      </w:pPr>
      <w:r>
        <w:rPr>
          <w:lang w:val="en-US"/>
        </w:rPr>
        <w:t>f is frequency,</w:t>
      </w:r>
    </w:p>
    <w:p w:rsidR="00F90A26" w:rsidRDefault="00F90A26" w:rsidP="00F90A26">
      <w:pPr>
        <w:rPr>
          <w:lang w:val="en-US"/>
        </w:rPr>
      </w:pPr>
      <w:r>
        <w:rPr>
          <w:lang w:val="en-US"/>
        </w:rPr>
        <w:t>c are consequences.</w:t>
      </w:r>
    </w:p>
    <w:p w:rsidR="00F90A26" w:rsidRDefault="00F90A26" w:rsidP="00F90A26">
      <w:pPr>
        <w:rPr>
          <w:lang w:val="en-US"/>
        </w:rPr>
      </w:pPr>
    </w:p>
    <w:p w:rsidR="00F90A26" w:rsidRDefault="00F90A26" w:rsidP="00F90A26">
      <w:pPr>
        <w:rPr>
          <w:lang w:val="en-US"/>
        </w:rPr>
      </w:pPr>
      <w:r>
        <w:rPr>
          <w:lang w:val="en-US"/>
        </w:rPr>
        <w:lastRenderedPageBreak/>
        <w:t xml:space="preserve">After a containment matrix is obtained (see </w:t>
      </w:r>
      <w:r w:rsidR="009E768B">
        <w:rPr>
          <w:lang w:val="en-US"/>
        </w:rPr>
        <w:fldChar w:fldCharType="begin"/>
      </w:r>
      <w:r w:rsidR="00890010">
        <w:rPr>
          <w:lang w:val="en-US"/>
        </w:rPr>
        <w:instrText xml:space="preserve"> REF _Ref339634589 \h </w:instrText>
      </w:r>
      <w:r w:rsidR="009E768B">
        <w:rPr>
          <w:lang w:val="en-US"/>
        </w:rPr>
      </w:r>
      <w:r w:rsidR="009E768B">
        <w:rPr>
          <w:lang w:val="en-US"/>
        </w:rPr>
        <w:fldChar w:fldCharType="separate"/>
      </w:r>
      <w:r w:rsidR="00B772CA">
        <w:t xml:space="preserve">Table </w:t>
      </w:r>
      <w:r w:rsidR="00B772CA">
        <w:rPr>
          <w:noProof/>
        </w:rPr>
        <w:t>8</w:t>
      </w:r>
      <w:r w:rsidR="009E768B">
        <w:rPr>
          <w:lang w:val="en-US"/>
        </w:rPr>
        <w:fldChar w:fldCharType="end"/>
      </w:r>
      <w:r>
        <w:rPr>
          <w:lang w:val="en-US"/>
        </w:rPr>
        <w:t xml:space="preserve">), within the L2 PSA analysis, the environmental release quantities (source terms) associated with each release categories (containment failure modes) are estimated. In this part, all radionuclides are grouped on the basis of similarities in the thermodynamic and chemical properties of the various radionuclides. Source terms are expressed in fractions of core inventories assessed for each radionuclide group based on the supposed status of the core at the time of accident. As an example of radionuclide groups used in L2 PSA the following set of groups can be given: </w:t>
      </w:r>
    </w:p>
    <w:p w:rsidR="00F90A26" w:rsidRDefault="00F90A26" w:rsidP="00F90A26">
      <w:pPr>
        <w:rPr>
          <w:lang w:val="en-US"/>
        </w:rPr>
      </w:pPr>
    </w:p>
    <w:p w:rsidR="00F90A26" w:rsidRDefault="00F90A26" w:rsidP="00F90A26">
      <w:pPr>
        <w:rPr>
          <w:lang w:val="en-US"/>
        </w:rPr>
      </w:pPr>
      <w:r>
        <w:rPr>
          <w:lang w:val="en-US"/>
        </w:rPr>
        <w:t xml:space="preserve">- noble gases represented by Xe, </w:t>
      </w:r>
    </w:p>
    <w:p w:rsidR="00F90A26" w:rsidRDefault="00F90A26" w:rsidP="00F90A26">
      <w:pPr>
        <w:rPr>
          <w:lang w:val="en-US"/>
        </w:rPr>
      </w:pPr>
      <w:r>
        <w:rPr>
          <w:lang w:val="en-US"/>
        </w:rPr>
        <w:t xml:space="preserve">- volatile halogens represented by CsI (I), </w:t>
      </w:r>
    </w:p>
    <w:p w:rsidR="00F90A26" w:rsidRDefault="00F90A26" w:rsidP="00F90A26">
      <w:pPr>
        <w:rPr>
          <w:lang w:val="en-US"/>
        </w:rPr>
      </w:pPr>
      <w:r>
        <w:rPr>
          <w:lang w:val="en-US"/>
        </w:rPr>
        <w:t xml:space="preserve">- volatile alkaline metals represented by CsOH (Cs), </w:t>
      </w:r>
    </w:p>
    <w:p w:rsidR="00F90A26" w:rsidRDefault="00F90A26" w:rsidP="00F90A26">
      <w:pPr>
        <w:rPr>
          <w:lang w:val="en-US"/>
        </w:rPr>
      </w:pPr>
      <w:r>
        <w:rPr>
          <w:lang w:val="en-US"/>
        </w:rPr>
        <w:t xml:space="preserve">- volatile chalcogens represented by Te, </w:t>
      </w:r>
    </w:p>
    <w:p w:rsidR="00F90A26" w:rsidRDefault="00F90A26" w:rsidP="00F90A26">
      <w:pPr>
        <w:rPr>
          <w:lang w:val="en-US"/>
        </w:rPr>
      </w:pPr>
      <w:r>
        <w:rPr>
          <w:lang w:val="en-US"/>
        </w:rPr>
        <w:t xml:space="preserve">- semi-volatile alkaline metals represented by Sr-Ba, </w:t>
      </w:r>
    </w:p>
    <w:p w:rsidR="00F90A26" w:rsidRDefault="00F90A26" w:rsidP="00F90A26">
      <w:pPr>
        <w:rPr>
          <w:lang w:val="en-US"/>
        </w:rPr>
      </w:pPr>
      <w:r>
        <w:rPr>
          <w:lang w:val="en-US"/>
        </w:rPr>
        <w:t xml:space="preserve">- refractory early transition elements represented by Mo and </w:t>
      </w:r>
    </w:p>
    <w:p w:rsidR="00F90A26" w:rsidRDefault="00F90A26" w:rsidP="00F90A26">
      <w:pPr>
        <w:rPr>
          <w:lang w:val="en-US"/>
        </w:rPr>
      </w:pPr>
      <w:r>
        <w:rPr>
          <w:lang w:val="en-US"/>
        </w:rPr>
        <w:t>- refractory platinoids, tetravalents and trivalents represented by Ru-La-Ce.</w:t>
      </w:r>
    </w:p>
    <w:p w:rsidR="00F90A26" w:rsidRDefault="00F90A26" w:rsidP="00F90A26">
      <w:pPr>
        <w:rPr>
          <w:lang w:val="en-US"/>
        </w:rPr>
      </w:pPr>
    </w:p>
    <w:p w:rsidR="00F90A26" w:rsidRDefault="00F90A26" w:rsidP="00F90A26">
      <w:pPr>
        <w:rPr>
          <w:lang w:val="en-US"/>
        </w:rPr>
      </w:pPr>
      <w:r>
        <w:rPr>
          <w:lang w:val="en-US"/>
        </w:rPr>
        <w:t>Release categories characterize major classes of accident sequences in terms of the nature, timing, and magnitude of the release of radioactive material from the plant during a severe core damage accident</w:t>
      </w:r>
      <w:r w:rsidR="00C820CB">
        <w:rPr>
          <w:lang w:val="en-US"/>
        </w:rPr>
        <w:t xml:space="preserve"> (See also Section </w:t>
      </w:r>
      <w:r w:rsidR="009E768B">
        <w:rPr>
          <w:lang w:val="en-US"/>
        </w:rPr>
        <w:fldChar w:fldCharType="begin"/>
      </w:r>
      <w:r w:rsidR="00C820CB">
        <w:rPr>
          <w:lang w:val="en-US"/>
        </w:rPr>
        <w:instrText xml:space="preserve"> REF _Ref323470913 \r \h </w:instrText>
      </w:r>
      <w:r w:rsidR="009E768B">
        <w:rPr>
          <w:lang w:val="en-US"/>
        </w:rPr>
      </w:r>
      <w:r w:rsidR="009E768B">
        <w:rPr>
          <w:lang w:val="en-US"/>
        </w:rPr>
        <w:fldChar w:fldCharType="separate"/>
      </w:r>
      <w:r w:rsidR="00B772CA">
        <w:rPr>
          <w:lang w:val="en-US"/>
        </w:rPr>
        <w:t>3.4</w:t>
      </w:r>
      <w:r w:rsidR="009E768B">
        <w:rPr>
          <w:lang w:val="en-US"/>
        </w:rPr>
        <w:fldChar w:fldCharType="end"/>
      </w:r>
      <w:r w:rsidR="00C820CB">
        <w:rPr>
          <w:lang w:val="en-US"/>
        </w:rPr>
        <w:t>)</w:t>
      </w:r>
      <w:r>
        <w:rPr>
          <w:lang w:val="en-US"/>
        </w:rPr>
        <w:t>. The factors addressed in the definition of the release categories include the response of the containment structure, timing, and mode of containment failure; timing, magnitude, and mix of any releases of radioactive material; thermal energy of release; and key factors affecting deposition and filtration of radionuclides. Release categories can be considered the end states of the Level 2 portion of a PSA.</w:t>
      </w:r>
    </w:p>
    <w:p w:rsidR="00F90A26" w:rsidRDefault="00F90A26" w:rsidP="00F90A26">
      <w:pPr>
        <w:rPr>
          <w:lang w:val="en-US"/>
        </w:rPr>
      </w:pPr>
    </w:p>
    <w:p w:rsidR="00F90A26" w:rsidRDefault="00F90A26" w:rsidP="00F90A26">
      <w:pPr>
        <w:rPr>
          <w:lang w:val="en-US"/>
        </w:rPr>
      </w:pPr>
      <w:r>
        <w:rPr>
          <w:lang w:val="en-US"/>
        </w:rPr>
        <w:t xml:space="preserve">The calculations of activity of release in Bq are performed for each radionuclide group, and each of the source terms together with frequency of release corresponding to frequency of release categories/plant damage states. Typical results referring to Release Classes, radionuclide groups and frequencies are shown below in </w:t>
      </w:r>
      <w:r w:rsidR="009E768B">
        <w:rPr>
          <w:lang w:val="en-US"/>
        </w:rPr>
        <w:fldChar w:fldCharType="begin"/>
      </w:r>
      <w:r w:rsidR="00C820CB">
        <w:rPr>
          <w:lang w:val="en-US"/>
        </w:rPr>
        <w:instrText xml:space="preserve"> REF _Ref339635064 \h </w:instrText>
      </w:r>
      <w:r w:rsidR="009E768B">
        <w:rPr>
          <w:lang w:val="en-US"/>
        </w:rPr>
      </w:r>
      <w:r w:rsidR="009E768B">
        <w:rPr>
          <w:lang w:val="en-US"/>
        </w:rPr>
        <w:fldChar w:fldCharType="separate"/>
      </w:r>
      <w:r w:rsidR="00B772CA">
        <w:t xml:space="preserve">Table </w:t>
      </w:r>
      <w:r w:rsidR="00B772CA">
        <w:rPr>
          <w:noProof/>
        </w:rPr>
        <w:t>9</w:t>
      </w:r>
      <w:r w:rsidR="009E768B">
        <w:rPr>
          <w:lang w:val="en-US"/>
        </w:rPr>
        <w:fldChar w:fldCharType="end"/>
      </w:r>
      <w:r w:rsidR="00C820CB">
        <w:rPr>
          <w:lang w:val="en-US"/>
        </w:rPr>
        <w:t xml:space="preserve"> (See also Section </w:t>
      </w:r>
      <w:r w:rsidR="009E768B">
        <w:rPr>
          <w:lang w:val="en-US"/>
        </w:rPr>
        <w:fldChar w:fldCharType="begin"/>
      </w:r>
      <w:r w:rsidR="00C820CB">
        <w:rPr>
          <w:lang w:val="en-US"/>
        </w:rPr>
        <w:instrText xml:space="preserve"> REF _Ref323470913 \r \h </w:instrText>
      </w:r>
      <w:r w:rsidR="009E768B">
        <w:rPr>
          <w:lang w:val="en-US"/>
        </w:rPr>
      </w:r>
      <w:r w:rsidR="009E768B">
        <w:rPr>
          <w:lang w:val="en-US"/>
        </w:rPr>
        <w:fldChar w:fldCharType="separate"/>
      </w:r>
      <w:r w:rsidR="00B772CA">
        <w:rPr>
          <w:lang w:val="en-US"/>
        </w:rPr>
        <w:t>3.4</w:t>
      </w:r>
      <w:r w:rsidR="009E768B">
        <w:rPr>
          <w:lang w:val="en-US"/>
        </w:rPr>
        <w:fldChar w:fldCharType="end"/>
      </w:r>
      <w:r w:rsidR="00C820CB">
        <w:rPr>
          <w:lang w:val="en-US"/>
        </w:rPr>
        <w:t>)</w:t>
      </w:r>
      <w:r>
        <w:rPr>
          <w:lang w:val="en-US"/>
        </w:rPr>
        <w:t>.</w:t>
      </w:r>
    </w:p>
    <w:p w:rsidR="00F90A26" w:rsidRDefault="00F90A26" w:rsidP="00F90A26">
      <w:pPr>
        <w:rPr>
          <w:lang w:val="en-US"/>
        </w:rPr>
      </w:pPr>
    </w:p>
    <w:p w:rsidR="00937C98" w:rsidRDefault="00937C98" w:rsidP="00505B2A">
      <w:pPr>
        <w:pStyle w:val="Lgende"/>
      </w:pPr>
      <w:bookmarkStart w:id="379" w:name="_Ref339635064"/>
      <w:bookmarkStart w:id="380" w:name="_Toc474428905"/>
      <w:r>
        <w:t xml:space="preserve">Table </w:t>
      </w:r>
      <w:r w:rsidR="009E768B">
        <w:fldChar w:fldCharType="begin"/>
      </w:r>
      <w:r>
        <w:instrText xml:space="preserve"> SEQ Table \* ARABIC </w:instrText>
      </w:r>
      <w:r w:rsidR="009E768B">
        <w:fldChar w:fldCharType="separate"/>
      </w:r>
      <w:r w:rsidR="00B772CA">
        <w:rPr>
          <w:noProof/>
        </w:rPr>
        <w:t>9</w:t>
      </w:r>
      <w:r w:rsidR="009E768B">
        <w:fldChar w:fldCharType="end"/>
      </w:r>
      <w:bookmarkEnd w:id="379"/>
      <w:r>
        <w:t xml:space="preserve">: </w:t>
      </w:r>
      <w:r w:rsidRPr="00DD341D">
        <w:rPr>
          <w:lang w:val="en-US"/>
        </w:rPr>
        <w:t>Example of table of source terms for particular release classes</w:t>
      </w:r>
      <w:bookmarkEnd w:id="380"/>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765"/>
        <w:gridCol w:w="708"/>
        <w:gridCol w:w="723"/>
        <w:gridCol w:w="706"/>
        <w:gridCol w:w="707"/>
        <w:gridCol w:w="696"/>
        <w:gridCol w:w="693"/>
        <w:gridCol w:w="693"/>
        <w:gridCol w:w="693"/>
        <w:gridCol w:w="693"/>
        <w:gridCol w:w="1571"/>
      </w:tblGrid>
      <w:tr w:rsidR="00F90A26" w:rsidTr="00F90A26">
        <w:tc>
          <w:tcPr>
            <w:tcW w:w="1000" w:type="dxa"/>
            <w:vMerge w:val="restart"/>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Release Classes</w:t>
            </w:r>
          </w:p>
        </w:tc>
        <w:tc>
          <w:tcPr>
            <w:tcW w:w="7077" w:type="dxa"/>
            <w:gridSpan w:val="10"/>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Radionuclide groups</w:t>
            </w:r>
          </w:p>
        </w:tc>
        <w:tc>
          <w:tcPr>
            <w:tcW w:w="1571" w:type="dxa"/>
            <w:vMerge w:val="restart"/>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RC Frequency</w:t>
            </w:r>
          </w:p>
        </w:tc>
      </w:tr>
      <w:tr w:rsidR="00F90A26" w:rsidTr="00F90A26">
        <w:tc>
          <w:tcPr>
            <w:tcW w:w="0" w:type="auto"/>
            <w:vMerge/>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p>
        </w:tc>
        <w:tc>
          <w:tcPr>
            <w:tcW w:w="765"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Xe</w:t>
            </w:r>
          </w:p>
        </w:tc>
        <w:tc>
          <w:tcPr>
            <w:tcW w:w="708"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CsI</w:t>
            </w:r>
          </w:p>
        </w:tc>
        <w:tc>
          <w:tcPr>
            <w:tcW w:w="723"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CsOH</w:t>
            </w:r>
          </w:p>
        </w:tc>
        <w:tc>
          <w:tcPr>
            <w:tcW w:w="706"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Te</w:t>
            </w:r>
          </w:p>
        </w:tc>
        <w:tc>
          <w:tcPr>
            <w:tcW w:w="707"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Sr-Ba</w:t>
            </w:r>
          </w:p>
        </w:tc>
        <w:tc>
          <w:tcPr>
            <w:tcW w:w="696"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w:t>
            </w:r>
          </w:p>
        </w:tc>
        <w:tc>
          <w:tcPr>
            <w:tcW w:w="693"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jc w:val="center"/>
              <w:rPr>
                <w:rFonts w:ascii="Arial Narrow" w:hAnsi="Arial Narrow"/>
                <w:b/>
                <w:sz w:val="20"/>
                <w:szCs w:val="20"/>
                <w:lang w:val="en-US"/>
              </w:rPr>
            </w:pPr>
          </w:p>
        </w:tc>
        <w:tc>
          <w:tcPr>
            <w:tcW w:w="693"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jc w:val="center"/>
              <w:rPr>
                <w:rFonts w:ascii="Arial Narrow" w:hAnsi="Arial Narrow"/>
                <w:b/>
                <w:sz w:val="20"/>
                <w:szCs w:val="20"/>
                <w:lang w:val="en-US"/>
              </w:rPr>
            </w:pPr>
          </w:p>
        </w:tc>
        <w:tc>
          <w:tcPr>
            <w:tcW w:w="693"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jc w:val="center"/>
              <w:rPr>
                <w:rFonts w:ascii="Arial Narrow" w:hAnsi="Arial Narrow"/>
                <w:b/>
                <w:sz w:val="20"/>
                <w:szCs w:val="20"/>
                <w:lang w:val="en-US"/>
              </w:rPr>
            </w:pPr>
          </w:p>
        </w:tc>
        <w:tc>
          <w:tcPr>
            <w:tcW w:w="693"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jc w:val="center"/>
              <w:rPr>
                <w:rFonts w:ascii="Arial Narrow" w:hAnsi="Arial Narrow"/>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p>
        </w:tc>
      </w:tr>
      <w:tr w:rsidR="00F90A26" w:rsidTr="00F90A26">
        <w:tc>
          <w:tcPr>
            <w:tcW w:w="0" w:type="auto"/>
            <w:vMerge/>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p>
        </w:tc>
        <w:tc>
          <w:tcPr>
            <w:tcW w:w="7077" w:type="dxa"/>
            <w:gridSpan w:val="10"/>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Source terms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rPr>
                <w:rFonts w:ascii="Arial Narrow" w:hAnsi="Arial Narrow"/>
                <w:b/>
                <w:sz w:val="20"/>
                <w:szCs w:val="20"/>
                <w:lang w:val="en-US"/>
              </w:rPr>
            </w:pPr>
          </w:p>
        </w:tc>
      </w:tr>
      <w:tr w:rsidR="00F90A26" w:rsidTr="00F90A26">
        <w:tc>
          <w:tcPr>
            <w:tcW w:w="10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RC1</w:t>
            </w:r>
          </w:p>
        </w:tc>
        <w:tc>
          <w:tcPr>
            <w:tcW w:w="7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RC1-Xe</w:t>
            </w:r>
          </w:p>
        </w:tc>
        <w:tc>
          <w:tcPr>
            <w:tcW w:w="7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RC1-I</w:t>
            </w: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RC1-Cs</w:t>
            </w:r>
          </w:p>
        </w:tc>
        <w:tc>
          <w:tcPr>
            <w:tcW w:w="70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RC1-Te</w:t>
            </w:r>
          </w:p>
        </w:tc>
        <w:tc>
          <w:tcPr>
            <w:tcW w:w="7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RC1-Sr</w:t>
            </w:r>
          </w:p>
        </w:tc>
        <w:tc>
          <w:tcPr>
            <w:tcW w:w="6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1571" w:type="dxa"/>
            <w:tcBorders>
              <w:top w:val="single" w:sz="4" w:space="0" w:color="auto"/>
              <w:left w:val="single" w:sz="4" w:space="0" w:color="auto"/>
              <w:bottom w:val="single" w:sz="4" w:space="0" w:color="auto"/>
              <w:right w:val="single" w:sz="4" w:space="0" w:color="auto"/>
            </w:tcBorders>
            <w:shd w:val="pct10" w:color="auto" w:fill="auto"/>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 xml:space="preserve">RC1 </w:t>
            </w:r>
            <w:r>
              <w:rPr>
                <w:rFonts w:ascii="Arial Narrow" w:hAnsi="Arial Narrow"/>
                <w:sz w:val="20"/>
                <w:szCs w:val="20"/>
                <w:lang w:val="en-US"/>
              </w:rPr>
              <w:t>(f</w:t>
            </w:r>
            <w:r>
              <w:rPr>
                <w:rFonts w:ascii="Arial Narrow" w:hAnsi="Arial Narrow"/>
                <w:sz w:val="20"/>
                <w:szCs w:val="20"/>
                <w:vertAlign w:val="subscript"/>
                <w:lang w:val="en-US"/>
              </w:rPr>
              <w:t>SGTR</w:t>
            </w:r>
            <w:r>
              <w:rPr>
                <w:rFonts w:ascii="Arial Narrow" w:hAnsi="Arial Narrow"/>
                <w:sz w:val="20"/>
                <w:szCs w:val="20"/>
                <w:lang w:val="en-US"/>
              </w:rPr>
              <w:t>)</w:t>
            </w:r>
          </w:p>
        </w:tc>
      </w:tr>
      <w:tr w:rsidR="00F90A26" w:rsidTr="00F90A26">
        <w:tc>
          <w:tcPr>
            <w:tcW w:w="10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RC2</w:t>
            </w:r>
          </w:p>
        </w:tc>
        <w:tc>
          <w:tcPr>
            <w:tcW w:w="7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RC2-Xe</w:t>
            </w:r>
          </w:p>
        </w:tc>
        <w:tc>
          <w:tcPr>
            <w:tcW w:w="7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RC2-I</w:t>
            </w: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RC2-Cs</w:t>
            </w:r>
          </w:p>
        </w:tc>
        <w:tc>
          <w:tcPr>
            <w:tcW w:w="70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7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1571" w:type="dxa"/>
            <w:tcBorders>
              <w:top w:val="single" w:sz="4" w:space="0" w:color="auto"/>
              <w:left w:val="single" w:sz="4" w:space="0" w:color="auto"/>
              <w:bottom w:val="single" w:sz="4" w:space="0" w:color="auto"/>
              <w:right w:val="single" w:sz="4" w:space="0" w:color="auto"/>
            </w:tcBorders>
            <w:shd w:val="pct10" w:color="auto" w:fill="auto"/>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 xml:space="preserve">RC2 </w:t>
            </w:r>
            <w:r>
              <w:rPr>
                <w:rFonts w:ascii="Arial Narrow" w:hAnsi="Arial Narrow"/>
                <w:sz w:val="20"/>
                <w:szCs w:val="20"/>
                <w:lang w:val="en-US"/>
              </w:rPr>
              <w:t>(f</w:t>
            </w:r>
            <w:r>
              <w:rPr>
                <w:rFonts w:ascii="Arial Narrow" w:hAnsi="Arial Narrow"/>
                <w:sz w:val="20"/>
                <w:szCs w:val="20"/>
                <w:vertAlign w:val="subscript"/>
                <w:lang w:val="en-US"/>
              </w:rPr>
              <w:t>ECF-T1</w:t>
            </w:r>
            <w:r>
              <w:rPr>
                <w:rFonts w:ascii="Arial Narrow" w:hAnsi="Arial Narrow"/>
                <w:sz w:val="20"/>
                <w:szCs w:val="20"/>
                <w:lang w:val="en-US"/>
              </w:rPr>
              <w:t>)</w:t>
            </w:r>
          </w:p>
        </w:tc>
      </w:tr>
      <w:tr w:rsidR="00F90A26" w:rsidTr="00F90A26">
        <w:tc>
          <w:tcPr>
            <w:tcW w:w="10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b/>
                <w:sz w:val="20"/>
                <w:szCs w:val="20"/>
                <w:lang w:val="en-US"/>
              </w:rPr>
            </w:pPr>
          </w:p>
        </w:tc>
        <w:tc>
          <w:tcPr>
            <w:tcW w:w="7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7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70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7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1571" w:type="dxa"/>
            <w:tcBorders>
              <w:top w:val="single" w:sz="4" w:space="0" w:color="auto"/>
              <w:left w:val="single" w:sz="4" w:space="0" w:color="auto"/>
              <w:bottom w:val="single" w:sz="4" w:space="0" w:color="auto"/>
              <w:right w:val="single" w:sz="4" w:space="0" w:color="auto"/>
            </w:tcBorders>
            <w:shd w:val="pct10" w:color="auto" w:fill="auto"/>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r>
      <w:tr w:rsidR="00F90A26" w:rsidTr="00F90A26">
        <w:tc>
          <w:tcPr>
            <w:tcW w:w="10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RCm</w:t>
            </w:r>
          </w:p>
        </w:tc>
        <w:tc>
          <w:tcPr>
            <w:tcW w:w="7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RCm-Xe</w:t>
            </w:r>
          </w:p>
        </w:tc>
        <w:tc>
          <w:tcPr>
            <w:tcW w:w="7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RCm-I</w:t>
            </w:r>
          </w:p>
        </w:tc>
        <w:tc>
          <w:tcPr>
            <w:tcW w:w="7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ST</w:t>
            </w:r>
            <w:r>
              <w:rPr>
                <w:rFonts w:ascii="Arial Narrow" w:hAnsi="Arial Narrow"/>
                <w:sz w:val="20"/>
                <w:szCs w:val="20"/>
                <w:vertAlign w:val="subscript"/>
                <w:lang w:val="en-US"/>
              </w:rPr>
              <w:t>RCm-Cs</w:t>
            </w:r>
          </w:p>
        </w:tc>
        <w:tc>
          <w:tcPr>
            <w:tcW w:w="70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w:t>
            </w:r>
          </w:p>
        </w:tc>
        <w:tc>
          <w:tcPr>
            <w:tcW w:w="7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90A26" w:rsidRDefault="00F90A26" w:rsidP="00F90A26">
            <w:pPr>
              <w:jc w:val="center"/>
              <w:rPr>
                <w:rFonts w:ascii="Arial Narrow" w:hAnsi="Arial Narrow"/>
                <w:sz w:val="20"/>
                <w:szCs w:val="20"/>
                <w:lang w:val="en-US"/>
              </w:rPr>
            </w:pPr>
          </w:p>
        </w:tc>
        <w:tc>
          <w:tcPr>
            <w:tcW w:w="1571" w:type="dxa"/>
            <w:tcBorders>
              <w:top w:val="single" w:sz="4" w:space="0" w:color="auto"/>
              <w:left w:val="single" w:sz="4" w:space="0" w:color="auto"/>
              <w:bottom w:val="single" w:sz="4" w:space="0" w:color="auto"/>
              <w:right w:val="single" w:sz="4" w:space="0" w:color="auto"/>
            </w:tcBorders>
            <w:shd w:val="pct10" w:color="auto" w:fill="auto"/>
            <w:tcMar>
              <w:top w:w="0" w:type="dxa"/>
              <w:left w:w="0" w:type="dxa"/>
              <w:bottom w:w="0" w:type="dxa"/>
              <w:right w:w="0" w:type="dxa"/>
            </w:tcMar>
            <w:hideMark/>
          </w:tcPr>
          <w:p w:rsidR="00F90A26" w:rsidRDefault="00F90A26" w:rsidP="00F90A26">
            <w:pPr>
              <w:jc w:val="center"/>
              <w:rPr>
                <w:rFonts w:ascii="Arial Narrow" w:hAnsi="Arial Narrow"/>
                <w:sz w:val="20"/>
                <w:szCs w:val="20"/>
                <w:lang w:val="en-US"/>
              </w:rPr>
            </w:pPr>
            <w:r>
              <w:rPr>
                <w:rFonts w:ascii="Arial Narrow" w:hAnsi="Arial Narrow"/>
                <w:sz w:val="20"/>
                <w:szCs w:val="20"/>
                <w:lang w:val="en-US"/>
              </w:rPr>
              <w:t>f</w:t>
            </w:r>
            <w:r>
              <w:rPr>
                <w:rFonts w:ascii="Arial Narrow" w:hAnsi="Arial Narrow"/>
                <w:sz w:val="20"/>
                <w:szCs w:val="20"/>
                <w:vertAlign w:val="subscript"/>
                <w:lang w:val="en-US"/>
              </w:rPr>
              <w:t xml:space="preserve">RCm </w:t>
            </w:r>
            <w:r>
              <w:rPr>
                <w:rFonts w:ascii="Arial Narrow" w:hAnsi="Arial Narrow"/>
                <w:sz w:val="20"/>
                <w:szCs w:val="20"/>
                <w:lang w:val="en-US"/>
              </w:rPr>
              <w:t>(f</w:t>
            </w:r>
            <w:r>
              <w:rPr>
                <w:rFonts w:ascii="Arial Narrow" w:hAnsi="Arial Narrow"/>
                <w:sz w:val="20"/>
                <w:szCs w:val="20"/>
                <w:vertAlign w:val="subscript"/>
                <w:lang w:val="en-US"/>
              </w:rPr>
              <w:t>NoCF</w:t>
            </w:r>
            <w:r>
              <w:rPr>
                <w:rFonts w:ascii="Arial Narrow" w:hAnsi="Arial Narrow"/>
                <w:sz w:val="20"/>
                <w:szCs w:val="20"/>
                <w:lang w:val="en-US"/>
              </w:rPr>
              <w:t>)</w:t>
            </w:r>
          </w:p>
        </w:tc>
      </w:tr>
      <w:tr w:rsidR="00F90A26" w:rsidTr="00F90A26">
        <w:tc>
          <w:tcPr>
            <w:tcW w:w="1000"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Core inventory [Bq]</w:t>
            </w:r>
          </w:p>
        </w:tc>
        <w:tc>
          <w:tcPr>
            <w:tcW w:w="765"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CI</w:t>
            </w:r>
            <w:r>
              <w:rPr>
                <w:rFonts w:ascii="Arial Narrow" w:hAnsi="Arial Narrow"/>
                <w:b/>
                <w:sz w:val="20"/>
                <w:szCs w:val="20"/>
                <w:vertAlign w:val="subscript"/>
                <w:lang w:val="en-US"/>
              </w:rPr>
              <w:t>Xe</w:t>
            </w:r>
          </w:p>
        </w:tc>
        <w:tc>
          <w:tcPr>
            <w:tcW w:w="708"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CI</w:t>
            </w:r>
            <w:r>
              <w:rPr>
                <w:rFonts w:ascii="Arial Narrow" w:hAnsi="Arial Narrow"/>
                <w:b/>
                <w:sz w:val="20"/>
                <w:szCs w:val="20"/>
                <w:vertAlign w:val="subscript"/>
                <w:lang w:val="en-US"/>
              </w:rPr>
              <w:t>I</w:t>
            </w:r>
          </w:p>
        </w:tc>
        <w:tc>
          <w:tcPr>
            <w:tcW w:w="723"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CI</w:t>
            </w:r>
            <w:r>
              <w:rPr>
                <w:rFonts w:ascii="Arial Narrow" w:hAnsi="Arial Narrow"/>
                <w:b/>
                <w:sz w:val="20"/>
                <w:szCs w:val="20"/>
                <w:vertAlign w:val="subscript"/>
                <w:lang w:val="en-US"/>
              </w:rPr>
              <w:t>Cs</w:t>
            </w:r>
          </w:p>
        </w:tc>
        <w:tc>
          <w:tcPr>
            <w:tcW w:w="706"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CI</w:t>
            </w:r>
            <w:r>
              <w:rPr>
                <w:rFonts w:ascii="Arial Narrow" w:hAnsi="Arial Narrow"/>
                <w:b/>
                <w:sz w:val="20"/>
                <w:szCs w:val="20"/>
                <w:vertAlign w:val="subscript"/>
                <w:lang w:val="en-US"/>
              </w:rPr>
              <w:t>Te</w:t>
            </w:r>
          </w:p>
        </w:tc>
        <w:tc>
          <w:tcPr>
            <w:tcW w:w="707"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w:t>
            </w:r>
          </w:p>
        </w:tc>
        <w:tc>
          <w:tcPr>
            <w:tcW w:w="696"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jc w:val="center"/>
              <w:rPr>
                <w:rFonts w:ascii="Arial Narrow" w:hAnsi="Arial Narrow"/>
                <w:b/>
                <w:sz w:val="20"/>
                <w:szCs w:val="20"/>
                <w:lang w:val="en-US"/>
              </w:rPr>
            </w:pPr>
          </w:p>
        </w:tc>
        <w:tc>
          <w:tcPr>
            <w:tcW w:w="693"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jc w:val="center"/>
              <w:rPr>
                <w:rFonts w:ascii="Arial Narrow" w:hAnsi="Arial Narrow"/>
                <w:b/>
                <w:sz w:val="20"/>
                <w:szCs w:val="20"/>
                <w:lang w:val="en-US"/>
              </w:rPr>
            </w:pPr>
          </w:p>
        </w:tc>
        <w:tc>
          <w:tcPr>
            <w:tcW w:w="693"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jc w:val="center"/>
              <w:rPr>
                <w:rFonts w:ascii="Arial Narrow" w:hAnsi="Arial Narrow"/>
                <w:b/>
                <w:sz w:val="20"/>
                <w:szCs w:val="20"/>
                <w:lang w:val="en-US"/>
              </w:rPr>
            </w:pPr>
          </w:p>
        </w:tc>
        <w:tc>
          <w:tcPr>
            <w:tcW w:w="693"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jc w:val="center"/>
              <w:rPr>
                <w:rFonts w:ascii="Arial Narrow" w:hAnsi="Arial Narrow"/>
                <w:b/>
                <w:sz w:val="20"/>
                <w:szCs w:val="20"/>
                <w:lang w:val="en-US"/>
              </w:rPr>
            </w:pPr>
          </w:p>
        </w:tc>
        <w:tc>
          <w:tcPr>
            <w:tcW w:w="693" w:type="dxa"/>
            <w:tcBorders>
              <w:top w:val="single" w:sz="4" w:space="0" w:color="auto"/>
              <w:left w:val="single" w:sz="4" w:space="0" w:color="auto"/>
              <w:bottom w:val="single" w:sz="4" w:space="0" w:color="auto"/>
              <w:right w:val="single" w:sz="4" w:space="0" w:color="auto"/>
            </w:tcBorders>
            <w:vAlign w:val="center"/>
          </w:tcPr>
          <w:p w:rsidR="00F90A26" w:rsidRDefault="00F90A26" w:rsidP="00F90A26">
            <w:pPr>
              <w:jc w:val="center"/>
              <w:rPr>
                <w:rFonts w:ascii="Arial Narrow" w:hAnsi="Arial Narrow"/>
                <w:b/>
                <w:sz w:val="20"/>
                <w:szCs w:val="20"/>
                <w:lang w:val="en-US"/>
              </w:rPr>
            </w:pPr>
          </w:p>
        </w:tc>
        <w:tc>
          <w:tcPr>
            <w:tcW w:w="1571" w:type="dxa"/>
            <w:tcBorders>
              <w:top w:val="single" w:sz="4" w:space="0" w:color="auto"/>
              <w:left w:val="single" w:sz="4" w:space="0" w:color="auto"/>
              <w:bottom w:val="single" w:sz="4" w:space="0" w:color="auto"/>
              <w:right w:val="single" w:sz="4" w:space="0" w:color="auto"/>
            </w:tcBorders>
            <w:vAlign w:val="center"/>
            <w:hideMark/>
          </w:tcPr>
          <w:p w:rsidR="00F90A26" w:rsidRDefault="00F90A26" w:rsidP="00F90A26">
            <w:pPr>
              <w:jc w:val="center"/>
              <w:rPr>
                <w:rFonts w:ascii="Arial Narrow" w:hAnsi="Arial Narrow"/>
                <w:b/>
                <w:sz w:val="20"/>
                <w:szCs w:val="20"/>
                <w:lang w:val="en-US"/>
              </w:rPr>
            </w:pPr>
            <w:r>
              <w:rPr>
                <w:rFonts w:ascii="Arial Narrow" w:hAnsi="Arial Narrow"/>
                <w:b/>
                <w:sz w:val="20"/>
                <w:szCs w:val="20"/>
                <w:lang w:val="en-US"/>
              </w:rPr>
              <w:t>=FDF</w:t>
            </w:r>
          </w:p>
          <w:p w:rsidR="00F90A26" w:rsidRDefault="00F90A26" w:rsidP="00F90A26">
            <w:pPr>
              <w:jc w:val="center"/>
              <w:rPr>
                <w:rFonts w:ascii="Arial Narrow" w:hAnsi="Arial Narrow"/>
                <w:szCs w:val="18"/>
                <w:lang w:val="en-US"/>
              </w:rPr>
            </w:pPr>
            <w:r>
              <w:rPr>
                <w:rFonts w:ascii="Arial Narrow" w:hAnsi="Arial Narrow"/>
                <w:szCs w:val="18"/>
                <w:lang w:val="en-US"/>
              </w:rPr>
              <w:t>=sum fRC1:fRCm)</w:t>
            </w:r>
          </w:p>
        </w:tc>
      </w:tr>
    </w:tbl>
    <w:p w:rsidR="00F90A26" w:rsidRDefault="00F90A26" w:rsidP="00F90A26">
      <w:pPr>
        <w:rPr>
          <w:rFonts w:ascii="Arial" w:hAnsi="Arial"/>
          <w:sz w:val="22"/>
          <w:szCs w:val="22"/>
          <w:lang w:val="en-US"/>
        </w:rPr>
      </w:pPr>
    </w:p>
    <w:p w:rsidR="00F90A26" w:rsidRPr="00525A1E" w:rsidRDefault="00F90A26" w:rsidP="00F90A26">
      <w:pPr>
        <w:rPr>
          <w:lang w:val="en-US"/>
        </w:rPr>
      </w:pPr>
      <w:r>
        <w:rPr>
          <w:lang w:val="en-US"/>
        </w:rPr>
        <w:t xml:space="preserve">Release classes with their frequencies are extracted from the last row in </w:t>
      </w:r>
      <w:r w:rsidR="009E768B">
        <w:rPr>
          <w:lang w:val="en-US"/>
        </w:rPr>
        <w:fldChar w:fldCharType="begin"/>
      </w:r>
      <w:r w:rsidR="004163B5">
        <w:rPr>
          <w:lang w:val="en-US"/>
        </w:rPr>
        <w:instrText xml:space="preserve"> REF _Ref339635064 \h </w:instrText>
      </w:r>
      <w:r w:rsidR="009E768B">
        <w:rPr>
          <w:lang w:val="en-US"/>
        </w:rPr>
      </w:r>
      <w:r w:rsidR="009E768B">
        <w:rPr>
          <w:lang w:val="en-US"/>
        </w:rPr>
        <w:fldChar w:fldCharType="separate"/>
      </w:r>
      <w:r w:rsidR="00B772CA">
        <w:t xml:space="preserve">Table </w:t>
      </w:r>
      <w:r w:rsidR="00B772CA">
        <w:rPr>
          <w:noProof/>
        </w:rPr>
        <w:t>9</w:t>
      </w:r>
      <w:r w:rsidR="009E768B">
        <w:rPr>
          <w:lang w:val="en-US"/>
        </w:rPr>
        <w:fldChar w:fldCharType="end"/>
      </w:r>
      <w:r>
        <w:rPr>
          <w:lang w:val="en-US"/>
        </w:rPr>
        <w:t xml:space="preserve"> given above. Multiplying total core inventory in Bq of particular radionuclide groups and source terms (i.e. fraction of total core inventory) the final activities of releases for particular release classes with their frequencies and radionuclide groups are obtained. Activities of releases with frequencies corresponding to particular Release Classes are used further for derivation of </w:t>
      </w:r>
      <w:r w:rsidR="00721EAA">
        <w:rPr>
          <w:lang w:val="en-US"/>
        </w:rPr>
        <w:t>total risk</w:t>
      </w:r>
      <w:r>
        <w:rPr>
          <w:lang w:val="en-US"/>
        </w:rPr>
        <w:t xml:space="preserve">. According to the definition of risk, using the activities of releases shown in </w:t>
      </w:r>
      <w:r w:rsidR="009E768B">
        <w:rPr>
          <w:lang w:val="en-US"/>
        </w:rPr>
        <w:fldChar w:fldCharType="begin"/>
      </w:r>
      <w:r w:rsidR="004163B5">
        <w:rPr>
          <w:lang w:val="en-US"/>
        </w:rPr>
        <w:instrText xml:space="preserve"> REF _Ref339635064 \h </w:instrText>
      </w:r>
      <w:r w:rsidR="009E768B">
        <w:rPr>
          <w:lang w:val="en-US"/>
        </w:rPr>
      </w:r>
      <w:r w:rsidR="009E768B">
        <w:rPr>
          <w:lang w:val="en-US"/>
        </w:rPr>
        <w:fldChar w:fldCharType="separate"/>
      </w:r>
      <w:r w:rsidR="00B772CA">
        <w:t xml:space="preserve">Table </w:t>
      </w:r>
      <w:r w:rsidR="00B772CA">
        <w:rPr>
          <w:noProof/>
        </w:rPr>
        <w:t>9</w:t>
      </w:r>
      <w:r w:rsidR="009E768B">
        <w:rPr>
          <w:lang w:val="en-US"/>
        </w:rPr>
        <w:fldChar w:fldCharType="end"/>
      </w:r>
      <w:r>
        <w:rPr>
          <w:lang w:val="en-US"/>
        </w:rPr>
        <w:t xml:space="preserve">, total </w:t>
      </w:r>
      <w:r w:rsidRPr="00525A1E">
        <w:rPr>
          <w:lang w:val="en-US"/>
        </w:rPr>
        <w:t>risk can be expressed by the following matrix:</w:t>
      </w:r>
    </w:p>
    <w:p w:rsidR="00F90A26" w:rsidRPr="00525A1E" w:rsidRDefault="00F90A26" w:rsidP="00F90A26">
      <w:pPr>
        <w:rPr>
          <w:lang w:val="en-US"/>
        </w:rPr>
      </w:pPr>
    </w:p>
    <w:p w:rsidR="00F90A26" w:rsidRPr="00505B2A" w:rsidRDefault="00F90A26" w:rsidP="00F90A26">
      <w:pPr>
        <w:tabs>
          <w:tab w:val="left" w:pos="1680"/>
        </w:tabs>
        <w:rPr>
          <w:b/>
          <w:lang w:val="en-US"/>
        </w:rPr>
      </w:pPr>
      <w:r w:rsidRPr="00505B2A">
        <w:rPr>
          <w:b/>
          <w:lang w:val="en-US"/>
        </w:rPr>
        <w:t>Sequence/</w:t>
      </w:r>
      <w:r w:rsidRPr="00505B2A">
        <w:rPr>
          <w:b/>
          <w:lang w:val="en-US"/>
        </w:rPr>
        <w:tab/>
        <w:t>frequency</w:t>
      </w:r>
      <w:r w:rsidRPr="00505B2A">
        <w:rPr>
          <w:b/>
          <w:lang w:val="en-US"/>
        </w:rPr>
        <w:tab/>
      </w:r>
      <w:r w:rsidRPr="00505B2A">
        <w:rPr>
          <w:b/>
          <w:lang w:val="en-US"/>
        </w:rPr>
        <w:tab/>
        <w:t>conseq.</w:t>
      </w:r>
      <w:r w:rsidRPr="00505B2A">
        <w:rPr>
          <w:b/>
          <w:lang w:val="en-US"/>
        </w:rPr>
        <w:tab/>
      </w:r>
      <w:r w:rsidRPr="00505B2A">
        <w:rPr>
          <w:b/>
          <w:lang w:val="en-US"/>
        </w:rPr>
        <w:tab/>
        <w:t>Risk</w:t>
      </w:r>
    </w:p>
    <w:p w:rsidR="00F90A26" w:rsidRPr="00505B2A" w:rsidRDefault="00F90A26" w:rsidP="00F90A26">
      <w:pPr>
        <w:rPr>
          <w:b/>
          <w:lang w:val="en-US"/>
        </w:rPr>
      </w:pPr>
      <w:r w:rsidRPr="00505B2A">
        <w:rPr>
          <w:b/>
          <w:lang w:val="en-US"/>
        </w:rPr>
        <w:t>Release Class</w:t>
      </w:r>
    </w:p>
    <w:p w:rsidR="00F90A26" w:rsidRPr="00505B2A" w:rsidRDefault="00F90A26" w:rsidP="00F90A26">
      <w:pPr>
        <w:tabs>
          <w:tab w:val="left" w:pos="1920"/>
          <w:tab w:val="left" w:pos="3840"/>
        </w:tabs>
        <w:rPr>
          <w:i/>
          <w:lang w:val="en-US"/>
        </w:rPr>
      </w:pPr>
      <w:r w:rsidRPr="00505B2A">
        <w:rPr>
          <w:i/>
          <w:lang w:val="en-US"/>
        </w:rPr>
        <w:t>s</w:t>
      </w:r>
      <w:r w:rsidRPr="00505B2A">
        <w:rPr>
          <w:i/>
          <w:vertAlign w:val="subscript"/>
          <w:lang w:val="en-US"/>
        </w:rPr>
        <w:t>1</w:t>
      </w:r>
      <w:r w:rsidRPr="00505B2A">
        <w:rPr>
          <w:i/>
          <w:vertAlign w:val="subscript"/>
          <w:lang w:val="en-US"/>
        </w:rPr>
        <w:tab/>
      </w:r>
      <w:r w:rsidRPr="00505B2A">
        <w:rPr>
          <w:i/>
          <w:lang w:val="en-US"/>
        </w:rPr>
        <w:t>f</w:t>
      </w:r>
      <w:r w:rsidRPr="00505B2A">
        <w:rPr>
          <w:i/>
          <w:vertAlign w:val="subscript"/>
          <w:lang w:val="en-US"/>
        </w:rPr>
        <w:t>1</w:t>
      </w:r>
      <w:r w:rsidRPr="00505B2A">
        <w:rPr>
          <w:i/>
          <w:lang w:val="en-US"/>
        </w:rPr>
        <w:tab/>
        <w:t>c</w:t>
      </w:r>
      <w:r w:rsidRPr="00505B2A">
        <w:rPr>
          <w:i/>
          <w:vertAlign w:val="subscript"/>
          <w:lang w:val="en-US"/>
        </w:rPr>
        <w:t>1</w:t>
      </w:r>
      <w:r w:rsidRPr="00505B2A">
        <w:rPr>
          <w:i/>
          <w:lang w:val="en-US"/>
        </w:rPr>
        <w:tab/>
      </w:r>
      <w:r w:rsidRPr="00505B2A">
        <w:rPr>
          <w:i/>
          <w:lang w:val="en-US"/>
        </w:rPr>
        <w:tab/>
        <w:t>r</w:t>
      </w:r>
      <w:r w:rsidRPr="00505B2A">
        <w:rPr>
          <w:i/>
          <w:vertAlign w:val="subscript"/>
          <w:lang w:val="en-US"/>
        </w:rPr>
        <w:t>1</w:t>
      </w:r>
    </w:p>
    <w:p w:rsidR="00F90A26" w:rsidRPr="00505B2A" w:rsidRDefault="00F90A26" w:rsidP="00F90A26">
      <w:pPr>
        <w:tabs>
          <w:tab w:val="left" w:pos="1920"/>
          <w:tab w:val="left" w:pos="3840"/>
        </w:tabs>
        <w:rPr>
          <w:i/>
          <w:lang w:val="en-US"/>
        </w:rPr>
      </w:pPr>
      <w:r w:rsidRPr="00505B2A">
        <w:rPr>
          <w:i/>
          <w:lang w:val="en-US"/>
        </w:rPr>
        <w:t>s</w:t>
      </w:r>
      <w:r w:rsidRPr="00505B2A">
        <w:rPr>
          <w:i/>
          <w:vertAlign w:val="subscript"/>
          <w:lang w:val="en-US"/>
        </w:rPr>
        <w:t>2</w:t>
      </w:r>
      <w:r w:rsidRPr="00505B2A">
        <w:rPr>
          <w:i/>
          <w:vertAlign w:val="subscript"/>
          <w:lang w:val="en-US"/>
        </w:rPr>
        <w:tab/>
      </w:r>
      <w:r w:rsidRPr="00505B2A">
        <w:rPr>
          <w:i/>
          <w:lang w:val="en-US"/>
        </w:rPr>
        <w:t>f</w:t>
      </w:r>
      <w:r w:rsidRPr="00505B2A">
        <w:rPr>
          <w:i/>
          <w:vertAlign w:val="subscript"/>
          <w:lang w:val="en-US"/>
        </w:rPr>
        <w:t>2</w:t>
      </w:r>
      <w:r w:rsidRPr="00505B2A">
        <w:rPr>
          <w:i/>
          <w:lang w:val="en-US"/>
        </w:rPr>
        <w:tab/>
        <w:t>c</w:t>
      </w:r>
      <w:r w:rsidRPr="00505B2A">
        <w:rPr>
          <w:i/>
          <w:vertAlign w:val="subscript"/>
          <w:lang w:val="en-US"/>
        </w:rPr>
        <w:t>2</w:t>
      </w:r>
      <w:r w:rsidRPr="00505B2A">
        <w:rPr>
          <w:i/>
          <w:lang w:val="en-US"/>
        </w:rPr>
        <w:tab/>
      </w:r>
      <w:r w:rsidRPr="00505B2A">
        <w:rPr>
          <w:i/>
          <w:lang w:val="en-US"/>
        </w:rPr>
        <w:tab/>
        <w:t>r</w:t>
      </w:r>
      <w:r w:rsidRPr="00505B2A">
        <w:rPr>
          <w:i/>
          <w:vertAlign w:val="subscript"/>
          <w:lang w:val="en-US"/>
        </w:rPr>
        <w:t>2</w:t>
      </w:r>
    </w:p>
    <w:p w:rsidR="00F90A26" w:rsidRPr="00505B2A" w:rsidRDefault="00F90A26" w:rsidP="00F90A26">
      <w:pPr>
        <w:tabs>
          <w:tab w:val="left" w:pos="1920"/>
          <w:tab w:val="left" w:pos="3840"/>
        </w:tabs>
        <w:rPr>
          <w:i/>
          <w:lang w:val="en-US"/>
        </w:rPr>
      </w:pPr>
      <w:r w:rsidRPr="00505B2A">
        <w:rPr>
          <w:i/>
          <w:lang w:val="en-US"/>
        </w:rPr>
        <w:t>s</w:t>
      </w:r>
      <w:r w:rsidRPr="00505B2A">
        <w:rPr>
          <w:i/>
          <w:vertAlign w:val="subscript"/>
          <w:lang w:val="en-US"/>
        </w:rPr>
        <w:t>3</w:t>
      </w:r>
      <w:r w:rsidRPr="00505B2A">
        <w:rPr>
          <w:i/>
          <w:vertAlign w:val="subscript"/>
          <w:lang w:val="en-US"/>
        </w:rPr>
        <w:tab/>
      </w:r>
      <w:r w:rsidRPr="00505B2A">
        <w:rPr>
          <w:i/>
          <w:lang w:val="en-US"/>
        </w:rPr>
        <w:t>f</w:t>
      </w:r>
      <w:r w:rsidRPr="00505B2A">
        <w:rPr>
          <w:i/>
          <w:vertAlign w:val="subscript"/>
          <w:lang w:val="en-US"/>
        </w:rPr>
        <w:t>3</w:t>
      </w:r>
      <w:r w:rsidRPr="00505B2A">
        <w:rPr>
          <w:i/>
          <w:lang w:val="en-US"/>
        </w:rPr>
        <w:tab/>
        <w:t>c</w:t>
      </w:r>
      <w:r w:rsidRPr="00505B2A">
        <w:rPr>
          <w:i/>
          <w:vertAlign w:val="subscript"/>
          <w:lang w:val="en-US"/>
        </w:rPr>
        <w:t>3</w:t>
      </w:r>
      <w:r w:rsidRPr="00505B2A">
        <w:rPr>
          <w:i/>
          <w:lang w:val="en-US"/>
        </w:rPr>
        <w:tab/>
      </w:r>
      <w:r w:rsidRPr="00505B2A">
        <w:rPr>
          <w:i/>
          <w:lang w:val="en-US"/>
        </w:rPr>
        <w:tab/>
        <w:t>r</w:t>
      </w:r>
      <w:r w:rsidRPr="00505B2A">
        <w:rPr>
          <w:i/>
          <w:vertAlign w:val="subscript"/>
          <w:lang w:val="en-US"/>
        </w:rPr>
        <w:t>3</w:t>
      </w:r>
    </w:p>
    <w:p w:rsidR="00F90A26" w:rsidRPr="00505B2A" w:rsidRDefault="00F90A26" w:rsidP="00F90A26">
      <w:pPr>
        <w:rPr>
          <w:i/>
          <w:lang w:val="en-US"/>
        </w:rPr>
      </w:pPr>
      <w:r w:rsidRPr="00505B2A">
        <w:rPr>
          <w:i/>
          <w:lang w:val="en-US"/>
        </w:rPr>
        <w:t>…</w:t>
      </w:r>
    </w:p>
    <w:p w:rsidR="00F90A26" w:rsidRPr="00505B2A" w:rsidRDefault="00F90A26" w:rsidP="00F90A26">
      <w:pPr>
        <w:tabs>
          <w:tab w:val="left" w:pos="1920"/>
          <w:tab w:val="left" w:pos="3840"/>
        </w:tabs>
        <w:rPr>
          <w:i/>
          <w:lang w:val="en-US"/>
        </w:rPr>
      </w:pPr>
      <w:r w:rsidRPr="00505B2A">
        <w:rPr>
          <w:i/>
          <w:lang w:val="en-US"/>
        </w:rPr>
        <w:t>s</w:t>
      </w:r>
      <w:r w:rsidRPr="00505B2A">
        <w:rPr>
          <w:i/>
          <w:vertAlign w:val="subscript"/>
          <w:lang w:val="en-US"/>
        </w:rPr>
        <w:t>n</w:t>
      </w:r>
      <w:r w:rsidRPr="00505B2A">
        <w:rPr>
          <w:i/>
          <w:vertAlign w:val="subscript"/>
          <w:lang w:val="en-US"/>
        </w:rPr>
        <w:tab/>
      </w:r>
      <w:r w:rsidRPr="00505B2A">
        <w:rPr>
          <w:i/>
          <w:lang w:val="en-US"/>
        </w:rPr>
        <w:t>f</w:t>
      </w:r>
      <w:r w:rsidRPr="00505B2A">
        <w:rPr>
          <w:i/>
          <w:vertAlign w:val="subscript"/>
          <w:lang w:val="en-US"/>
        </w:rPr>
        <w:t>n</w:t>
      </w:r>
      <w:r w:rsidRPr="00505B2A">
        <w:rPr>
          <w:i/>
          <w:lang w:val="en-US"/>
        </w:rPr>
        <w:tab/>
        <w:t>c</w:t>
      </w:r>
      <w:r w:rsidRPr="00505B2A">
        <w:rPr>
          <w:i/>
          <w:vertAlign w:val="subscript"/>
          <w:lang w:val="en-US"/>
        </w:rPr>
        <w:t>n</w:t>
      </w:r>
      <w:r w:rsidRPr="00505B2A">
        <w:rPr>
          <w:i/>
          <w:lang w:val="en-US"/>
        </w:rPr>
        <w:tab/>
      </w:r>
      <w:r w:rsidRPr="00505B2A">
        <w:rPr>
          <w:i/>
          <w:lang w:val="en-US"/>
        </w:rPr>
        <w:tab/>
        <w:t>r</w:t>
      </w:r>
      <w:r w:rsidRPr="00505B2A">
        <w:rPr>
          <w:i/>
          <w:vertAlign w:val="subscript"/>
          <w:lang w:val="en-US"/>
        </w:rPr>
        <w:t>n</w:t>
      </w:r>
    </w:p>
    <w:p w:rsidR="00F90A26" w:rsidRPr="00505B2A" w:rsidRDefault="00F90A26" w:rsidP="00F90A26">
      <w:pPr>
        <w:rPr>
          <w:vertAlign w:val="subscript"/>
          <w:lang w:val="en-US"/>
        </w:rPr>
      </w:pPr>
    </w:p>
    <w:p w:rsidR="00F90A26" w:rsidRDefault="00F90A26" w:rsidP="00F90A26">
      <w:pPr>
        <w:rPr>
          <w:lang w:val="en-US"/>
        </w:rPr>
      </w:pPr>
      <w:r w:rsidRPr="00505B2A">
        <w:rPr>
          <w:b/>
          <w:lang w:val="en-US"/>
        </w:rPr>
        <w:t>Total risk</w:t>
      </w:r>
      <w:r w:rsidRPr="00505B2A">
        <w:rPr>
          <w:lang w:val="en-US"/>
        </w:rPr>
        <w:tab/>
      </w:r>
      <w:r w:rsidRPr="00505B2A">
        <w:rPr>
          <w:lang w:val="en-US"/>
        </w:rPr>
        <w:tab/>
      </w:r>
      <w:r w:rsidRPr="00505B2A">
        <w:rPr>
          <w:lang w:val="en-US"/>
        </w:rPr>
        <w:tab/>
      </w:r>
      <w:r w:rsidRPr="00505B2A">
        <w:rPr>
          <w:lang w:val="en-US"/>
        </w:rPr>
        <w:tab/>
      </w:r>
      <w:r w:rsidRPr="00505B2A">
        <w:rPr>
          <w:lang w:val="en-US"/>
        </w:rPr>
        <w:tab/>
      </w:r>
      <w:r w:rsidRPr="00505B2A">
        <w:rPr>
          <w:b/>
          <w:i/>
          <w:lang w:val="en-US"/>
        </w:rPr>
        <w:t>sum (r</w:t>
      </w:r>
      <w:r w:rsidRPr="00505B2A">
        <w:rPr>
          <w:b/>
          <w:i/>
          <w:vertAlign w:val="subscript"/>
          <w:lang w:val="en-US"/>
        </w:rPr>
        <w:t>1</w:t>
      </w:r>
      <w:r w:rsidRPr="00505B2A">
        <w:rPr>
          <w:b/>
          <w:i/>
          <w:lang w:val="en-US"/>
        </w:rPr>
        <w:t xml:space="preserve"> : r</w:t>
      </w:r>
      <w:r w:rsidRPr="00505B2A">
        <w:rPr>
          <w:b/>
          <w:i/>
          <w:vertAlign w:val="subscript"/>
          <w:lang w:val="en-US"/>
        </w:rPr>
        <w:t>n</w:t>
      </w:r>
      <w:r w:rsidRPr="00505B2A">
        <w:rPr>
          <w:b/>
          <w:i/>
          <w:lang w:val="en-US"/>
        </w:rPr>
        <w:t xml:space="preserve">) </w:t>
      </w:r>
      <w:r w:rsidRPr="00505B2A">
        <w:rPr>
          <w:b/>
          <w:i/>
          <w:lang w:val="en-US"/>
        </w:rPr>
        <w:tab/>
      </w:r>
      <w:r w:rsidRPr="00505B2A">
        <w:rPr>
          <w:b/>
          <w:i/>
          <w:lang w:val="en-US"/>
        </w:rPr>
        <w:tab/>
      </w:r>
      <w:r w:rsidRPr="00505B2A">
        <w:rPr>
          <w:b/>
          <w:i/>
          <w:lang w:val="en-US"/>
        </w:rPr>
        <w:tab/>
      </w:r>
      <w:r w:rsidRPr="00505B2A">
        <w:rPr>
          <w:b/>
          <w:i/>
          <w:lang w:val="en-US"/>
        </w:rPr>
        <w:tab/>
      </w:r>
      <w:r w:rsidR="00382231">
        <w:rPr>
          <w:b/>
          <w:i/>
          <w:lang w:val="en-US"/>
        </w:rPr>
        <w:tab/>
      </w:r>
      <w:r w:rsidRPr="00505B2A">
        <w:rPr>
          <w:lang w:val="en-US"/>
        </w:rPr>
        <w:t>(</w:t>
      </w:r>
      <w:bookmarkStart w:id="381" w:name="eq1"/>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2</w:t>
      </w:r>
      <w:r w:rsidR="009E768B">
        <w:fldChar w:fldCharType="end"/>
      </w:r>
      <w:bookmarkEnd w:id="381"/>
      <w:r w:rsidRPr="00505B2A">
        <w:rPr>
          <w:lang w:val="en-US"/>
        </w:rPr>
        <w:t>)</w:t>
      </w:r>
    </w:p>
    <w:p w:rsidR="00F90A26" w:rsidRDefault="00F90A26" w:rsidP="00F90A26">
      <w:pPr>
        <w:rPr>
          <w:lang w:val="en-US"/>
        </w:rPr>
      </w:pPr>
    </w:p>
    <w:p w:rsidR="00CC6F6B" w:rsidRPr="0089273E" w:rsidRDefault="00CC6F6B" w:rsidP="00505B2A">
      <w:pPr>
        <w:pStyle w:val="Titre4"/>
      </w:pPr>
      <w:r w:rsidRPr="0089273E">
        <w:t>CRT Assessment</w:t>
      </w:r>
    </w:p>
    <w:p w:rsidR="00F90A26" w:rsidRDefault="00F90A26" w:rsidP="00F90A26">
      <w:pPr>
        <w:rPr>
          <w:lang w:val="en-US"/>
        </w:rPr>
      </w:pPr>
      <w:r>
        <w:rPr>
          <w:lang w:val="en-US"/>
        </w:rPr>
        <w:t>As it follows from the above given matrix, the risk can be defined as:</w:t>
      </w:r>
    </w:p>
    <w:p w:rsidR="00F90A26" w:rsidRDefault="00F90A26" w:rsidP="00F90A26">
      <w:pPr>
        <w:rPr>
          <w:lang w:val="en-US"/>
        </w:rPr>
      </w:pPr>
    </w:p>
    <w:p w:rsidR="00F90A26" w:rsidRDefault="00F90A26" w:rsidP="00F90A26">
      <w:pPr>
        <w:rPr>
          <w:lang w:val="en-US"/>
        </w:rPr>
      </w:pPr>
      <w:r>
        <w:rPr>
          <w:lang w:val="en-US"/>
        </w:rPr>
        <w:tab/>
      </w:r>
      <w:r>
        <w:rPr>
          <w:b/>
          <w:i/>
          <w:lang w:val="en-US"/>
        </w:rPr>
        <w:t>R ≤ Σ</w:t>
      </w:r>
      <w:r>
        <w:rPr>
          <w:b/>
          <w:i/>
          <w:vertAlign w:val="subscript"/>
          <w:lang w:val="en-US"/>
        </w:rPr>
        <w:t xml:space="preserve">i </w:t>
      </w:r>
      <w:r>
        <w:rPr>
          <w:b/>
          <w:i/>
          <w:lang w:val="en-US"/>
        </w:rPr>
        <w:t>f</w:t>
      </w:r>
      <w:r>
        <w:rPr>
          <w:b/>
          <w:i/>
          <w:vertAlign w:val="subscript"/>
          <w:lang w:val="en-US"/>
        </w:rPr>
        <w:t>i</w:t>
      </w:r>
      <w:r>
        <w:rPr>
          <w:b/>
          <w:i/>
          <w:lang w:val="en-US"/>
        </w:rPr>
        <w:t xml:space="preserve"> </w:t>
      </w:r>
      <w:r>
        <w:rPr>
          <w:lang w:val="en-US"/>
        </w:rPr>
        <w:t>×</w:t>
      </w:r>
      <w:r>
        <w:rPr>
          <w:b/>
          <w:i/>
          <w:lang w:val="en-US"/>
        </w:rPr>
        <w:t xml:space="preserve"> c</w:t>
      </w:r>
      <w:r>
        <w:rPr>
          <w:b/>
          <w:i/>
          <w:vertAlign w:val="subscript"/>
          <w:lang w:val="en-US"/>
        </w:rPr>
        <w:t>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00382231">
        <w:rPr>
          <w:lang w:val="en-US"/>
        </w:rPr>
        <w:tab/>
      </w:r>
      <w:r>
        <w:rPr>
          <w:lang w:val="en-US"/>
        </w:rPr>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3</w:t>
      </w:r>
      <w:r w:rsidR="009E768B">
        <w:fldChar w:fldCharType="end"/>
      </w:r>
      <w:r>
        <w:rPr>
          <w:lang w:val="en-US"/>
        </w:rPr>
        <w:t>)</w:t>
      </w:r>
    </w:p>
    <w:p w:rsidR="00F90A26" w:rsidRDefault="00F90A26" w:rsidP="00F90A26">
      <w:pPr>
        <w:rPr>
          <w:lang w:val="en-US"/>
        </w:rPr>
      </w:pPr>
    </w:p>
    <w:p w:rsidR="00F90A26" w:rsidRDefault="00F90A26" w:rsidP="00F90A26">
      <w:pPr>
        <w:rPr>
          <w:lang w:val="en-US"/>
        </w:rPr>
      </w:pPr>
      <w:r>
        <w:rPr>
          <w:lang w:val="en-US"/>
        </w:rPr>
        <w:t xml:space="preserve">where  </w:t>
      </w:r>
    </w:p>
    <w:p w:rsidR="00F90A26" w:rsidRDefault="00F90A26" w:rsidP="00F90A26">
      <w:pPr>
        <w:rPr>
          <w:lang w:val="en-US"/>
        </w:rPr>
      </w:pPr>
      <w:r>
        <w:rPr>
          <w:i/>
          <w:lang w:val="en-US"/>
        </w:rPr>
        <w:t>i</w:t>
      </w:r>
      <w:r>
        <w:rPr>
          <w:lang w:val="en-US"/>
        </w:rPr>
        <w:t xml:space="preserve"> is the </w:t>
      </w:r>
      <w:r>
        <w:rPr>
          <w:i/>
          <w:lang w:val="en-US"/>
        </w:rPr>
        <w:t>i</w:t>
      </w:r>
      <w:r>
        <w:rPr>
          <w:i/>
          <w:vertAlign w:val="superscript"/>
          <w:lang w:val="en-US"/>
        </w:rPr>
        <w:t>th</w:t>
      </w:r>
      <w:r>
        <w:rPr>
          <w:lang w:val="en-US"/>
        </w:rPr>
        <w:t xml:space="preserve"> release mode (class, sequence, source term),</w:t>
      </w:r>
    </w:p>
    <w:p w:rsidR="00F90A26" w:rsidRDefault="00F90A26" w:rsidP="00F90A26">
      <w:pPr>
        <w:rPr>
          <w:lang w:val="en-US"/>
        </w:rPr>
      </w:pPr>
      <w:r>
        <w:rPr>
          <w:i/>
          <w:lang w:val="en-US"/>
        </w:rPr>
        <w:t>f</w:t>
      </w:r>
      <w:r>
        <w:rPr>
          <w:i/>
          <w:vertAlign w:val="subscript"/>
          <w:lang w:val="en-US"/>
        </w:rPr>
        <w:t>i</w:t>
      </w:r>
      <w:r>
        <w:rPr>
          <w:lang w:val="en-US"/>
        </w:rPr>
        <w:t xml:space="preserve"> is the frequency per year of the </w:t>
      </w:r>
      <w:r>
        <w:rPr>
          <w:i/>
          <w:lang w:val="en-US"/>
        </w:rPr>
        <w:t>i</w:t>
      </w:r>
      <w:r>
        <w:rPr>
          <w:i/>
          <w:vertAlign w:val="superscript"/>
          <w:lang w:val="en-US"/>
        </w:rPr>
        <w:t>th</w:t>
      </w:r>
      <w:r>
        <w:rPr>
          <w:lang w:val="en-US"/>
        </w:rPr>
        <w:t xml:space="preserve"> release mode, and </w:t>
      </w:r>
    </w:p>
    <w:p w:rsidR="00F90A26" w:rsidRDefault="00F90A26" w:rsidP="00F90A26">
      <w:pPr>
        <w:rPr>
          <w:lang w:val="en-US"/>
        </w:rPr>
      </w:pPr>
      <w:r>
        <w:rPr>
          <w:i/>
          <w:lang w:val="en-US"/>
        </w:rPr>
        <w:t>c</w:t>
      </w:r>
      <w:r>
        <w:rPr>
          <w:i/>
          <w:vertAlign w:val="subscript"/>
          <w:lang w:val="en-US"/>
        </w:rPr>
        <w:t>i</w:t>
      </w:r>
      <w:r>
        <w:rPr>
          <w:lang w:val="en-US"/>
        </w:rPr>
        <w:t xml:space="preserve"> is the consequence in Bq of </w:t>
      </w:r>
      <w:r>
        <w:rPr>
          <w:b/>
          <w:lang w:val="en-US"/>
        </w:rPr>
        <w:t>I-131 equivalent</w:t>
      </w:r>
      <w:r>
        <w:rPr>
          <w:lang w:val="en-US"/>
        </w:rPr>
        <w:t xml:space="preserve"> for the </w:t>
      </w:r>
      <w:r>
        <w:rPr>
          <w:i/>
          <w:lang w:val="en-US"/>
        </w:rPr>
        <w:t>i</w:t>
      </w:r>
      <w:r>
        <w:rPr>
          <w:i/>
          <w:vertAlign w:val="superscript"/>
          <w:lang w:val="en-US"/>
        </w:rPr>
        <w:t>th</w:t>
      </w:r>
      <w:r>
        <w:rPr>
          <w:i/>
          <w:lang w:val="en-US"/>
        </w:rPr>
        <w:t xml:space="preserve"> </w:t>
      </w:r>
      <w:r>
        <w:rPr>
          <w:lang w:val="en-US"/>
        </w:rPr>
        <w:t>release mode.</w:t>
      </w:r>
    </w:p>
    <w:p w:rsidR="00F90A26" w:rsidRDefault="00F90A26" w:rsidP="00F90A26">
      <w:pPr>
        <w:rPr>
          <w:lang w:val="en-US"/>
        </w:rPr>
      </w:pPr>
    </w:p>
    <w:p w:rsidR="00F90A26" w:rsidRDefault="00F90A26" w:rsidP="00F90A26">
      <w:pPr>
        <w:rPr>
          <w:lang w:val="en-US"/>
        </w:rPr>
      </w:pPr>
      <w:r>
        <w:rPr>
          <w:lang w:val="en-US"/>
        </w:rPr>
        <w:t>Particular sequences may be grouped according to assessed releases c</w:t>
      </w:r>
      <w:r>
        <w:rPr>
          <w:vertAlign w:val="subscript"/>
          <w:lang w:val="en-US"/>
        </w:rPr>
        <w:t>i</w:t>
      </w:r>
      <w:r>
        <w:rPr>
          <w:lang w:val="en-US"/>
        </w:rPr>
        <w:t xml:space="preserve"> and graded following the INES scale. Thus, we obtain 3 groups of releases/sequences:</w:t>
      </w:r>
    </w:p>
    <w:p w:rsidR="00F90A26" w:rsidRDefault="00F90A26" w:rsidP="00F90A26">
      <w:pPr>
        <w:rPr>
          <w:lang w:val="en-US"/>
        </w:rPr>
      </w:pPr>
    </w:p>
    <w:p w:rsidR="00FA509C" w:rsidRDefault="00F90A26" w:rsidP="0042104F">
      <w:pPr>
        <w:numPr>
          <w:ilvl w:val="0"/>
          <w:numId w:val="145"/>
        </w:numPr>
        <w:tabs>
          <w:tab w:val="num" w:pos="284"/>
        </w:tabs>
        <w:spacing w:line="360" w:lineRule="auto"/>
        <w:ind w:left="284" w:hanging="284"/>
        <w:rPr>
          <w:lang w:val="en-US"/>
        </w:rPr>
      </w:pPr>
      <w:r>
        <w:rPr>
          <w:lang w:val="en-US"/>
        </w:rPr>
        <w:t xml:space="preserve">group INES5, where </w:t>
      </w:r>
      <w:r>
        <w:rPr>
          <w:b/>
          <w:i/>
          <w:lang w:val="en-US"/>
        </w:rPr>
        <w:t>c</w:t>
      </w:r>
      <w:r>
        <w:rPr>
          <w:b/>
          <w:i/>
          <w:vertAlign w:val="subscript"/>
          <w:lang w:val="en-US"/>
        </w:rPr>
        <w:t>i5</w:t>
      </w:r>
      <w:r>
        <w:rPr>
          <w:lang w:val="en-US"/>
        </w:rPr>
        <w:t xml:space="preserve"> Є {200 through 2000} TBq of I-131 equivalent,</w:t>
      </w:r>
    </w:p>
    <w:p w:rsidR="00FA509C" w:rsidRDefault="00F90A26" w:rsidP="0042104F">
      <w:pPr>
        <w:numPr>
          <w:ilvl w:val="0"/>
          <w:numId w:val="145"/>
        </w:numPr>
        <w:tabs>
          <w:tab w:val="num" w:pos="284"/>
        </w:tabs>
        <w:spacing w:line="360" w:lineRule="auto"/>
        <w:ind w:left="284" w:hanging="284"/>
        <w:rPr>
          <w:lang w:val="en-US"/>
        </w:rPr>
      </w:pPr>
      <w:r>
        <w:rPr>
          <w:lang w:val="en-US"/>
        </w:rPr>
        <w:t xml:space="preserve">group INES6, where </w:t>
      </w:r>
      <w:r>
        <w:rPr>
          <w:b/>
          <w:i/>
          <w:lang w:val="en-US"/>
        </w:rPr>
        <w:t>c</w:t>
      </w:r>
      <w:r>
        <w:rPr>
          <w:b/>
          <w:i/>
          <w:vertAlign w:val="subscript"/>
          <w:lang w:val="en-US"/>
        </w:rPr>
        <w:t>i6</w:t>
      </w:r>
      <w:r>
        <w:rPr>
          <w:lang w:val="en-US"/>
        </w:rPr>
        <w:t xml:space="preserve"> Є {2001 through 20000} TBq of I-131 equivalent,</w:t>
      </w:r>
    </w:p>
    <w:p w:rsidR="00FA509C" w:rsidRDefault="00F90A26" w:rsidP="0042104F">
      <w:pPr>
        <w:numPr>
          <w:ilvl w:val="0"/>
          <w:numId w:val="145"/>
        </w:numPr>
        <w:tabs>
          <w:tab w:val="num" w:pos="284"/>
        </w:tabs>
        <w:spacing w:line="360" w:lineRule="auto"/>
        <w:ind w:left="284" w:hanging="284"/>
        <w:rPr>
          <w:lang w:val="en-US"/>
        </w:rPr>
      </w:pPr>
      <w:r>
        <w:rPr>
          <w:lang w:val="en-US"/>
        </w:rPr>
        <w:t xml:space="preserve">group INES7, where </w:t>
      </w:r>
      <w:r>
        <w:rPr>
          <w:b/>
          <w:i/>
          <w:lang w:val="en-US"/>
        </w:rPr>
        <w:t>c</w:t>
      </w:r>
      <w:r>
        <w:rPr>
          <w:b/>
          <w:i/>
          <w:vertAlign w:val="subscript"/>
          <w:lang w:val="en-US"/>
        </w:rPr>
        <w:t>i7</w:t>
      </w:r>
      <w:r>
        <w:rPr>
          <w:b/>
          <w:lang w:val="en-US"/>
        </w:rPr>
        <w:t xml:space="preserve"> </w:t>
      </w:r>
      <w:r>
        <w:rPr>
          <w:lang w:val="en-US"/>
        </w:rPr>
        <w:t>&gt; 20000 TBq of I-131 equivalent.</w:t>
      </w:r>
    </w:p>
    <w:p w:rsidR="00F90A26" w:rsidRDefault="00F90A26" w:rsidP="00F90A26">
      <w:pPr>
        <w:rPr>
          <w:b/>
          <w:lang w:val="en-US"/>
        </w:rPr>
      </w:pPr>
    </w:p>
    <w:p w:rsidR="00F90A26" w:rsidRDefault="00F90A26" w:rsidP="00F90A26">
      <w:pPr>
        <w:rPr>
          <w:lang w:val="en-US"/>
        </w:rPr>
      </w:pPr>
      <w:r>
        <w:rPr>
          <w:lang w:val="en-US"/>
        </w:rPr>
        <w:t>The parameter should be based also on IAEA requirements of balanced NPP with no significant risk coming from different release classes and no impact to the population and environment, using a graded approach. Hence it can be concluded:</w:t>
      </w:r>
    </w:p>
    <w:p w:rsidR="00F90A26" w:rsidRDefault="00F90A26" w:rsidP="00F90A26">
      <w:pPr>
        <w:rPr>
          <w:b/>
          <w:lang w:val="en-US"/>
        </w:rPr>
      </w:pPr>
    </w:p>
    <w:p w:rsidR="00F90A26" w:rsidRDefault="00F90A26" w:rsidP="00F90A26">
      <w:pPr>
        <w:rPr>
          <w:lang w:val="en-US"/>
        </w:rPr>
      </w:pPr>
      <w:r>
        <w:rPr>
          <w:b/>
          <w:lang w:val="en-US"/>
        </w:rPr>
        <w:tab/>
      </w:r>
      <w:r>
        <w:rPr>
          <w:b/>
          <w:i/>
          <w:lang w:val="en-US"/>
        </w:rPr>
        <w:t>c</w:t>
      </w:r>
      <w:r>
        <w:rPr>
          <w:b/>
          <w:i/>
          <w:vertAlign w:val="subscript"/>
          <w:lang w:val="en-US"/>
        </w:rPr>
        <w:t>i7</w:t>
      </w:r>
      <w:r>
        <w:rPr>
          <w:b/>
          <w:i/>
          <w:lang w:val="en-US"/>
        </w:rPr>
        <w:t xml:space="preserve">  ≈ 10 × c</w:t>
      </w:r>
      <w:r>
        <w:rPr>
          <w:b/>
          <w:i/>
          <w:vertAlign w:val="subscript"/>
          <w:lang w:val="en-US"/>
        </w:rPr>
        <w:t>i6</w:t>
      </w:r>
      <w:r>
        <w:rPr>
          <w:b/>
          <w:i/>
          <w:lang w:val="en-US"/>
        </w:rPr>
        <w:t xml:space="preserve"> ≈ 100 × c</w:t>
      </w:r>
      <w:r>
        <w:rPr>
          <w:b/>
          <w:i/>
          <w:vertAlign w:val="subscript"/>
          <w:lang w:val="en-US"/>
        </w:rPr>
        <w:t xml:space="preserve">i5 </w:t>
      </w:r>
      <w:r>
        <w:rPr>
          <w:b/>
          <w:lang w:val="en-US"/>
        </w:rPr>
        <w:t xml:space="preserve">  </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lang w:val="en-US"/>
        </w:rPr>
        <w:t>(</w:t>
      </w:r>
      <w:bookmarkStart w:id="382" w:name="eq3"/>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4</w:t>
      </w:r>
      <w:r w:rsidR="009E768B">
        <w:fldChar w:fldCharType="end"/>
      </w:r>
      <w:bookmarkEnd w:id="382"/>
      <w:r>
        <w:rPr>
          <w:lang w:val="en-US"/>
        </w:rPr>
        <w:t>)</w:t>
      </w:r>
    </w:p>
    <w:p w:rsidR="00F90A26" w:rsidRDefault="00F90A26" w:rsidP="00F90A26">
      <w:pPr>
        <w:rPr>
          <w:b/>
          <w:lang w:val="en-US"/>
        </w:rPr>
      </w:pPr>
    </w:p>
    <w:p w:rsidR="00F90A26" w:rsidRDefault="00F90A26" w:rsidP="00F90A26">
      <w:pPr>
        <w:rPr>
          <w:lang w:val="en-US"/>
        </w:rPr>
      </w:pPr>
      <w:r>
        <w:rPr>
          <w:lang w:val="en-US"/>
        </w:rPr>
        <w:t xml:space="preserve">Further let us say that we have </w:t>
      </w:r>
      <w:r>
        <w:rPr>
          <w:i/>
          <w:lang w:val="en-US"/>
        </w:rPr>
        <w:t>j</w:t>
      </w:r>
      <w:r>
        <w:rPr>
          <w:lang w:val="en-US"/>
        </w:rPr>
        <w:t xml:space="preserve"> sequences INES5, </w:t>
      </w:r>
      <w:r>
        <w:rPr>
          <w:i/>
          <w:lang w:val="en-US"/>
        </w:rPr>
        <w:t>k</w:t>
      </w:r>
      <w:r>
        <w:rPr>
          <w:lang w:val="en-US"/>
        </w:rPr>
        <w:t xml:space="preserve"> sequences INES 6 and </w:t>
      </w:r>
      <w:r>
        <w:rPr>
          <w:i/>
          <w:lang w:val="en-US"/>
        </w:rPr>
        <w:t>l</w:t>
      </w:r>
      <w:r>
        <w:rPr>
          <w:lang w:val="en-US"/>
        </w:rPr>
        <w:t xml:space="preserve"> sequences INES7, where </w:t>
      </w:r>
    </w:p>
    <w:p w:rsidR="00F90A26" w:rsidRDefault="00F90A26" w:rsidP="00F90A26">
      <w:pPr>
        <w:rPr>
          <w:lang w:val="en-US"/>
        </w:rPr>
      </w:pPr>
    </w:p>
    <w:p w:rsidR="00F90A26" w:rsidRDefault="00F90A26" w:rsidP="00F90A26">
      <w:pPr>
        <w:rPr>
          <w:lang w:val="en-US"/>
        </w:rPr>
      </w:pPr>
      <w:r>
        <w:rPr>
          <w:b/>
          <w:i/>
          <w:lang w:val="en-US"/>
        </w:rPr>
        <w:tab/>
        <w:t>j + k + l = i</w:t>
      </w:r>
      <w:r>
        <w:rPr>
          <w:b/>
          <w:i/>
          <w:lang w:val="en-US"/>
        </w:rPr>
        <w:tab/>
      </w:r>
      <w:r>
        <w:rPr>
          <w:b/>
          <w:i/>
          <w:lang w:val="en-US"/>
        </w:rPr>
        <w:tab/>
      </w:r>
      <w:r>
        <w:rPr>
          <w:b/>
          <w:i/>
          <w:lang w:val="en-US"/>
        </w:rPr>
        <w:tab/>
      </w:r>
      <w:r>
        <w:rPr>
          <w:b/>
          <w:i/>
          <w:lang w:val="en-US"/>
        </w:rPr>
        <w:tab/>
      </w:r>
      <w:r>
        <w:rPr>
          <w:lang w:val="en-US"/>
        </w:rPr>
        <w:tab/>
      </w:r>
      <w:r>
        <w:rPr>
          <w:lang w:val="en-US"/>
        </w:rPr>
        <w:tab/>
      </w:r>
      <w:r>
        <w:rPr>
          <w:lang w:val="en-US"/>
        </w:rPr>
        <w:tab/>
      </w:r>
      <w:r>
        <w:rPr>
          <w:lang w:val="en-US"/>
        </w:rPr>
        <w:tab/>
      </w:r>
      <w:r>
        <w:rPr>
          <w:lang w:val="en-US"/>
        </w:rPr>
        <w:tab/>
      </w:r>
      <w:r>
        <w:rPr>
          <w:lang w:val="en-US"/>
        </w:rPr>
        <w:tab/>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5</w:t>
      </w:r>
      <w:r w:rsidR="009E768B">
        <w:fldChar w:fldCharType="end"/>
      </w:r>
      <w:r>
        <w:rPr>
          <w:lang w:val="en-US"/>
        </w:rPr>
        <w:t>)</w:t>
      </w:r>
    </w:p>
    <w:p w:rsidR="00F90A26" w:rsidRDefault="00F90A26" w:rsidP="00F90A26">
      <w:pPr>
        <w:rPr>
          <w:b/>
          <w:lang w:val="en-US"/>
        </w:rPr>
      </w:pPr>
    </w:p>
    <w:p w:rsidR="00F90A26" w:rsidRDefault="00F90A26" w:rsidP="00F90A26">
      <w:pPr>
        <w:rPr>
          <w:lang w:val="en-US"/>
        </w:rPr>
      </w:pPr>
      <w:r>
        <w:rPr>
          <w:lang w:val="en-US"/>
        </w:rPr>
        <w:t>In order to comply with the IAEA suggestion that risk should be balanced (“there should not be excessive contribution to risk by any release mode”), it is further assumed that the combined release modes included in Level 5 (i,5), Level 6 (i,6), and Level 7 (i,7) of the INES scale should give approximately equal contributions to the total risk, i.e.,</w:t>
      </w:r>
    </w:p>
    <w:p w:rsidR="00F90A26" w:rsidRDefault="00F90A26" w:rsidP="00F90A26">
      <w:pPr>
        <w:rPr>
          <w:lang w:val="en-US"/>
        </w:rPr>
      </w:pPr>
    </w:p>
    <w:p w:rsidR="00F90A26" w:rsidRDefault="00F90A26" w:rsidP="00F90A26">
      <w:pPr>
        <w:rPr>
          <w:lang w:val="en-US"/>
        </w:rPr>
      </w:pPr>
      <w:r>
        <w:rPr>
          <w:lang w:val="en-US"/>
        </w:rPr>
        <w:tab/>
      </w:r>
      <w:r>
        <w:rPr>
          <w:b/>
          <w:i/>
          <w:lang w:val="en-US"/>
        </w:rPr>
        <w:t>Σ</w:t>
      </w:r>
      <w:r>
        <w:rPr>
          <w:b/>
          <w:i/>
          <w:vertAlign w:val="subscript"/>
          <w:lang w:val="en-US"/>
        </w:rPr>
        <w:t>j</w:t>
      </w:r>
      <w:r>
        <w:rPr>
          <w:b/>
          <w:i/>
          <w:lang w:val="en-US"/>
        </w:rPr>
        <w:t xml:space="preserve"> (f</w:t>
      </w:r>
      <w:r>
        <w:rPr>
          <w:b/>
          <w:i/>
          <w:vertAlign w:val="subscript"/>
          <w:lang w:val="en-US"/>
        </w:rPr>
        <w:t>j,5</w:t>
      </w:r>
      <w:r>
        <w:rPr>
          <w:b/>
          <w:i/>
          <w:lang w:val="en-US"/>
        </w:rPr>
        <w:t xml:space="preserve"> × c</w:t>
      </w:r>
      <w:r>
        <w:rPr>
          <w:b/>
          <w:i/>
          <w:vertAlign w:val="subscript"/>
          <w:lang w:val="en-US"/>
        </w:rPr>
        <w:t>j,5</w:t>
      </w:r>
      <w:r>
        <w:rPr>
          <w:b/>
          <w:i/>
          <w:lang w:val="en-US"/>
        </w:rPr>
        <w:t xml:space="preserve"> )  ≈   Σ</w:t>
      </w:r>
      <w:r>
        <w:rPr>
          <w:b/>
          <w:i/>
          <w:vertAlign w:val="subscript"/>
          <w:lang w:val="en-US"/>
        </w:rPr>
        <w:t>k</w:t>
      </w:r>
      <w:r>
        <w:rPr>
          <w:b/>
          <w:i/>
          <w:lang w:val="en-US"/>
        </w:rPr>
        <w:t xml:space="preserve"> (f</w:t>
      </w:r>
      <w:r>
        <w:rPr>
          <w:b/>
          <w:i/>
          <w:vertAlign w:val="subscript"/>
          <w:lang w:val="en-US"/>
        </w:rPr>
        <w:t>k,6</w:t>
      </w:r>
      <w:r>
        <w:rPr>
          <w:b/>
          <w:i/>
          <w:lang w:val="en-US"/>
        </w:rPr>
        <w:t xml:space="preserve"> × c</w:t>
      </w:r>
      <w:r>
        <w:rPr>
          <w:b/>
          <w:i/>
          <w:vertAlign w:val="subscript"/>
          <w:lang w:val="en-US"/>
        </w:rPr>
        <w:t>k,6</w:t>
      </w:r>
      <w:r>
        <w:rPr>
          <w:b/>
          <w:i/>
          <w:lang w:val="en-US"/>
        </w:rPr>
        <w:t xml:space="preserve"> ) ≈   Σ</w:t>
      </w:r>
      <w:r>
        <w:rPr>
          <w:b/>
          <w:i/>
          <w:vertAlign w:val="subscript"/>
          <w:lang w:val="en-US"/>
        </w:rPr>
        <w:t>l</w:t>
      </w:r>
      <w:r>
        <w:rPr>
          <w:b/>
          <w:i/>
          <w:lang w:val="en-US"/>
        </w:rPr>
        <w:t xml:space="preserve"> (f</w:t>
      </w:r>
      <w:r>
        <w:rPr>
          <w:b/>
          <w:i/>
          <w:vertAlign w:val="subscript"/>
          <w:lang w:val="en-US"/>
        </w:rPr>
        <w:t>l,7</w:t>
      </w:r>
      <w:r>
        <w:rPr>
          <w:b/>
          <w:i/>
          <w:lang w:val="en-US"/>
        </w:rPr>
        <w:t xml:space="preserve"> × c</w:t>
      </w:r>
      <w:r>
        <w:rPr>
          <w:b/>
          <w:i/>
          <w:vertAlign w:val="subscript"/>
          <w:lang w:val="en-US"/>
        </w:rPr>
        <w:t>l,7</w:t>
      </w:r>
      <w:r>
        <w:rPr>
          <w:lang w:val="en-US"/>
        </w:rPr>
        <w:t xml:space="preserve"> )</w:t>
      </w:r>
      <w:r>
        <w:rPr>
          <w:lang w:val="en-US"/>
        </w:rPr>
        <w:tab/>
      </w:r>
      <w:r>
        <w:rPr>
          <w:lang w:val="en-US"/>
        </w:rPr>
        <w:tab/>
      </w:r>
      <w:r>
        <w:rPr>
          <w:lang w:val="en-US"/>
        </w:rPr>
        <w:tab/>
      </w:r>
      <w:r>
        <w:rPr>
          <w:lang w:val="en-US"/>
        </w:rPr>
        <w:tab/>
      </w:r>
      <w:r w:rsidR="00B16927">
        <w:rPr>
          <w:lang w:val="en-US"/>
        </w:rPr>
        <w:tab/>
      </w:r>
      <w:r>
        <w:rPr>
          <w:lang w:val="en-US"/>
        </w:rPr>
        <w:tab/>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6</w:t>
      </w:r>
      <w:r w:rsidR="009E768B">
        <w:fldChar w:fldCharType="end"/>
      </w:r>
      <w:r>
        <w:rPr>
          <w:lang w:val="en-US"/>
        </w:rPr>
        <w:t>)</w:t>
      </w:r>
    </w:p>
    <w:p w:rsidR="00F90A26" w:rsidRDefault="00F90A26" w:rsidP="00F90A26">
      <w:pPr>
        <w:rPr>
          <w:lang w:val="en-US"/>
        </w:rPr>
      </w:pPr>
    </w:p>
    <w:p w:rsidR="00F90A26" w:rsidRDefault="00F90A26" w:rsidP="00F90A26">
      <w:pPr>
        <w:rPr>
          <w:lang w:val="en-US"/>
        </w:rPr>
      </w:pPr>
      <w:r>
        <w:rPr>
          <w:lang w:val="en-US"/>
        </w:rPr>
        <w:t>Moreover, as it comes from expression (</w:t>
      </w:r>
      <w:r w:rsidR="009E768B">
        <w:rPr>
          <w:lang w:val="en-US"/>
        </w:rPr>
        <w:fldChar w:fldCharType="begin"/>
      </w:r>
      <w:r w:rsidR="008379B3">
        <w:rPr>
          <w:lang w:val="en-US"/>
        </w:rPr>
        <w:instrText xml:space="preserve"> REF eq1 \h </w:instrText>
      </w:r>
      <w:r w:rsidR="009E768B">
        <w:rPr>
          <w:lang w:val="en-US"/>
        </w:rPr>
      </w:r>
      <w:r w:rsidR="009E768B">
        <w:rPr>
          <w:lang w:val="en-US"/>
        </w:rPr>
        <w:fldChar w:fldCharType="separate"/>
      </w:r>
      <w:r w:rsidR="00B772CA">
        <w:rPr>
          <w:noProof/>
        </w:rPr>
        <w:t>3.10</w:t>
      </w:r>
      <w:r w:rsidR="00B772CA">
        <w:t>.</w:t>
      </w:r>
      <w:r w:rsidR="00B772CA">
        <w:rPr>
          <w:noProof/>
        </w:rPr>
        <w:t>2</w:t>
      </w:r>
      <w:r w:rsidR="009E768B">
        <w:rPr>
          <w:lang w:val="en-US"/>
        </w:rPr>
        <w:fldChar w:fldCharType="end"/>
      </w:r>
      <w:r>
        <w:rPr>
          <w:lang w:val="en-US"/>
        </w:rPr>
        <w:t>) the total risk is the sum of all risks. Therefore, it can be concluded for total risk:</w:t>
      </w:r>
    </w:p>
    <w:p w:rsidR="00F90A26" w:rsidRDefault="00F90A26" w:rsidP="00F90A26">
      <w:pPr>
        <w:rPr>
          <w:lang w:val="en-US"/>
        </w:rPr>
      </w:pPr>
    </w:p>
    <w:p w:rsidR="00F90A26" w:rsidRDefault="00F90A26" w:rsidP="00F90A26">
      <w:pPr>
        <w:rPr>
          <w:i/>
          <w:lang w:val="en-US"/>
        </w:rPr>
      </w:pPr>
      <w:r>
        <w:rPr>
          <w:i/>
          <w:lang w:val="en-US"/>
        </w:rPr>
        <w:tab/>
      </w:r>
      <w:r>
        <w:rPr>
          <w:b/>
          <w:i/>
          <w:lang w:val="en-US"/>
        </w:rPr>
        <w:t>R = sum</w:t>
      </w:r>
      <w:r>
        <w:rPr>
          <w:i/>
          <w:lang w:val="en-US"/>
        </w:rPr>
        <w:t xml:space="preserve"> </w:t>
      </w:r>
      <w:r>
        <w:rPr>
          <w:b/>
          <w:i/>
          <w:lang w:val="en-US"/>
        </w:rPr>
        <w:t>(Σ</w:t>
      </w:r>
      <w:r>
        <w:rPr>
          <w:b/>
          <w:i/>
          <w:vertAlign w:val="subscript"/>
          <w:lang w:val="en-US"/>
        </w:rPr>
        <w:t xml:space="preserve">j </w:t>
      </w:r>
      <w:r>
        <w:rPr>
          <w:b/>
          <w:i/>
          <w:lang w:val="en-US"/>
        </w:rPr>
        <w:t>(f</w:t>
      </w:r>
      <w:r>
        <w:rPr>
          <w:b/>
          <w:i/>
          <w:vertAlign w:val="subscript"/>
          <w:lang w:val="en-US"/>
        </w:rPr>
        <w:t>j,5</w:t>
      </w:r>
      <w:r>
        <w:rPr>
          <w:b/>
          <w:i/>
          <w:lang w:val="en-US"/>
        </w:rPr>
        <w:t xml:space="preserve"> × c</w:t>
      </w:r>
      <w:r>
        <w:rPr>
          <w:b/>
          <w:i/>
          <w:vertAlign w:val="subscript"/>
          <w:lang w:val="en-US"/>
        </w:rPr>
        <w:t>j,5</w:t>
      </w:r>
      <w:r>
        <w:rPr>
          <w:b/>
          <w:i/>
          <w:lang w:val="en-US"/>
        </w:rPr>
        <w:t xml:space="preserve"> ); Σ</w:t>
      </w:r>
      <w:r>
        <w:rPr>
          <w:b/>
          <w:i/>
          <w:vertAlign w:val="subscript"/>
          <w:lang w:val="en-US"/>
        </w:rPr>
        <w:t xml:space="preserve">k </w:t>
      </w:r>
      <w:r>
        <w:rPr>
          <w:b/>
          <w:i/>
          <w:lang w:val="en-US"/>
        </w:rPr>
        <w:t>(f</w:t>
      </w:r>
      <w:r>
        <w:rPr>
          <w:b/>
          <w:i/>
          <w:vertAlign w:val="subscript"/>
          <w:lang w:val="en-US"/>
        </w:rPr>
        <w:t>k,6</w:t>
      </w:r>
      <w:r>
        <w:rPr>
          <w:b/>
          <w:i/>
          <w:lang w:val="en-US"/>
        </w:rPr>
        <w:t xml:space="preserve"> × c</w:t>
      </w:r>
      <w:r>
        <w:rPr>
          <w:b/>
          <w:i/>
          <w:vertAlign w:val="subscript"/>
          <w:lang w:val="en-US"/>
        </w:rPr>
        <w:t>k,6</w:t>
      </w:r>
      <w:r>
        <w:rPr>
          <w:b/>
          <w:i/>
          <w:lang w:val="en-US"/>
        </w:rPr>
        <w:t xml:space="preserve"> ); Σ</w:t>
      </w:r>
      <w:r>
        <w:rPr>
          <w:b/>
          <w:i/>
          <w:vertAlign w:val="subscript"/>
          <w:lang w:val="en-US"/>
        </w:rPr>
        <w:t xml:space="preserve">l </w:t>
      </w:r>
      <w:r>
        <w:rPr>
          <w:b/>
          <w:i/>
          <w:lang w:val="en-US"/>
        </w:rPr>
        <w:t>(f</w:t>
      </w:r>
      <w:r>
        <w:rPr>
          <w:b/>
          <w:i/>
          <w:vertAlign w:val="subscript"/>
          <w:lang w:val="en-US"/>
        </w:rPr>
        <w:t>l,7</w:t>
      </w:r>
      <w:r>
        <w:rPr>
          <w:b/>
          <w:i/>
          <w:lang w:val="en-US"/>
        </w:rPr>
        <w:t xml:space="preserve"> × c</w:t>
      </w:r>
      <w:r>
        <w:rPr>
          <w:b/>
          <w:i/>
          <w:vertAlign w:val="subscript"/>
          <w:lang w:val="en-US"/>
        </w:rPr>
        <w:t>l,7</w:t>
      </w:r>
      <w:r>
        <w:rPr>
          <w:i/>
          <w:lang w:val="en-US"/>
        </w:rPr>
        <w:t xml:space="preserve"> ))</w:t>
      </w:r>
      <w:r>
        <w:rPr>
          <w:i/>
          <w:lang w:val="en-US"/>
        </w:rPr>
        <w:tab/>
      </w:r>
      <w:r>
        <w:rPr>
          <w:i/>
          <w:lang w:val="en-US"/>
        </w:rPr>
        <w:tab/>
      </w:r>
      <w:r>
        <w:rPr>
          <w:i/>
          <w:lang w:val="en-US"/>
        </w:rPr>
        <w:tab/>
      </w:r>
      <w:r w:rsidR="00B16927">
        <w:rPr>
          <w:i/>
          <w:lang w:val="en-US"/>
        </w:rPr>
        <w:tab/>
      </w:r>
      <w:r>
        <w:rPr>
          <w:i/>
          <w:lang w:val="en-US"/>
        </w:rPr>
        <w:tab/>
      </w:r>
      <w:r>
        <w:rPr>
          <w:lang w:val="en-US"/>
        </w:rPr>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7</w:t>
      </w:r>
      <w:r w:rsidR="009E768B">
        <w:fldChar w:fldCharType="end"/>
      </w:r>
      <w:r>
        <w:rPr>
          <w:lang w:val="en-US"/>
        </w:rPr>
        <w:t>)</w:t>
      </w:r>
    </w:p>
    <w:p w:rsidR="00F90A26" w:rsidRDefault="00F90A26" w:rsidP="00F90A26">
      <w:pPr>
        <w:rPr>
          <w:lang w:val="en-US"/>
        </w:rPr>
      </w:pPr>
    </w:p>
    <w:p w:rsidR="00F90A26" w:rsidRDefault="00F90A26" w:rsidP="00F90A26">
      <w:pPr>
        <w:rPr>
          <w:lang w:val="en-US"/>
        </w:rPr>
      </w:pPr>
      <w:r>
        <w:rPr>
          <w:lang w:val="en-US"/>
        </w:rPr>
        <w:t>For the INES group frequencies - based on the PSA L1 event tree principles - it follows that:</w:t>
      </w:r>
    </w:p>
    <w:p w:rsidR="00F90A26" w:rsidRDefault="00F90A26" w:rsidP="00F90A26">
      <w:pPr>
        <w:rPr>
          <w:lang w:val="en-US"/>
        </w:rPr>
      </w:pPr>
    </w:p>
    <w:p w:rsidR="00F90A26" w:rsidRDefault="00F90A26" w:rsidP="00F90A26">
      <w:pPr>
        <w:rPr>
          <w:lang w:val="en-US"/>
        </w:rPr>
      </w:pPr>
      <w:r>
        <w:rPr>
          <w:lang w:val="en-US"/>
        </w:rPr>
        <w:tab/>
      </w:r>
      <w:r>
        <w:rPr>
          <w:b/>
          <w:i/>
          <w:lang w:val="en-US"/>
        </w:rPr>
        <w:t>Σ</w:t>
      </w:r>
      <w:r>
        <w:rPr>
          <w:b/>
          <w:i/>
          <w:vertAlign w:val="subscript"/>
          <w:lang w:val="en-US"/>
        </w:rPr>
        <w:t>j</w:t>
      </w:r>
      <w:r>
        <w:rPr>
          <w:b/>
          <w:i/>
          <w:lang w:val="en-US"/>
        </w:rPr>
        <w:t xml:space="preserve"> f</w:t>
      </w:r>
      <w:r>
        <w:rPr>
          <w:b/>
          <w:i/>
          <w:vertAlign w:val="subscript"/>
          <w:lang w:val="en-US"/>
        </w:rPr>
        <w:t>j,5</w:t>
      </w:r>
      <w:r>
        <w:rPr>
          <w:b/>
          <w:i/>
          <w:lang w:val="en-US"/>
        </w:rPr>
        <w:t xml:space="preserve"> = f</w:t>
      </w:r>
      <w:r>
        <w:rPr>
          <w:b/>
          <w:i/>
          <w:vertAlign w:val="subscript"/>
          <w:lang w:val="en-US"/>
        </w:rPr>
        <w:t>5</w:t>
      </w:r>
      <w:r>
        <w:rPr>
          <w:b/>
          <w:lang w:val="en-US"/>
        </w:rPr>
        <w:t xml:space="preserve"> </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lang w:val="en-US"/>
        </w:rPr>
        <w:tab/>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8</w:t>
      </w:r>
      <w:r w:rsidR="009E768B">
        <w:fldChar w:fldCharType="end"/>
      </w:r>
      <w:r>
        <w:rPr>
          <w:lang w:val="en-US"/>
        </w:rPr>
        <w:t>)</w:t>
      </w:r>
    </w:p>
    <w:p w:rsidR="00F90A26" w:rsidRDefault="00F90A26" w:rsidP="00F90A26">
      <w:pPr>
        <w:rPr>
          <w:lang w:val="en-US"/>
        </w:rPr>
      </w:pPr>
    </w:p>
    <w:p w:rsidR="00F90A26" w:rsidRDefault="00F90A26" w:rsidP="00F90A26">
      <w:pPr>
        <w:rPr>
          <w:lang w:val="en-US"/>
        </w:rPr>
      </w:pPr>
      <w:r>
        <w:rPr>
          <w:lang w:val="en-US"/>
        </w:rPr>
        <w:tab/>
      </w:r>
      <w:r>
        <w:rPr>
          <w:b/>
          <w:i/>
          <w:lang w:val="en-US"/>
        </w:rPr>
        <w:t>Σ</w:t>
      </w:r>
      <w:r>
        <w:rPr>
          <w:b/>
          <w:i/>
          <w:vertAlign w:val="subscript"/>
          <w:lang w:val="en-US"/>
        </w:rPr>
        <w:t>k</w:t>
      </w:r>
      <w:r>
        <w:rPr>
          <w:b/>
          <w:i/>
          <w:lang w:val="en-US"/>
        </w:rPr>
        <w:t xml:space="preserve"> f</w:t>
      </w:r>
      <w:r>
        <w:rPr>
          <w:b/>
          <w:i/>
          <w:vertAlign w:val="subscript"/>
          <w:lang w:val="en-US"/>
        </w:rPr>
        <w:t>k,6</w:t>
      </w:r>
      <w:r>
        <w:rPr>
          <w:b/>
          <w:i/>
          <w:lang w:val="en-US"/>
        </w:rPr>
        <w:t xml:space="preserve"> = f</w:t>
      </w:r>
      <w:r>
        <w:rPr>
          <w:b/>
          <w:i/>
          <w:vertAlign w:val="subscript"/>
          <w:lang w:val="en-US"/>
        </w:rPr>
        <w:t>6</w:t>
      </w:r>
      <w:r>
        <w:rPr>
          <w:b/>
          <w:i/>
          <w:lang w:val="en-US"/>
        </w:rPr>
        <w:t xml:space="preserve"> </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lang w:val="en-US"/>
        </w:rPr>
        <w:tab/>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9</w:t>
      </w:r>
      <w:r w:rsidR="009E768B">
        <w:fldChar w:fldCharType="end"/>
      </w:r>
      <w:r>
        <w:rPr>
          <w:lang w:val="en-US"/>
        </w:rPr>
        <w:t>)</w:t>
      </w:r>
    </w:p>
    <w:p w:rsidR="00F90A26" w:rsidRDefault="00F90A26" w:rsidP="00F90A26">
      <w:pPr>
        <w:rPr>
          <w:lang w:val="en-US"/>
        </w:rPr>
      </w:pPr>
    </w:p>
    <w:p w:rsidR="00F90A26" w:rsidRDefault="00F90A26" w:rsidP="00F90A26">
      <w:pPr>
        <w:rPr>
          <w:lang w:val="en-US"/>
        </w:rPr>
      </w:pPr>
      <w:r>
        <w:rPr>
          <w:lang w:val="en-US"/>
        </w:rPr>
        <w:tab/>
      </w:r>
      <w:r>
        <w:rPr>
          <w:b/>
          <w:i/>
          <w:lang w:val="en-US"/>
        </w:rPr>
        <w:t>Σ</w:t>
      </w:r>
      <w:r>
        <w:rPr>
          <w:b/>
          <w:i/>
          <w:vertAlign w:val="subscript"/>
          <w:lang w:val="en-US"/>
        </w:rPr>
        <w:t>l</w:t>
      </w:r>
      <w:r>
        <w:rPr>
          <w:b/>
          <w:i/>
          <w:lang w:val="en-US"/>
        </w:rPr>
        <w:t xml:space="preserve"> f</w:t>
      </w:r>
      <w:r>
        <w:rPr>
          <w:b/>
          <w:i/>
          <w:vertAlign w:val="subscript"/>
          <w:lang w:val="en-US"/>
        </w:rPr>
        <w:t>l,7</w:t>
      </w:r>
      <w:r>
        <w:rPr>
          <w:b/>
          <w:i/>
          <w:lang w:val="en-US"/>
        </w:rPr>
        <w:t xml:space="preserve"> = f</w:t>
      </w:r>
      <w:r>
        <w:rPr>
          <w:b/>
          <w:i/>
          <w:vertAlign w:val="subscript"/>
          <w:lang w:val="en-US"/>
        </w:rPr>
        <w:t>7</w:t>
      </w:r>
      <w:r>
        <w:rPr>
          <w:b/>
          <w:lang w:val="en-US"/>
        </w:rPr>
        <w:t xml:space="preserve"> </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lang w:val="en-US"/>
        </w:rPr>
        <w:tab/>
        <w:t>(</w:t>
      </w:r>
      <w:bookmarkStart w:id="383" w:name="eq9"/>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10</w:t>
      </w:r>
      <w:r w:rsidR="009E768B">
        <w:fldChar w:fldCharType="end"/>
      </w:r>
      <w:bookmarkEnd w:id="383"/>
      <w:r>
        <w:rPr>
          <w:lang w:val="en-US"/>
        </w:rPr>
        <w:t>)</w:t>
      </w:r>
    </w:p>
    <w:p w:rsidR="00F90A26" w:rsidRDefault="00F90A26" w:rsidP="00F90A26">
      <w:pPr>
        <w:rPr>
          <w:lang w:val="en-US"/>
        </w:rPr>
      </w:pPr>
    </w:p>
    <w:p w:rsidR="00F90A26" w:rsidRDefault="00F90A26" w:rsidP="00F90A26">
      <w:pPr>
        <w:rPr>
          <w:lang w:val="en-US"/>
        </w:rPr>
      </w:pPr>
      <w:r>
        <w:rPr>
          <w:lang w:val="en-US"/>
        </w:rPr>
        <w:tab/>
      </w:r>
      <w:r>
        <w:rPr>
          <w:b/>
          <w:i/>
          <w:lang w:val="en-US"/>
        </w:rPr>
        <w:t>f</w:t>
      </w:r>
      <w:r>
        <w:rPr>
          <w:b/>
          <w:i/>
          <w:vertAlign w:val="subscript"/>
          <w:lang w:val="en-US"/>
        </w:rPr>
        <w:t>5</w:t>
      </w:r>
      <w:r>
        <w:rPr>
          <w:b/>
          <w:i/>
          <w:lang w:val="en-US"/>
        </w:rPr>
        <w:t>+ f</w:t>
      </w:r>
      <w:r>
        <w:rPr>
          <w:b/>
          <w:i/>
          <w:vertAlign w:val="subscript"/>
          <w:lang w:val="en-US"/>
        </w:rPr>
        <w:t>6</w:t>
      </w:r>
      <w:r>
        <w:rPr>
          <w:b/>
          <w:i/>
          <w:lang w:val="en-US"/>
        </w:rPr>
        <w:t xml:space="preserve"> + f</w:t>
      </w:r>
      <w:r>
        <w:rPr>
          <w:b/>
          <w:i/>
          <w:vertAlign w:val="subscript"/>
          <w:lang w:val="en-US"/>
        </w:rPr>
        <w:t>7</w:t>
      </w:r>
      <w:r>
        <w:rPr>
          <w:b/>
          <w:i/>
          <w:lang w:val="en-US"/>
        </w:rPr>
        <w:t xml:space="preserve"> = FDF</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lang w:val="en-US"/>
        </w:rPr>
        <w:tab/>
      </w:r>
      <w:r w:rsidR="00397A35">
        <w:rPr>
          <w:lang w:val="en-US"/>
        </w:rPr>
        <w:tab/>
      </w:r>
      <w:r>
        <w:rPr>
          <w:lang w:val="en-US"/>
        </w:rPr>
        <w:tab/>
        <w:t>(</w:t>
      </w:r>
      <w:bookmarkStart w:id="384" w:name="eq10"/>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11</w:t>
      </w:r>
      <w:r w:rsidR="009E768B">
        <w:fldChar w:fldCharType="end"/>
      </w:r>
      <w:bookmarkEnd w:id="384"/>
      <w:r w:rsidR="00397A35">
        <w:t>)</w:t>
      </w:r>
    </w:p>
    <w:p w:rsidR="00F90A26" w:rsidRDefault="00F90A26" w:rsidP="00F90A26">
      <w:pPr>
        <w:rPr>
          <w:lang w:val="en-US"/>
        </w:rPr>
      </w:pPr>
    </w:p>
    <w:p w:rsidR="00F90A26" w:rsidRDefault="00F90A26" w:rsidP="00F90A26">
      <w:pPr>
        <w:rPr>
          <w:lang w:val="en-US"/>
        </w:rPr>
      </w:pPr>
      <w:r>
        <w:rPr>
          <w:lang w:val="en-US"/>
        </w:rPr>
        <w:t>Based on the above given considerations the total risk can be thus expressed as follows:</w:t>
      </w:r>
    </w:p>
    <w:p w:rsidR="00F90A26" w:rsidRDefault="00F90A26" w:rsidP="00F90A26">
      <w:pPr>
        <w:rPr>
          <w:b/>
          <w:lang w:val="en-US"/>
        </w:rPr>
      </w:pPr>
    </w:p>
    <w:p w:rsidR="00F90A26" w:rsidRDefault="00F90A26" w:rsidP="00F90A26">
      <w:pPr>
        <w:ind w:left="2520" w:hanging="1800"/>
        <w:rPr>
          <w:lang w:val="en-US"/>
        </w:rPr>
      </w:pPr>
      <w:r>
        <w:rPr>
          <w:b/>
          <w:i/>
          <w:lang w:val="en-US"/>
        </w:rPr>
        <w:t>R= f</w:t>
      </w:r>
      <w:r>
        <w:rPr>
          <w:b/>
          <w:i/>
          <w:vertAlign w:val="subscript"/>
          <w:lang w:val="en-US"/>
        </w:rPr>
        <w:t>5</w:t>
      </w:r>
      <w:r>
        <w:rPr>
          <w:b/>
          <w:i/>
          <w:lang w:val="en-US"/>
        </w:rPr>
        <w:t xml:space="preserve"> × c</w:t>
      </w:r>
      <w:r>
        <w:rPr>
          <w:b/>
          <w:i/>
          <w:vertAlign w:val="subscript"/>
          <w:lang w:val="en-US"/>
        </w:rPr>
        <w:t>5</w:t>
      </w:r>
      <w:r>
        <w:rPr>
          <w:b/>
          <w:i/>
          <w:lang w:val="en-US"/>
        </w:rPr>
        <w:t xml:space="preserve"> + f</w:t>
      </w:r>
      <w:r>
        <w:rPr>
          <w:b/>
          <w:i/>
          <w:vertAlign w:val="subscript"/>
          <w:lang w:val="en-US"/>
        </w:rPr>
        <w:t>6</w:t>
      </w:r>
      <w:r>
        <w:rPr>
          <w:b/>
          <w:i/>
          <w:lang w:val="en-US"/>
        </w:rPr>
        <w:t xml:space="preserve"> × c</w:t>
      </w:r>
      <w:r>
        <w:rPr>
          <w:b/>
          <w:i/>
          <w:vertAlign w:val="subscript"/>
          <w:lang w:val="en-US"/>
        </w:rPr>
        <w:t>6</w:t>
      </w:r>
      <w:r>
        <w:rPr>
          <w:b/>
          <w:i/>
          <w:lang w:val="en-US"/>
        </w:rPr>
        <w:t xml:space="preserve"> + f</w:t>
      </w:r>
      <w:r>
        <w:rPr>
          <w:b/>
          <w:i/>
          <w:vertAlign w:val="subscript"/>
          <w:lang w:val="en-US"/>
        </w:rPr>
        <w:t>7</w:t>
      </w:r>
      <w:r>
        <w:rPr>
          <w:b/>
          <w:i/>
          <w:lang w:val="en-US"/>
        </w:rPr>
        <w:t xml:space="preserve"> × c</w:t>
      </w:r>
      <w:r>
        <w:rPr>
          <w:b/>
          <w:i/>
          <w:vertAlign w:val="subscript"/>
          <w:lang w:val="en-US"/>
        </w:rPr>
        <w:t>7</w:t>
      </w:r>
      <w:r>
        <w:rPr>
          <w:b/>
          <w:lang w:val="en-US"/>
        </w:rPr>
        <w:t xml:space="preserve"> </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lang w:val="en-US"/>
        </w:rPr>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12</w:t>
      </w:r>
      <w:r w:rsidR="009E768B">
        <w:fldChar w:fldCharType="end"/>
      </w:r>
      <w:r>
        <w:rPr>
          <w:lang w:val="en-US"/>
        </w:rPr>
        <w:t>)</w:t>
      </w:r>
    </w:p>
    <w:p w:rsidR="00F90A26" w:rsidRDefault="00F90A26" w:rsidP="00F90A26">
      <w:pPr>
        <w:ind w:left="2520" w:hanging="1800"/>
        <w:rPr>
          <w:lang w:val="en-US"/>
        </w:rPr>
      </w:pPr>
    </w:p>
    <w:p w:rsidR="00F90A26" w:rsidRDefault="00F90A26" w:rsidP="00F90A26">
      <w:pPr>
        <w:ind w:left="2520" w:hanging="1800"/>
        <w:rPr>
          <w:lang w:val="en-US"/>
        </w:rPr>
      </w:pPr>
      <w:r>
        <w:rPr>
          <w:lang w:val="en-US"/>
        </w:rPr>
        <w:t>From where - using the expression (</w:t>
      </w:r>
      <w:r w:rsidR="009E768B">
        <w:rPr>
          <w:lang w:val="en-US"/>
        </w:rPr>
        <w:fldChar w:fldCharType="begin"/>
      </w:r>
      <w:r w:rsidR="00397A35">
        <w:rPr>
          <w:lang w:val="en-US"/>
        </w:rPr>
        <w:instrText xml:space="preserve"> REF eq3 \h </w:instrText>
      </w:r>
      <w:r w:rsidR="009E768B">
        <w:rPr>
          <w:lang w:val="en-US"/>
        </w:rPr>
      </w:r>
      <w:r w:rsidR="009E768B">
        <w:rPr>
          <w:lang w:val="en-US"/>
        </w:rPr>
        <w:fldChar w:fldCharType="separate"/>
      </w:r>
      <w:r w:rsidR="00B772CA">
        <w:rPr>
          <w:noProof/>
        </w:rPr>
        <w:t>3.10</w:t>
      </w:r>
      <w:r w:rsidR="00B772CA">
        <w:t>.</w:t>
      </w:r>
      <w:r w:rsidR="00B772CA">
        <w:rPr>
          <w:noProof/>
        </w:rPr>
        <w:t>4</w:t>
      </w:r>
      <w:r w:rsidR="009E768B">
        <w:rPr>
          <w:lang w:val="en-US"/>
        </w:rPr>
        <w:fldChar w:fldCharType="end"/>
      </w:r>
      <w:r>
        <w:rPr>
          <w:lang w:val="en-US"/>
        </w:rPr>
        <w:t>):</w:t>
      </w:r>
    </w:p>
    <w:p w:rsidR="00F90A26" w:rsidRDefault="00F90A26" w:rsidP="00F90A26">
      <w:pPr>
        <w:ind w:left="2520" w:hanging="1800"/>
        <w:rPr>
          <w:lang w:val="en-US"/>
        </w:rPr>
      </w:pPr>
    </w:p>
    <w:p w:rsidR="00F90A26" w:rsidRDefault="00F90A26" w:rsidP="00F90A26">
      <w:pPr>
        <w:ind w:left="2520" w:hanging="1800"/>
        <w:rPr>
          <w:lang w:val="en-US"/>
        </w:rPr>
      </w:pPr>
      <w:r>
        <w:rPr>
          <w:b/>
          <w:i/>
          <w:lang w:val="en-US"/>
        </w:rPr>
        <w:t>R=</w:t>
      </w:r>
      <w:r>
        <w:rPr>
          <w:i/>
          <w:lang w:val="en-US"/>
        </w:rPr>
        <w:t xml:space="preserve"> </w:t>
      </w:r>
      <w:r>
        <w:rPr>
          <w:b/>
          <w:i/>
          <w:lang w:val="en-US"/>
        </w:rPr>
        <w:t>f</w:t>
      </w:r>
      <w:r>
        <w:rPr>
          <w:b/>
          <w:i/>
          <w:vertAlign w:val="subscript"/>
          <w:lang w:val="en-US"/>
        </w:rPr>
        <w:t>5</w:t>
      </w:r>
      <w:r>
        <w:rPr>
          <w:b/>
          <w:i/>
          <w:lang w:val="en-US"/>
        </w:rPr>
        <w:t xml:space="preserve"> × c</w:t>
      </w:r>
      <w:r>
        <w:rPr>
          <w:b/>
          <w:i/>
          <w:vertAlign w:val="subscript"/>
          <w:lang w:val="en-US"/>
        </w:rPr>
        <w:t>5</w:t>
      </w:r>
      <w:r>
        <w:rPr>
          <w:b/>
          <w:i/>
          <w:lang w:val="en-US"/>
        </w:rPr>
        <w:t xml:space="preserve"> + f</w:t>
      </w:r>
      <w:r>
        <w:rPr>
          <w:b/>
          <w:i/>
          <w:vertAlign w:val="subscript"/>
          <w:lang w:val="en-US"/>
        </w:rPr>
        <w:t>6</w:t>
      </w:r>
      <w:r>
        <w:rPr>
          <w:b/>
          <w:i/>
          <w:lang w:val="en-US"/>
        </w:rPr>
        <w:t xml:space="preserve"> × 10 × c</w:t>
      </w:r>
      <w:r>
        <w:rPr>
          <w:b/>
          <w:i/>
          <w:vertAlign w:val="subscript"/>
          <w:lang w:val="en-US"/>
        </w:rPr>
        <w:t>5</w:t>
      </w:r>
      <w:r>
        <w:rPr>
          <w:b/>
          <w:i/>
          <w:lang w:val="en-US"/>
        </w:rPr>
        <w:t xml:space="preserve"> + f</w:t>
      </w:r>
      <w:r>
        <w:rPr>
          <w:b/>
          <w:i/>
          <w:vertAlign w:val="subscript"/>
          <w:lang w:val="en-US"/>
        </w:rPr>
        <w:t>7</w:t>
      </w:r>
      <w:r>
        <w:rPr>
          <w:b/>
          <w:i/>
          <w:lang w:val="en-US"/>
        </w:rPr>
        <w:t xml:space="preserve"> × 100 × c</w:t>
      </w:r>
      <w:r>
        <w:rPr>
          <w:b/>
          <w:i/>
          <w:vertAlign w:val="subscript"/>
          <w:lang w:val="en-US"/>
        </w:rPr>
        <w:t>5</w:t>
      </w:r>
      <w:r>
        <w:rPr>
          <w:lang w:val="en-US"/>
        </w:rPr>
        <w:tab/>
      </w:r>
      <w:r>
        <w:rPr>
          <w:lang w:val="en-US"/>
        </w:rPr>
        <w:tab/>
      </w:r>
      <w:r>
        <w:rPr>
          <w:lang w:val="en-US"/>
        </w:rPr>
        <w:tab/>
      </w:r>
      <w:r>
        <w:rPr>
          <w:lang w:val="en-US"/>
        </w:rPr>
        <w:tab/>
      </w:r>
      <w:r w:rsidR="00B16927">
        <w:rPr>
          <w:lang w:val="en-US"/>
        </w:rPr>
        <w:tab/>
      </w:r>
      <w:r>
        <w:rPr>
          <w:lang w:val="en-US"/>
        </w:rPr>
        <w:tab/>
      </w:r>
      <w:r>
        <w:rPr>
          <w:lang w:val="en-US"/>
        </w:rPr>
        <w:tab/>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13</w:t>
      </w:r>
      <w:r w:rsidR="009E768B">
        <w:fldChar w:fldCharType="end"/>
      </w:r>
      <w:r>
        <w:rPr>
          <w:lang w:val="en-US"/>
        </w:rPr>
        <w:t>)</w:t>
      </w:r>
    </w:p>
    <w:p w:rsidR="00F90A26" w:rsidRDefault="00F90A26" w:rsidP="00F90A26">
      <w:pPr>
        <w:ind w:left="2520" w:hanging="1800"/>
        <w:rPr>
          <w:lang w:val="en-US"/>
        </w:rPr>
      </w:pPr>
    </w:p>
    <w:p w:rsidR="00F90A26" w:rsidRDefault="00F90A26" w:rsidP="00F90A26">
      <w:pPr>
        <w:ind w:left="2520" w:hanging="1800"/>
        <w:rPr>
          <w:lang w:val="en-US"/>
        </w:rPr>
      </w:pPr>
      <w:r>
        <w:rPr>
          <w:b/>
          <w:i/>
          <w:lang w:val="en-US"/>
        </w:rPr>
        <w:t>R= c</w:t>
      </w:r>
      <w:r>
        <w:rPr>
          <w:b/>
          <w:i/>
          <w:vertAlign w:val="subscript"/>
          <w:lang w:val="en-US"/>
        </w:rPr>
        <w:t>5</w:t>
      </w:r>
      <w:r>
        <w:rPr>
          <w:b/>
          <w:i/>
          <w:lang w:val="en-US"/>
        </w:rPr>
        <w:t xml:space="preserve"> × (f</w:t>
      </w:r>
      <w:r>
        <w:rPr>
          <w:b/>
          <w:i/>
          <w:vertAlign w:val="subscript"/>
          <w:lang w:val="en-US"/>
        </w:rPr>
        <w:t>5</w:t>
      </w:r>
      <w:r>
        <w:rPr>
          <w:b/>
          <w:i/>
          <w:lang w:val="en-US"/>
        </w:rPr>
        <w:t xml:space="preserve"> + 10 × f</w:t>
      </w:r>
      <w:r>
        <w:rPr>
          <w:b/>
          <w:i/>
          <w:vertAlign w:val="subscript"/>
          <w:lang w:val="en-US"/>
        </w:rPr>
        <w:t>6</w:t>
      </w:r>
      <w:r>
        <w:rPr>
          <w:b/>
          <w:i/>
          <w:lang w:val="en-US"/>
        </w:rPr>
        <w:t xml:space="preserve"> + 100 × f</w:t>
      </w:r>
      <w:r>
        <w:rPr>
          <w:b/>
          <w:i/>
          <w:vertAlign w:val="subscript"/>
          <w:lang w:val="en-US"/>
        </w:rPr>
        <w:t>7</w:t>
      </w:r>
      <w:r>
        <w:rPr>
          <w:b/>
          <w:i/>
          <w:lang w:val="en-US"/>
        </w:rPr>
        <w:t xml:space="preserve"> )</w:t>
      </w:r>
      <w:r>
        <w:rPr>
          <w:b/>
          <w:lang w:val="en-US"/>
        </w:rPr>
        <w:tab/>
      </w:r>
      <w:r>
        <w:rPr>
          <w:lang w:val="en-US"/>
        </w:rPr>
        <w:tab/>
      </w:r>
      <w:r>
        <w:rPr>
          <w:lang w:val="en-US"/>
        </w:rPr>
        <w:tab/>
      </w:r>
      <w:r>
        <w:rPr>
          <w:lang w:val="en-US"/>
        </w:rPr>
        <w:tab/>
      </w:r>
      <w:r>
        <w:rPr>
          <w:lang w:val="en-US"/>
        </w:rPr>
        <w:tab/>
      </w:r>
      <w:r w:rsidR="00B16927">
        <w:rPr>
          <w:lang w:val="en-US"/>
        </w:rPr>
        <w:tab/>
      </w:r>
      <w:r>
        <w:rPr>
          <w:lang w:val="en-US"/>
        </w:rPr>
        <w:tab/>
      </w:r>
      <w:r>
        <w:rPr>
          <w:lang w:val="en-US"/>
        </w:rPr>
        <w:tab/>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14</w:t>
      </w:r>
      <w:r w:rsidR="009E768B">
        <w:fldChar w:fldCharType="end"/>
      </w:r>
      <w:r>
        <w:rPr>
          <w:lang w:val="en-US"/>
        </w:rPr>
        <w:t>)</w:t>
      </w:r>
    </w:p>
    <w:p w:rsidR="00F90A26" w:rsidRDefault="00F90A26" w:rsidP="00F90A26">
      <w:pPr>
        <w:ind w:left="2520" w:hanging="1800"/>
        <w:rPr>
          <w:lang w:val="en-US"/>
        </w:rPr>
      </w:pPr>
    </w:p>
    <w:p w:rsidR="00F90A26" w:rsidRDefault="00F90A26" w:rsidP="00F90A26">
      <w:pPr>
        <w:ind w:left="2520" w:hanging="2520"/>
        <w:rPr>
          <w:lang w:val="en-US"/>
        </w:rPr>
      </w:pPr>
      <w:r>
        <w:rPr>
          <w:lang w:val="en-US"/>
        </w:rPr>
        <w:lastRenderedPageBreak/>
        <w:t>And using the expression (</w:t>
      </w:r>
      <w:r w:rsidR="009E768B">
        <w:rPr>
          <w:lang w:val="en-US"/>
        </w:rPr>
        <w:fldChar w:fldCharType="begin"/>
      </w:r>
      <w:r w:rsidR="00697F40">
        <w:rPr>
          <w:lang w:val="en-US"/>
        </w:rPr>
        <w:instrText xml:space="preserve"> REF eq10 \h </w:instrText>
      </w:r>
      <w:r w:rsidR="009E768B">
        <w:rPr>
          <w:lang w:val="en-US"/>
        </w:rPr>
      </w:r>
      <w:r w:rsidR="009E768B">
        <w:rPr>
          <w:lang w:val="en-US"/>
        </w:rPr>
        <w:fldChar w:fldCharType="separate"/>
      </w:r>
      <w:r w:rsidR="00B772CA">
        <w:rPr>
          <w:noProof/>
        </w:rPr>
        <w:t>3.10</w:t>
      </w:r>
      <w:r w:rsidR="00B772CA">
        <w:t>.</w:t>
      </w:r>
      <w:r w:rsidR="00B772CA">
        <w:rPr>
          <w:noProof/>
        </w:rPr>
        <w:t>11</w:t>
      </w:r>
      <w:r w:rsidR="009E768B">
        <w:rPr>
          <w:lang w:val="en-US"/>
        </w:rPr>
        <w:fldChar w:fldCharType="end"/>
      </w:r>
      <w:r>
        <w:rPr>
          <w:lang w:val="en-US"/>
        </w:rPr>
        <w:t>) with simple rounding for risk in approximation it follows:</w:t>
      </w:r>
    </w:p>
    <w:p w:rsidR="00F90A26" w:rsidRDefault="00F90A26" w:rsidP="00F90A26">
      <w:pPr>
        <w:ind w:left="2520" w:hanging="1800"/>
        <w:rPr>
          <w:lang w:val="en-US"/>
        </w:rPr>
      </w:pPr>
    </w:p>
    <w:p w:rsidR="00F90A26" w:rsidRDefault="00F90A26" w:rsidP="00F90A26">
      <w:pPr>
        <w:ind w:firstLine="708"/>
        <w:rPr>
          <w:lang w:val="en-US"/>
        </w:rPr>
      </w:pPr>
      <w:r>
        <w:rPr>
          <w:b/>
          <w:i/>
          <w:lang w:val="en-US"/>
        </w:rPr>
        <w:t>R = c</w:t>
      </w:r>
      <w:r>
        <w:rPr>
          <w:b/>
          <w:i/>
          <w:vertAlign w:val="subscript"/>
          <w:lang w:val="en-US"/>
        </w:rPr>
        <w:t>5</w:t>
      </w:r>
      <w:r>
        <w:rPr>
          <w:b/>
          <w:i/>
          <w:lang w:val="en-US"/>
        </w:rPr>
        <w:t xml:space="preserve"> × FDF</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lang w:val="en-US"/>
        </w:rPr>
        <w:tab/>
        <w:t>(</w:t>
      </w:r>
      <w:bookmarkStart w:id="385" w:name="eq14"/>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15</w:t>
      </w:r>
      <w:r w:rsidR="009E768B">
        <w:fldChar w:fldCharType="end"/>
      </w:r>
      <w:bookmarkEnd w:id="385"/>
      <w:r>
        <w:rPr>
          <w:lang w:val="en-US"/>
        </w:rPr>
        <w:t>)</w:t>
      </w:r>
    </w:p>
    <w:p w:rsidR="00F90A26" w:rsidRDefault="00F90A26" w:rsidP="00F90A26">
      <w:pPr>
        <w:rPr>
          <w:lang w:val="en-US"/>
        </w:rPr>
      </w:pPr>
    </w:p>
    <w:p w:rsidR="00F90A26" w:rsidRDefault="00F90A26" w:rsidP="00F90A26">
      <w:pPr>
        <w:rPr>
          <w:lang w:val="en-US"/>
        </w:rPr>
      </w:pPr>
      <w:r>
        <w:rPr>
          <w:lang w:val="en-US"/>
        </w:rPr>
        <w:t xml:space="preserve">To be conservative and comply with the 3 IAEA-INSAG objectives </w:t>
      </w:r>
      <w:r w:rsidR="009E768B">
        <w:rPr>
          <w:lang w:val="en-US"/>
        </w:rPr>
        <w:fldChar w:fldCharType="begin"/>
      </w:r>
      <w:r w:rsidR="00697F40">
        <w:rPr>
          <w:lang w:val="en-US"/>
        </w:rPr>
        <w:instrText xml:space="preserve"> REF _Ref467700854 \w \h </w:instrText>
      </w:r>
      <w:r w:rsidR="009E768B">
        <w:rPr>
          <w:lang w:val="en-US"/>
        </w:rPr>
      </w:r>
      <w:r w:rsidR="009E768B">
        <w:rPr>
          <w:lang w:val="en-US"/>
        </w:rPr>
        <w:fldChar w:fldCharType="separate"/>
      </w:r>
      <w:r w:rsidR="00B772CA">
        <w:rPr>
          <w:lang w:val="en-US"/>
        </w:rPr>
        <w:t>[121]</w:t>
      </w:r>
      <w:r w:rsidR="009E768B">
        <w:rPr>
          <w:lang w:val="en-US"/>
        </w:rPr>
        <w:fldChar w:fldCharType="end"/>
      </w:r>
      <w:r>
        <w:rPr>
          <w:lang w:val="en-US"/>
        </w:rPr>
        <w:t xml:space="preserve"> with requirement of minimum releases and high confidence limit of FDF it can be then concluded that the final expression for Common Risk Target should be:</w:t>
      </w:r>
    </w:p>
    <w:p w:rsidR="00F90A26" w:rsidRDefault="00F90A26" w:rsidP="00F90A26">
      <w:pPr>
        <w:rPr>
          <w:b/>
          <w:lang w:val="en-US"/>
        </w:rPr>
      </w:pPr>
    </w:p>
    <w:p w:rsidR="00F90A26" w:rsidRDefault="00F90A26" w:rsidP="00F90A26">
      <w:pPr>
        <w:rPr>
          <w:b/>
          <w:lang w:val="en-US"/>
        </w:rPr>
      </w:pPr>
      <w:r>
        <w:rPr>
          <w:b/>
          <w:lang w:val="en-US"/>
        </w:rPr>
        <w:tab/>
      </w:r>
      <w:r>
        <w:rPr>
          <w:b/>
          <w:i/>
          <w:lang w:val="en-US"/>
        </w:rPr>
        <w:t xml:space="preserve">CRT = </w:t>
      </w:r>
      <w:r w:rsidR="001006B9">
        <w:rPr>
          <w:b/>
          <w:i/>
          <w:lang w:val="en-US"/>
        </w:rPr>
        <w:t>C</w:t>
      </w:r>
      <w:r>
        <w:rPr>
          <w:b/>
          <w:i/>
          <w:vertAlign w:val="subscript"/>
          <w:lang w:val="en-US"/>
        </w:rPr>
        <w:t>INES5low</w:t>
      </w:r>
      <w:r>
        <w:rPr>
          <w:b/>
          <w:i/>
          <w:lang w:val="en-US"/>
        </w:rPr>
        <w:t xml:space="preserve"> × FDF</w:t>
      </w:r>
      <w:r>
        <w:rPr>
          <w:b/>
          <w:i/>
          <w:vertAlign w:val="subscript"/>
          <w:lang w:val="en-US"/>
        </w:rPr>
        <w:t>max</w:t>
      </w:r>
      <w:r>
        <w:rPr>
          <w:b/>
          <w:lang w:val="en-US"/>
        </w:rPr>
        <w:t xml:space="preserve">  </w:t>
      </w:r>
      <w:r>
        <w:rPr>
          <w:b/>
          <w:lang w:val="en-US"/>
        </w:rPr>
        <w:tab/>
      </w:r>
      <w:r>
        <w:rPr>
          <w:lang w:val="en-US"/>
        </w:rPr>
        <w:tab/>
      </w:r>
      <w:r>
        <w:rPr>
          <w:lang w:val="en-US"/>
        </w:rPr>
        <w:tab/>
      </w:r>
      <w:r>
        <w:rPr>
          <w:lang w:val="en-US"/>
        </w:rPr>
        <w:tab/>
      </w:r>
      <w:r>
        <w:rPr>
          <w:lang w:val="en-US"/>
        </w:rPr>
        <w:tab/>
      </w:r>
      <w:r>
        <w:rPr>
          <w:lang w:val="en-US"/>
        </w:rPr>
        <w:tab/>
      </w:r>
      <w:r>
        <w:rPr>
          <w:lang w:val="en-US"/>
        </w:rPr>
        <w:tab/>
      </w:r>
      <w:r w:rsidR="00397A35">
        <w:rPr>
          <w:lang w:val="en-US"/>
        </w:rPr>
        <w:tab/>
      </w:r>
      <w:r>
        <w:rPr>
          <w:lang w:val="en-US"/>
        </w:rPr>
        <w:tab/>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16</w:t>
      </w:r>
      <w:r w:rsidR="009E768B">
        <w:fldChar w:fldCharType="end"/>
      </w:r>
      <w:r>
        <w:rPr>
          <w:lang w:val="en-US"/>
        </w:rPr>
        <w:t>)</w:t>
      </w:r>
    </w:p>
    <w:p w:rsidR="00F90A26" w:rsidRDefault="00F90A26" w:rsidP="00F90A26">
      <w:pPr>
        <w:rPr>
          <w:lang w:val="en-US"/>
        </w:rPr>
      </w:pPr>
    </w:p>
    <w:p w:rsidR="00F90A26" w:rsidRDefault="00F90A26" w:rsidP="00F90A26">
      <w:pPr>
        <w:rPr>
          <w:lang w:val="en-US"/>
        </w:rPr>
      </w:pPr>
      <w:r>
        <w:rPr>
          <w:lang w:val="en-US"/>
        </w:rPr>
        <w:t>where</w:t>
      </w:r>
    </w:p>
    <w:p w:rsidR="00F90A26" w:rsidRDefault="00F90A26" w:rsidP="00F90A26">
      <w:pPr>
        <w:ind w:left="567" w:hanging="567"/>
        <w:rPr>
          <w:lang w:val="en-US"/>
        </w:rPr>
      </w:pPr>
      <w:r>
        <w:rPr>
          <w:b/>
          <w:i/>
          <w:lang w:val="en-US"/>
        </w:rPr>
        <w:t>CRT</w:t>
      </w:r>
      <w:r>
        <w:rPr>
          <w:lang w:val="en-US"/>
        </w:rPr>
        <w:t xml:space="preserve"> is the Common Risk Target with no significant contribution to already accepted other industrial risks</w:t>
      </w:r>
    </w:p>
    <w:p w:rsidR="00F90A26" w:rsidRDefault="001006B9" w:rsidP="00F90A26">
      <w:pPr>
        <w:ind w:left="567" w:hanging="567"/>
        <w:rPr>
          <w:lang w:val="en-US"/>
        </w:rPr>
      </w:pPr>
      <w:r>
        <w:rPr>
          <w:b/>
          <w:i/>
          <w:lang w:val="en-US"/>
        </w:rPr>
        <w:t>C</w:t>
      </w:r>
      <w:r w:rsidR="00F90A26">
        <w:rPr>
          <w:b/>
          <w:i/>
          <w:vertAlign w:val="subscript"/>
          <w:lang w:val="en-US"/>
        </w:rPr>
        <w:t>INES5low</w:t>
      </w:r>
      <w:r w:rsidR="00F90A26">
        <w:rPr>
          <w:lang w:val="en-US"/>
        </w:rPr>
        <w:t xml:space="preserve"> corresponds to </w:t>
      </w:r>
      <w:r w:rsidR="00F90A26">
        <w:rPr>
          <w:b/>
          <w:lang w:val="en-US"/>
        </w:rPr>
        <w:t>INES5 lower level of releases</w:t>
      </w:r>
      <w:r w:rsidR="00F90A26">
        <w:rPr>
          <w:lang w:val="en-US"/>
        </w:rPr>
        <w:t xml:space="preserve"> corresponding to 200 TBq I-131 equivalent</w:t>
      </w:r>
    </w:p>
    <w:p w:rsidR="00F90A26" w:rsidRDefault="00F90A26" w:rsidP="00F90A26">
      <w:pPr>
        <w:ind w:left="567" w:hanging="567"/>
        <w:rPr>
          <w:lang w:val="en-US"/>
        </w:rPr>
      </w:pPr>
      <w:r>
        <w:rPr>
          <w:b/>
          <w:i/>
          <w:lang w:val="en-US"/>
        </w:rPr>
        <w:t>FDF</w:t>
      </w:r>
      <w:r>
        <w:rPr>
          <w:b/>
          <w:i/>
          <w:vertAlign w:val="subscript"/>
          <w:lang w:val="en-US"/>
        </w:rPr>
        <w:t>max</w:t>
      </w:r>
      <w:r>
        <w:rPr>
          <w:lang w:val="en-US"/>
        </w:rPr>
        <w:t xml:space="preserve"> is individual Fuel Damage Frequency maximum of a single unit per reactor year corresponding to a high level confidence safety limit of risk with no significant contribution to already accepted other industrial risks</w:t>
      </w:r>
    </w:p>
    <w:p w:rsidR="00F90A26" w:rsidRDefault="00F90A26" w:rsidP="00F90A26">
      <w:pPr>
        <w:rPr>
          <w:lang w:val="en-US"/>
        </w:rPr>
      </w:pPr>
    </w:p>
    <w:p w:rsidR="00F90A26" w:rsidRDefault="00F90A26" w:rsidP="00F90A26">
      <w:pPr>
        <w:rPr>
          <w:lang w:val="en-US"/>
        </w:rPr>
      </w:pPr>
      <w:r>
        <w:rPr>
          <w:lang w:val="en-US"/>
        </w:rPr>
        <w:t>Substituting INES5 lower level, the expression (</w:t>
      </w:r>
      <w:r w:rsidR="009E768B">
        <w:rPr>
          <w:lang w:val="en-US"/>
        </w:rPr>
        <w:fldChar w:fldCharType="begin"/>
      </w:r>
      <w:r w:rsidR="00697F40">
        <w:rPr>
          <w:lang w:val="en-US"/>
        </w:rPr>
        <w:instrText xml:space="preserve"> REF eq14 \h </w:instrText>
      </w:r>
      <w:r w:rsidR="009E768B">
        <w:rPr>
          <w:lang w:val="en-US"/>
        </w:rPr>
      </w:r>
      <w:r w:rsidR="009E768B">
        <w:rPr>
          <w:lang w:val="en-US"/>
        </w:rPr>
        <w:fldChar w:fldCharType="separate"/>
      </w:r>
      <w:r w:rsidR="00B772CA">
        <w:rPr>
          <w:noProof/>
        </w:rPr>
        <w:t>3.10</w:t>
      </w:r>
      <w:r w:rsidR="00B772CA">
        <w:t>.</w:t>
      </w:r>
      <w:r w:rsidR="00B772CA">
        <w:rPr>
          <w:noProof/>
        </w:rPr>
        <w:t>15</w:t>
      </w:r>
      <w:r w:rsidR="009E768B">
        <w:rPr>
          <w:lang w:val="en-US"/>
        </w:rPr>
        <w:fldChar w:fldCharType="end"/>
      </w:r>
      <w:r>
        <w:rPr>
          <w:lang w:val="en-US"/>
        </w:rPr>
        <w:t>) for Individual Common Risk Target (ICRT) of single unit on the site is derived:</w:t>
      </w:r>
    </w:p>
    <w:p w:rsidR="00F90A26" w:rsidRDefault="00F90A26" w:rsidP="00F90A26">
      <w:pPr>
        <w:rPr>
          <w:lang w:val="en-US"/>
        </w:rPr>
      </w:pPr>
    </w:p>
    <w:p w:rsidR="00F90A26" w:rsidRDefault="00F90A26" w:rsidP="00F90A26">
      <w:pPr>
        <w:jc w:val="center"/>
        <w:rPr>
          <w:lang w:val="en-US"/>
        </w:rPr>
      </w:pPr>
      <w:r>
        <w:rPr>
          <w:b/>
          <w:i/>
          <w:bdr w:val="single" w:sz="4" w:space="0" w:color="auto" w:frame="1"/>
          <w:lang w:val="en-US"/>
        </w:rPr>
        <w:t>ICRT = 200 × FDF</w:t>
      </w:r>
      <w:r>
        <w:rPr>
          <w:b/>
          <w:i/>
          <w:bdr w:val="single" w:sz="4" w:space="0" w:color="auto" w:frame="1"/>
          <w:vertAlign w:val="subscript"/>
          <w:lang w:val="en-US"/>
        </w:rPr>
        <w:t>max</w:t>
      </w:r>
      <w:r>
        <w:rPr>
          <w:b/>
          <w:i/>
          <w:bdr w:val="single" w:sz="4" w:space="0" w:color="auto" w:frame="1"/>
          <w:lang w:val="en-US"/>
        </w:rPr>
        <w:t xml:space="preserve"> TBq of I-131</w:t>
      </w:r>
      <w:r>
        <w:rPr>
          <w:b/>
          <w:i/>
          <w:bdr w:val="single" w:sz="4" w:space="0" w:color="auto" w:frame="1"/>
          <w:vertAlign w:val="subscript"/>
          <w:lang w:val="en-US"/>
        </w:rPr>
        <w:t xml:space="preserve"> equivalent</w:t>
      </w:r>
      <w:r>
        <w:rPr>
          <w:b/>
          <w:bdr w:val="single" w:sz="4" w:space="0" w:color="auto" w:frame="1"/>
          <w:lang w:val="en-US"/>
        </w:rPr>
        <w:t xml:space="preserve"> *</w:t>
      </w:r>
      <w:r>
        <w:rPr>
          <w:lang w:val="en-US"/>
        </w:rPr>
        <w:tab/>
      </w:r>
      <w:r>
        <w:rPr>
          <w:lang w:val="en-US"/>
        </w:rPr>
        <w:tab/>
      </w:r>
      <w:r>
        <w:rPr>
          <w:lang w:val="en-US"/>
        </w:rPr>
        <w:tab/>
      </w:r>
      <w:r>
        <w:rPr>
          <w:lang w:val="en-US"/>
        </w:rPr>
        <w:tab/>
      </w:r>
      <w:r w:rsidR="00B16927">
        <w:rPr>
          <w:lang w:val="en-US"/>
        </w:rPr>
        <w:tab/>
      </w:r>
      <w:r>
        <w:rPr>
          <w:lang w:val="en-US"/>
        </w:rPr>
        <w:tab/>
        <w:t>(</w:t>
      </w:r>
      <w:r w:rsidR="009E768B">
        <w:fldChar w:fldCharType="begin"/>
      </w:r>
      <w:r w:rsidR="00397A35">
        <w:instrText xml:space="preserve"> STYLEREF 2 \s </w:instrText>
      </w:r>
      <w:r w:rsidR="009E768B">
        <w:fldChar w:fldCharType="separate"/>
      </w:r>
      <w:r w:rsidR="00B772CA">
        <w:rPr>
          <w:noProof/>
        </w:rPr>
        <w:t>3.10</w:t>
      </w:r>
      <w:r w:rsidR="009E768B">
        <w:fldChar w:fldCharType="end"/>
      </w:r>
      <w:r w:rsidR="00397A35">
        <w:t>.</w:t>
      </w:r>
      <w:r w:rsidR="009E768B">
        <w:fldChar w:fldCharType="begin"/>
      </w:r>
      <w:r w:rsidR="00397A35">
        <w:instrText xml:space="preserve"> SEQ Equation \* ARABIC \s 2 </w:instrText>
      </w:r>
      <w:r w:rsidR="009E768B">
        <w:fldChar w:fldCharType="separate"/>
      </w:r>
      <w:r w:rsidR="00B772CA">
        <w:rPr>
          <w:noProof/>
        </w:rPr>
        <w:t>17</w:t>
      </w:r>
      <w:r w:rsidR="009E768B">
        <w:fldChar w:fldCharType="end"/>
      </w:r>
      <w:r>
        <w:rPr>
          <w:lang w:val="en-US"/>
        </w:rPr>
        <w:t>)</w:t>
      </w:r>
    </w:p>
    <w:p w:rsidR="00F90A26" w:rsidRDefault="00F90A26" w:rsidP="00F90A26">
      <w:pPr>
        <w:jc w:val="center"/>
        <w:rPr>
          <w:b/>
          <w:bdr w:val="single" w:sz="4" w:space="0" w:color="auto" w:frame="1"/>
          <w:lang w:val="en-US"/>
        </w:rPr>
      </w:pPr>
    </w:p>
    <w:p w:rsidR="00F90A26" w:rsidRDefault="00F90A26" w:rsidP="00F90A26">
      <w:pPr>
        <w:rPr>
          <w:lang w:val="en-US"/>
        </w:rPr>
      </w:pPr>
      <w:r>
        <w:rPr>
          <w:lang w:val="en-US"/>
        </w:rPr>
        <w:t>*We should keep in mind that when referring to I-131 equivalent we are addressing ALL radionuclides and instead of I-131 equivalent any radionuclide might be used.</w:t>
      </w:r>
      <w:r w:rsidR="0048264C">
        <w:rPr>
          <w:lang w:val="en-US"/>
        </w:rPr>
        <w:t xml:space="preserve"> Nevertheless, for transparency reasons in terms of preserving the link to INES grades, I</w:t>
      </w:r>
      <w:r w:rsidR="00984D08">
        <w:rPr>
          <w:lang w:val="en-US"/>
        </w:rPr>
        <w:t>-</w:t>
      </w:r>
      <w:r w:rsidR="0048264C">
        <w:rPr>
          <w:lang w:val="en-US"/>
        </w:rPr>
        <w:t>131 equivalent seems to be the most appropriate.</w:t>
      </w:r>
    </w:p>
    <w:p w:rsidR="00F90A26" w:rsidRDefault="00F90A26" w:rsidP="00F90A26">
      <w:pPr>
        <w:pStyle w:val="NormalWeb"/>
        <w:spacing w:before="0" w:beforeAutospacing="0" w:after="0" w:afterAutospacing="0"/>
        <w:jc w:val="both"/>
        <w:rPr>
          <w:sz w:val="22"/>
          <w:szCs w:val="22"/>
          <w:lang w:val="en-US"/>
        </w:rPr>
      </w:pPr>
    </w:p>
    <w:p w:rsidR="00F90A26" w:rsidRDefault="00F90A26" w:rsidP="00F90A26">
      <w:pPr>
        <w:rPr>
          <w:sz w:val="22"/>
          <w:szCs w:val="22"/>
          <w:lang w:val="en-US"/>
        </w:rPr>
      </w:pPr>
      <w:r>
        <w:rPr>
          <w:lang w:val="en-US"/>
        </w:rPr>
        <w:t xml:space="preserve">One of the deficiencies in the currently used approach trying to </w:t>
      </w:r>
      <w:r w:rsidR="00500359">
        <w:rPr>
          <w:lang w:val="en-US"/>
        </w:rPr>
        <w:t>address</w:t>
      </w:r>
      <w:r>
        <w:rPr>
          <w:lang w:val="en-US"/>
        </w:rPr>
        <w:t xml:space="preserve"> the problem of the nuclear safety or risk from the operation of NPPs is the fact that currently used limits do not consider higher number of units on a site, and thus the assessment of potential risk of the whole nuclear installation may be underestimated. To comply with the requirement of no significant contribution to the risk from other industrial activities the total risk of the site should be evaluated, because the whole installation contributes to the risk influencing the vicinity or farther areas around the site, and not only a single unit. A good example is again Fukushima disaster, where common cause failure of four units out of six occurred.</w:t>
      </w:r>
    </w:p>
    <w:p w:rsidR="00F90A26" w:rsidRDefault="00F90A26" w:rsidP="00F90A26">
      <w:pPr>
        <w:rPr>
          <w:lang w:val="en-US"/>
        </w:rPr>
      </w:pPr>
      <w:r>
        <w:rPr>
          <w:lang w:val="en-US"/>
        </w:rPr>
        <w:t>Therefore, the total universal common risk target - still keeping in mind the requirement of the constant total risk – is expressed as follows:</w:t>
      </w:r>
    </w:p>
    <w:p w:rsidR="00F90A26" w:rsidRDefault="00F90A26" w:rsidP="00F90A26">
      <w:pPr>
        <w:rPr>
          <w:lang w:val="en-US"/>
        </w:rPr>
      </w:pPr>
    </w:p>
    <w:p w:rsidR="00F90A26" w:rsidRDefault="00F90A26" w:rsidP="00F90A26">
      <w:pPr>
        <w:rPr>
          <w:b/>
          <w:lang w:val="en-US"/>
        </w:rPr>
      </w:pPr>
      <w:r>
        <w:rPr>
          <w:lang w:val="en-US"/>
        </w:rPr>
        <w:tab/>
      </w:r>
      <w:r w:rsidRPr="00DD341D">
        <w:rPr>
          <w:b/>
          <w:i/>
          <w:bdr w:val="single" w:sz="4" w:space="0" w:color="auto" w:frame="1"/>
          <w:lang w:val="en-US"/>
        </w:rPr>
        <w:t xml:space="preserve">UCRT = Σm IRm + Σn </w:t>
      </w:r>
      <w:r w:rsidR="002D3230">
        <w:rPr>
          <w:b/>
          <w:i/>
          <w:bdr w:val="single" w:sz="4" w:space="0" w:color="auto" w:frame="1"/>
          <w:lang w:val="en-US"/>
        </w:rPr>
        <w:t>I</w:t>
      </w:r>
      <w:r w:rsidRPr="00DD341D">
        <w:rPr>
          <w:b/>
          <w:i/>
          <w:bdr w:val="single" w:sz="4" w:space="0" w:color="auto" w:frame="1"/>
          <w:lang w:val="en-US"/>
        </w:rPr>
        <w:t>Rccf-n</w:t>
      </w:r>
      <w:r>
        <w:rPr>
          <w:b/>
          <w:sz w:val="28"/>
          <w:szCs w:val="28"/>
          <w:bdr w:val="single" w:sz="4" w:space="0" w:color="auto" w:frame="1"/>
          <w:vertAlign w:val="subscript"/>
          <w:lang w:val="en-US"/>
        </w:rPr>
        <w:tab/>
      </w:r>
      <w:r>
        <w:rPr>
          <w:b/>
          <w:sz w:val="28"/>
          <w:szCs w:val="28"/>
          <w:bdr w:val="single" w:sz="4" w:space="0" w:color="auto" w:frame="1"/>
          <w:lang w:val="en-US"/>
        </w:rPr>
        <w:tab/>
      </w:r>
      <w:r>
        <w:rPr>
          <w:lang w:val="en-US"/>
        </w:rPr>
        <w:tab/>
      </w:r>
      <w:r>
        <w:rPr>
          <w:lang w:val="en-US"/>
        </w:rPr>
        <w:tab/>
      </w:r>
      <w:r>
        <w:rPr>
          <w:lang w:val="en-US"/>
        </w:rPr>
        <w:tab/>
      </w:r>
      <w:r>
        <w:rPr>
          <w:lang w:val="en-US"/>
        </w:rPr>
        <w:tab/>
      </w:r>
      <w:r w:rsidR="00B16927">
        <w:rPr>
          <w:lang w:val="en-US"/>
        </w:rPr>
        <w:tab/>
      </w:r>
      <w:r>
        <w:rPr>
          <w:lang w:val="en-US"/>
        </w:rPr>
        <w:tab/>
        <w:t>(</w:t>
      </w:r>
      <w:r w:rsidR="009E768B">
        <w:fldChar w:fldCharType="begin"/>
      </w:r>
      <w:r w:rsidR="00B16927">
        <w:instrText xml:space="preserve"> STYLEREF 2 \s </w:instrText>
      </w:r>
      <w:r w:rsidR="009E768B">
        <w:fldChar w:fldCharType="separate"/>
      </w:r>
      <w:r w:rsidR="00B772CA">
        <w:rPr>
          <w:noProof/>
        </w:rPr>
        <w:t>3.10</w:t>
      </w:r>
      <w:r w:rsidR="009E768B">
        <w:fldChar w:fldCharType="end"/>
      </w:r>
      <w:r w:rsidR="00B16927">
        <w:t>.</w:t>
      </w:r>
      <w:r w:rsidR="009E768B">
        <w:fldChar w:fldCharType="begin"/>
      </w:r>
      <w:r w:rsidR="00B16927">
        <w:instrText xml:space="preserve"> SEQ Equation \* ARABIC \s 2 </w:instrText>
      </w:r>
      <w:r w:rsidR="009E768B">
        <w:fldChar w:fldCharType="separate"/>
      </w:r>
      <w:r w:rsidR="00B772CA">
        <w:rPr>
          <w:noProof/>
        </w:rPr>
        <w:t>18</w:t>
      </w:r>
      <w:r w:rsidR="009E768B">
        <w:fldChar w:fldCharType="end"/>
      </w:r>
      <w:r>
        <w:rPr>
          <w:lang w:val="en-US"/>
        </w:rPr>
        <w:t>)</w:t>
      </w:r>
    </w:p>
    <w:p w:rsidR="00F90A26" w:rsidRDefault="00F90A26" w:rsidP="00F90A26">
      <w:pPr>
        <w:rPr>
          <w:b/>
          <w:lang w:val="en-US"/>
        </w:rPr>
      </w:pPr>
    </w:p>
    <w:p w:rsidR="00F90A26" w:rsidRDefault="00F90A26" w:rsidP="00F90A26">
      <w:pPr>
        <w:rPr>
          <w:lang w:val="en-US"/>
        </w:rPr>
      </w:pPr>
      <w:r>
        <w:rPr>
          <w:lang w:val="en-US"/>
        </w:rPr>
        <w:t>where</w:t>
      </w:r>
    </w:p>
    <w:p w:rsidR="00F90A26" w:rsidRDefault="00F90A26" w:rsidP="00F90A26">
      <w:pPr>
        <w:rPr>
          <w:lang w:val="en-US"/>
        </w:rPr>
      </w:pPr>
      <w:r>
        <w:rPr>
          <w:i/>
          <w:lang w:val="en-US"/>
        </w:rPr>
        <w:t>m</w:t>
      </w:r>
      <w:r>
        <w:rPr>
          <w:lang w:val="en-US"/>
        </w:rPr>
        <w:t xml:space="preserve"> is number of units in the site,</w:t>
      </w:r>
    </w:p>
    <w:p w:rsidR="00F90A26" w:rsidRDefault="00F90A26" w:rsidP="00F90A26">
      <w:pPr>
        <w:rPr>
          <w:lang w:val="en-US"/>
        </w:rPr>
      </w:pPr>
      <w:r>
        <w:rPr>
          <w:i/>
          <w:lang w:val="en-US"/>
        </w:rPr>
        <w:lastRenderedPageBreak/>
        <w:t>n</w:t>
      </w:r>
      <w:r>
        <w:rPr>
          <w:lang w:val="en-US"/>
        </w:rPr>
        <w:t xml:space="preserve"> is number of possible combinations of common cause failures of the units,</w:t>
      </w:r>
    </w:p>
    <w:p w:rsidR="00F90A26" w:rsidRDefault="00F90A26" w:rsidP="00F90A26">
      <w:pPr>
        <w:ind w:left="720" w:hanging="720"/>
        <w:rPr>
          <w:lang w:val="en-US"/>
        </w:rPr>
      </w:pPr>
      <w:r>
        <w:rPr>
          <w:b/>
          <w:i/>
          <w:lang w:val="en-US"/>
        </w:rPr>
        <w:t>IR</w:t>
      </w:r>
      <w:r>
        <w:rPr>
          <w:lang w:val="en-US"/>
        </w:rPr>
        <w:t xml:space="preserve"> is the individual risk of a single unit calculated using CRT method as described above,</w:t>
      </w:r>
    </w:p>
    <w:p w:rsidR="00F90A26" w:rsidRDefault="00F90A26" w:rsidP="00F90A26">
      <w:pPr>
        <w:ind w:left="708" w:hanging="708"/>
        <w:rPr>
          <w:lang w:val="en-US"/>
        </w:rPr>
      </w:pPr>
      <w:r>
        <w:rPr>
          <w:b/>
          <w:i/>
          <w:lang w:val="en-US"/>
        </w:rPr>
        <w:t>IR</w:t>
      </w:r>
      <w:r>
        <w:rPr>
          <w:b/>
          <w:i/>
          <w:vertAlign w:val="subscript"/>
          <w:lang w:val="en-US"/>
        </w:rPr>
        <w:t>ccf-n</w:t>
      </w:r>
      <w:r>
        <w:rPr>
          <w:lang w:val="en-US"/>
        </w:rPr>
        <w:t xml:space="preserve"> is the risk of one common cause combination calculated for common cause initiators for more units using CRT method as described above.</w:t>
      </w:r>
    </w:p>
    <w:p w:rsidR="00F90A26" w:rsidRDefault="00F90A26" w:rsidP="00F90A26">
      <w:pPr>
        <w:rPr>
          <w:lang w:val="en-US"/>
        </w:rPr>
      </w:pPr>
    </w:p>
    <w:p w:rsidR="00F90A26" w:rsidRDefault="00F90A26" w:rsidP="00F90A26">
      <w:pPr>
        <w:rPr>
          <w:lang w:val="en-US"/>
        </w:rPr>
      </w:pPr>
      <w:r>
        <w:rPr>
          <w:lang w:val="en-US"/>
        </w:rPr>
        <w:t xml:space="preserve">Thus the UCRT </w:t>
      </w:r>
      <w:r w:rsidR="00500359">
        <w:rPr>
          <w:lang w:val="en-US"/>
        </w:rPr>
        <w:t>addresses</w:t>
      </w:r>
      <w:r>
        <w:rPr>
          <w:lang w:val="en-US"/>
        </w:rPr>
        <w:t xml:space="preserve"> the problems that arose after the Fukushima accident by involving integrated site risk analysis. It </w:t>
      </w:r>
      <w:r w:rsidR="00500359">
        <w:rPr>
          <w:lang w:val="en-US"/>
        </w:rPr>
        <w:t>involves also</w:t>
      </w:r>
      <w:r>
        <w:rPr>
          <w:lang w:val="en-US"/>
        </w:rPr>
        <w:t xml:space="preserve"> the problem of single source initiators that may cause multi-unit accidents due to cross-unit dependencies such as shared support systems, spatial interactions (flood propagation pathways) </w:t>
      </w:r>
      <w:r w:rsidR="000A56D1">
        <w:rPr>
          <w:lang w:val="en-US"/>
        </w:rPr>
        <w:t>etc.</w:t>
      </w:r>
      <w:r>
        <w:rPr>
          <w:lang w:val="en-US"/>
        </w:rPr>
        <w:t>…, common cause failures, or operator actions. It also offers the solution of the problem of common cause initiators challenging simultaneously units at multi-unit site (earthquakes, external floods, severe weather) </w:t>
      </w:r>
      <w:r w:rsidR="009E768B">
        <w:rPr>
          <w:lang w:val="en-US"/>
        </w:rPr>
        <w:fldChar w:fldCharType="begin"/>
      </w:r>
      <w:r w:rsidR="00593B02">
        <w:rPr>
          <w:lang w:val="en-US"/>
        </w:rPr>
        <w:instrText xml:space="preserve"> REF _Ref342663562 \r \h </w:instrText>
      </w:r>
      <w:r w:rsidR="009E768B">
        <w:rPr>
          <w:lang w:val="en-US"/>
        </w:rPr>
      </w:r>
      <w:r w:rsidR="009E768B">
        <w:rPr>
          <w:lang w:val="en-US"/>
        </w:rPr>
        <w:fldChar w:fldCharType="separate"/>
      </w:r>
      <w:r w:rsidR="00B772CA">
        <w:rPr>
          <w:lang w:val="en-US"/>
        </w:rPr>
        <w:t>[125]</w:t>
      </w:r>
      <w:r w:rsidR="009E768B">
        <w:rPr>
          <w:lang w:val="en-US"/>
        </w:rPr>
        <w:fldChar w:fldCharType="end"/>
      </w:r>
      <w:r w:rsidR="00593B02">
        <w:rPr>
          <w:lang w:val="en-US"/>
        </w:rPr>
        <w:t>.</w:t>
      </w:r>
    </w:p>
    <w:p w:rsidR="00F90A26" w:rsidRDefault="00F90A26" w:rsidP="00F90A26">
      <w:pPr>
        <w:rPr>
          <w:lang w:val="en-US"/>
        </w:rPr>
      </w:pPr>
    </w:p>
    <w:p w:rsidR="00F90A26" w:rsidRPr="0089273E" w:rsidRDefault="00F90A26" w:rsidP="0089273E">
      <w:pPr>
        <w:pStyle w:val="Titre4"/>
      </w:pPr>
      <w:bookmarkStart w:id="386" w:name="_Toc387831952"/>
      <w:r w:rsidRPr="0089273E">
        <w:t>Verification of Common Risk Target Adequacy</w:t>
      </w:r>
      <w:bookmarkEnd w:id="386"/>
    </w:p>
    <w:p w:rsidR="00F90A26" w:rsidRDefault="00F90A26" w:rsidP="00F90A26">
      <w:pPr>
        <w:rPr>
          <w:lang w:val="en-US"/>
        </w:rPr>
      </w:pPr>
      <w:r>
        <w:rPr>
          <w:lang w:val="en-US"/>
        </w:rPr>
        <w:t xml:space="preserve">In Section </w:t>
      </w:r>
      <w:r w:rsidR="00500359">
        <w:rPr>
          <w:lang w:val="en-US"/>
        </w:rPr>
        <w:t>on definition of the CRT</w:t>
      </w:r>
      <w:r>
        <w:rPr>
          <w:lang w:val="en-US"/>
        </w:rPr>
        <w:t xml:space="preserve"> all requirements to be fulfilled by the new CRT parameter are summarized and below the verification of the parameter against the requirements </w:t>
      </w:r>
      <w:r w:rsidR="00C60E0B">
        <w:rPr>
          <w:lang w:val="en-US"/>
        </w:rPr>
        <w:t>of §</w:t>
      </w:r>
      <w:r w:rsidR="00C60E0B">
        <w:rPr>
          <w:lang w:val="en-US"/>
        </w:rPr>
        <w:fldChar w:fldCharType="begin"/>
      </w:r>
      <w:r w:rsidR="00C60E0B">
        <w:rPr>
          <w:lang w:val="en-US"/>
        </w:rPr>
        <w:instrText xml:space="preserve"> REF _Ref473648872 \r \h </w:instrText>
      </w:r>
      <w:r w:rsidR="00C60E0B">
        <w:rPr>
          <w:lang w:val="en-US"/>
        </w:rPr>
      </w:r>
      <w:r w:rsidR="00C60E0B">
        <w:rPr>
          <w:lang w:val="en-US"/>
        </w:rPr>
        <w:fldChar w:fldCharType="separate"/>
      </w:r>
      <w:r w:rsidR="00B772CA">
        <w:rPr>
          <w:lang w:val="en-US"/>
        </w:rPr>
        <w:t>3.10.2.1</w:t>
      </w:r>
      <w:r w:rsidR="00C60E0B">
        <w:rPr>
          <w:lang w:val="en-US"/>
        </w:rPr>
        <w:fldChar w:fldCharType="end"/>
      </w:r>
      <w:r w:rsidR="00C60E0B">
        <w:rPr>
          <w:lang w:val="en-US"/>
        </w:rPr>
        <w:t xml:space="preserve"> </w:t>
      </w:r>
      <w:r w:rsidR="00500359">
        <w:rPr>
          <w:lang w:val="en-US"/>
        </w:rPr>
        <w:t>are</w:t>
      </w:r>
      <w:r>
        <w:rPr>
          <w:lang w:val="en-US"/>
        </w:rPr>
        <w:t xml:space="preserve"> performed:</w:t>
      </w:r>
    </w:p>
    <w:p w:rsidR="00F90A26" w:rsidRDefault="00F90A26" w:rsidP="00505B2A">
      <w:pPr>
        <w:spacing w:before="120" w:after="120" w:line="240" w:lineRule="auto"/>
        <w:rPr>
          <w:lang w:val="en-US"/>
        </w:rPr>
      </w:pPr>
    </w:p>
    <w:p w:rsidR="00F90A26" w:rsidRDefault="00C60E0B" w:rsidP="00505B2A">
      <w:pPr>
        <w:numPr>
          <w:ilvl w:val="0"/>
          <w:numId w:val="145"/>
        </w:numPr>
        <w:tabs>
          <w:tab w:val="num" w:pos="284"/>
        </w:tabs>
        <w:spacing w:before="120" w:after="120" w:line="240" w:lineRule="auto"/>
        <w:ind w:left="284" w:hanging="284"/>
        <w:rPr>
          <w:lang w:val="en-US"/>
        </w:rPr>
      </w:pPr>
      <w:r>
        <w:rPr>
          <w:lang w:val="en-US"/>
        </w:rPr>
        <w:t xml:space="preserve">The </w:t>
      </w:r>
      <w:r w:rsidR="00F90A26">
        <w:rPr>
          <w:lang w:val="en-US"/>
        </w:rPr>
        <w:t xml:space="preserve">parameter </w:t>
      </w:r>
      <w:r>
        <w:rPr>
          <w:lang w:val="en-US"/>
        </w:rPr>
        <w:t xml:space="preserve">is </w:t>
      </w:r>
      <w:r w:rsidR="00F90A26">
        <w:rPr>
          <w:lang w:val="en-US"/>
        </w:rPr>
        <w:t xml:space="preserve">representing risk, </w:t>
      </w:r>
      <w:r w:rsidR="00C40DAB">
        <w:rPr>
          <w:lang w:val="en-US"/>
        </w:rPr>
        <w:t>which is product of frequency and consequences expressed in Bq, - thus requirements a) are fulfilled</w:t>
      </w:r>
      <w:r w:rsidR="00F90A26">
        <w:rPr>
          <w:lang w:val="en-US"/>
        </w:rPr>
        <w:t>.</w:t>
      </w:r>
    </w:p>
    <w:p w:rsidR="00F90A26" w:rsidRDefault="00F90A26" w:rsidP="00505B2A">
      <w:pPr>
        <w:numPr>
          <w:ilvl w:val="0"/>
          <w:numId w:val="145"/>
        </w:numPr>
        <w:tabs>
          <w:tab w:val="num" w:pos="284"/>
        </w:tabs>
        <w:spacing w:before="120" w:after="120" w:line="240" w:lineRule="auto"/>
        <w:ind w:left="284" w:hanging="284"/>
        <w:rPr>
          <w:lang w:val="en-US"/>
        </w:rPr>
      </w:pPr>
      <w:r>
        <w:rPr>
          <w:lang w:val="en-US"/>
        </w:rPr>
        <w:t xml:space="preserve">It should follow constant risk principle, graded approach and it should represent balanced plant with no extreme contributions of particular sequences to the total risk. </w:t>
      </w:r>
    </w:p>
    <w:p w:rsidR="00F90A26" w:rsidRDefault="00F90A26" w:rsidP="00505B2A">
      <w:pPr>
        <w:tabs>
          <w:tab w:val="num" w:pos="284"/>
        </w:tabs>
        <w:spacing w:before="120" w:after="120" w:line="240" w:lineRule="auto"/>
        <w:ind w:left="284"/>
        <w:rPr>
          <w:lang w:val="en-US"/>
        </w:rPr>
      </w:pPr>
      <w:r>
        <w:rPr>
          <w:lang w:val="en-US"/>
        </w:rPr>
        <w:t xml:space="preserve">As it follows from the derivation process, the requirements </w:t>
      </w:r>
      <w:r w:rsidR="00C3142C">
        <w:rPr>
          <w:lang w:val="en-US"/>
        </w:rPr>
        <w:t>b</w:t>
      </w:r>
      <w:r>
        <w:rPr>
          <w:lang w:val="en-US"/>
        </w:rPr>
        <w:t xml:space="preserve">) were fulfilled. </w:t>
      </w:r>
    </w:p>
    <w:p w:rsidR="00F90A26" w:rsidRDefault="00F90A26" w:rsidP="00505B2A">
      <w:pPr>
        <w:numPr>
          <w:ilvl w:val="0"/>
          <w:numId w:val="145"/>
        </w:numPr>
        <w:tabs>
          <w:tab w:val="num" w:pos="284"/>
        </w:tabs>
        <w:spacing w:before="120" w:after="120" w:line="240" w:lineRule="auto"/>
        <w:ind w:left="284" w:hanging="284"/>
        <w:rPr>
          <w:lang w:val="en-US"/>
        </w:rPr>
      </w:pPr>
      <w:r>
        <w:rPr>
          <w:lang w:val="en-US"/>
        </w:rPr>
        <w:t xml:space="preserve">It should comply with multi-unit site requirement.  </w:t>
      </w:r>
    </w:p>
    <w:p w:rsidR="00F90A26" w:rsidRDefault="00F90A26" w:rsidP="00505B2A">
      <w:pPr>
        <w:tabs>
          <w:tab w:val="num" w:pos="284"/>
        </w:tabs>
        <w:spacing w:before="120" w:after="120" w:line="240" w:lineRule="auto"/>
        <w:ind w:left="284"/>
        <w:rPr>
          <w:lang w:val="en-US"/>
        </w:rPr>
      </w:pPr>
      <w:r>
        <w:rPr>
          <w:lang w:val="en-US"/>
        </w:rPr>
        <w:t>The equation (</w:t>
      </w:r>
      <w:r w:rsidR="009E768B">
        <w:rPr>
          <w:lang w:val="en-US"/>
        </w:rPr>
        <w:fldChar w:fldCharType="begin"/>
      </w:r>
      <w:r w:rsidR="00B8197A">
        <w:rPr>
          <w:lang w:val="en-US"/>
        </w:rPr>
        <w:instrText xml:space="preserve"> REF eq10 \h </w:instrText>
      </w:r>
      <w:r w:rsidR="009E768B">
        <w:rPr>
          <w:lang w:val="en-US"/>
        </w:rPr>
      </w:r>
      <w:r w:rsidR="009E768B">
        <w:rPr>
          <w:lang w:val="en-US"/>
        </w:rPr>
        <w:fldChar w:fldCharType="separate"/>
      </w:r>
      <w:r w:rsidR="00B772CA">
        <w:rPr>
          <w:noProof/>
        </w:rPr>
        <w:t>3.10</w:t>
      </w:r>
      <w:r w:rsidR="00B772CA">
        <w:t>.</w:t>
      </w:r>
      <w:r w:rsidR="00B772CA">
        <w:rPr>
          <w:noProof/>
        </w:rPr>
        <w:t>11</w:t>
      </w:r>
      <w:r w:rsidR="009E768B">
        <w:rPr>
          <w:lang w:val="en-US"/>
        </w:rPr>
        <w:fldChar w:fldCharType="end"/>
      </w:r>
      <w:r>
        <w:rPr>
          <w:lang w:val="en-US"/>
        </w:rPr>
        <w:t xml:space="preserve">) contains expression of risk assessment of a multi-unit plant and it takes into account possible risks stemming also from common causes. Thus, the parameter fulfils the attribute set in item </w:t>
      </w:r>
      <w:r w:rsidR="00C40DAB">
        <w:rPr>
          <w:lang w:val="en-US"/>
        </w:rPr>
        <w:t>c</w:t>
      </w:r>
      <w:r>
        <w:rPr>
          <w:lang w:val="en-US"/>
        </w:rPr>
        <w:t>.</w:t>
      </w:r>
    </w:p>
    <w:p w:rsidR="00F90A26" w:rsidRDefault="00F90A26" w:rsidP="00505B2A">
      <w:pPr>
        <w:numPr>
          <w:ilvl w:val="0"/>
          <w:numId w:val="145"/>
        </w:numPr>
        <w:tabs>
          <w:tab w:val="num" w:pos="284"/>
        </w:tabs>
        <w:spacing w:before="120" w:after="120" w:line="240" w:lineRule="auto"/>
        <w:ind w:left="284" w:hanging="284"/>
        <w:rPr>
          <w:lang w:val="en-US"/>
        </w:rPr>
      </w:pPr>
      <w:r>
        <w:rPr>
          <w:lang w:val="en-US"/>
        </w:rPr>
        <w:t xml:space="preserve">It should a quantitative parameter. </w:t>
      </w:r>
    </w:p>
    <w:p w:rsidR="00F90A26" w:rsidRDefault="00F90A26" w:rsidP="00505B2A">
      <w:pPr>
        <w:tabs>
          <w:tab w:val="num" w:pos="284"/>
        </w:tabs>
        <w:spacing w:before="120" w:after="120" w:line="240" w:lineRule="auto"/>
        <w:ind w:left="284"/>
        <w:rPr>
          <w:lang w:val="en-US"/>
        </w:rPr>
      </w:pPr>
      <w:r>
        <w:rPr>
          <w:lang w:val="en-US"/>
        </w:rPr>
        <w:t xml:space="preserve">The derived parameter CRT has a value expressed in Bq, which is possible to convert to absolute consequences, thus it has its quantitative value and the attribute from item </w:t>
      </w:r>
      <w:r w:rsidR="00C3142C">
        <w:rPr>
          <w:lang w:val="en-US"/>
        </w:rPr>
        <w:t>d</w:t>
      </w:r>
      <w:r>
        <w:rPr>
          <w:lang w:val="en-US"/>
        </w:rPr>
        <w:t xml:space="preserve">) is fulfilled. </w:t>
      </w:r>
    </w:p>
    <w:p w:rsidR="00F90A26" w:rsidRDefault="00F90A26" w:rsidP="00505B2A">
      <w:pPr>
        <w:numPr>
          <w:ilvl w:val="0"/>
          <w:numId w:val="145"/>
        </w:numPr>
        <w:tabs>
          <w:tab w:val="num" w:pos="284"/>
        </w:tabs>
        <w:spacing w:before="120" w:after="120" w:line="240" w:lineRule="auto"/>
        <w:ind w:left="284" w:hanging="284"/>
        <w:rPr>
          <w:lang w:val="en-US"/>
        </w:rPr>
      </w:pPr>
      <w:r>
        <w:rPr>
          <w:lang w:val="en-US"/>
        </w:rPr>
        <w:t xml:space="preserve">Its quantitative value should be comparable with risks stemming from other industrial activities. </w:t>
      </w:r>
    </w:p>
    <w:p w:rsidR="00F90A26" w:rsidRDefault="00F90A26" w:rsidP="00505B2A">
      <w:pPr>
        <w:tabs>
          <w:tab w:val="num" w:pos="284"/>
        </w:tabs>
        <w:spacing w:before="120" w:after="120" w:line="240" w:lineRule="auto"/>
        <w:ind w:left="284"/>
      </w:pPr>
      <w:r>
        <w:rPr>
          <w:lang w:val="en-US"/>
        </w:rPr>
        <w:t>As it follows from equations (</w:t>
      </w:r>
      <w:r w:rsidR="009E768B">
        <w:rPr>
          <w:lang w:val="en-US"/>
        </w:rPr>
        <w:fldChar w:fldCharType="begin"/>
      </w:r>
      <w:r w:rsidR="00B8197A">
        <w:rPr>
          <w:lang w:val="en-US"/>
        </w:rPr>
        <w:instrText xml:space="preserve"> REF eq3 \h </w:instrText>
      </w:r>
      <w:r w:rsidR="009E768B">
        <w:rPr>
          <w:lang w:val="en-US"/>
        </w:rPr>
      </w:r>
      <w:r w:rsidR="009E768B">
        <w:rPr>
          <w:lang w:val="en-US"/>
        </w:rPr>
        <w:fldChar w:fldCharType="separate"/>
      </w:r>
      <w:r w:rsidR="00B772CA">
        <w:rPr>
          <w:noProof/>
        </w:rPr>
        <w:t>3.10</w:t>
      </w:r>
      <w:r w:rsidR="00B772CA">
        <w:t>.</w:t>
      </w:r>
      <w:r w:rsidR="00B772CA">
        <w:rPr>
          <w:noProof/>
        </w:rPr>
        <w:t>4</w:t>
      </w:r>
      <w:r w:rsidR="009E768B">
        <w:rPr>
          <w:lang w:val="en-US"/>
        </w:rPr>
        <w:fldChar w:fldCharType="end"/>
      </w:r>
      <w:r>
        <w:rPr>
          <w:lang w:val="en-US"/>
        </w:rPr>
        <w:t>), (</w:t>
      </w:r>
      <w:r w:rsidR="009E768B">
        <w:rPr>
          <w:lang w:val="en-US"/>
        </w:rPr>
        <w:fldChar w:fldCharType="begin"/>
      </w:r>
      <w:r w:rsidR="009634DB">
        <w:rPr>
          <w:lang w:val="en-US"/>
        </w:rPr>
        <w:instrText xml:space="preserve"> REF eq9 \h </w:instrText>
      </w:r>
      <w:r w:rsidR="009E768B">
        <w:rPr>
          <w:lang w:val="en-US"/>
        </w:rPr>
      </w:r>
      <w:r w:rsidR="009E768B">
        <w:rPr>
          <w:lang w:val="en-US"/>
        </w:rPr>
        <w:fldChar w:fldCharType="separate"/>
      </w:r>
      <w:r w:rsidR="00B772CA">
        <w:rPr>
          <w:noProof/>
        </w:rPr>
        <w:t>3.10</w:t>
      </w:r>
      <w:r w:rsidR="00B772CA">
        <w:t>.</w:t>
      </w:r>
      <w:r w:rsidR="00B772CA">
        <w:rPr>
          <w:noProof/>
        </w:rPr>
        <w:t>10</w:t>
      </w:r>
      <w:r w:rsidR="009E768B">
        <w:rPr>
          <w:lang w:val="en-US"/>
        </w:rPr>
        <w:fldChar w:fldCharType="end"/>
      </w:r>
      <w:r>
        <w:rPr>
          <w:lang w:val="en-US"/>
        </w:rPr>
        <w:t>) and (</w:t>
      </w:r>
      <w:r w:rsidR="009E768B">
        <w:rPr>
          <w:lang w:val="en-US"/>
        </w:rPr>
        <w:fldChar w:fldCharType="begin"/>
      </w:r>
      <w:r w:rsidR="009634DB">
        <w:rPr>
          <w:lang w:val="en-US"/>
        </w:rPr>
        <w:instrText xml:space="preserve"> REF eq10 \h </w:instrText>
      </w:r>
      <w:r w:rsidR="009E768B">
        <w:rPr>
          <w:lang w:val="en-US"/>
        </w:rPr>
      </w:r>
      <w:r w:rsidR="009E768B">
        <w:rPr>
          <w:lang w:val="en-US"/>
        </w:rPr>
        <w:fldChar w:fldCharType="separate"/>
      </w:r>
      <w:r w:rsidR="00B772CA">
        <w:rPr>
          <w:noProof/>
        </w:rPr>
        <w:t>3.10</w:t>
      </w:r>
      <w:r w:rsidR="00B772CA">
        <w:t>.</w:t>
      </w:r>
      <w:r w:rsidR="00B772CA">
        <w:rPr>
          <w:noProof/>
        </w:rPr>
        <w:t>11</w:t>
      </w:r>
      <w:r w:rsidR="009E768B">
        <w:rPr>
          <w:lang w:val="en-US"/>
        </w:rPr>
        <w:fldChar w:fldCharType="end"/>
      </w:r>
      <w:r>
        <w:rPr>
          <w:lang w:val="en-US"/>
        </w:rPr>
        <w:t xml:space="preserve">) for CRT, the parameter is expressed in Bq, and using Table 4 converting Bq to absolute consequences, it is possible to compare it with risks stemming from other industrial activities. </w:t>
      </w:r>
      <w:r>
        <w:t xml:space="preserve">Thus, attribute form </w:t>
      </w:r>
      <w:r w:rsidR="00C3142C">
        <w:t>e</w:t>
      </w:r>
      <w:r>
        <w:t>) is fulfilled.</w:t>
      </w:r>
    </w:p>
    <w:p w:rsidR="00F90A26" w:rsidRDefault="00F90A26" w:rsidP="00505B2A">
      <w:pPr>
        <w:numPr>
          <w:ilvl w:val="0"/>
          <w:numId w:val="145"/>
        </w:numPr>
        <w:tabs>
          <w:tab w:val="num" w:pos="284"/>
        </w:tabs>
        <w:spacing w:before="120" w:after="120" w:line="240" w:lineRule="auto"/>
        <w:ind w:left="284" w:hanging="284"/>
        <w:rPr>
          <w:lang w:val="en-US"/>
        </w:rPr>
      </w:pPr>
      <w:r>
        <w:rPr>
          <w:lang w:val="en-US"/>
        </w:rPr>
        <w:t>It should take into account all radiological sources in the site</w:t>
      </w:r>
      <w:r w:rsidR="009634DB">
        <w:rPr>
          <w:lang w:val="en-US"/>
        </w:rPr>
        <w:t>.</w:t>
      </w:r>
    </w:p>
    <w:p w:rsidR="00F90A26" w:rsidRDefault="00F90A26" w:rsidP="00505B2A">
      <w:pPr>
        <w:tabs>
          <w:tab w:val="num" w:pos="284"/>
        </w:tabs>
        <w:spacing w:before="120" w:after="120" w:line="240" w:lineRule="auto"/>
        <w:ind w:left="284"/>
      </w:pPr>
      <w:r>
        <w:rPr>
          <w:lang w:val="en-US"/>
        </w:rPr>
        <w:t xml:space="preserve">The frequency part of the CRT parameter represents FDF, not only CDF, as it is currently expressed. </w:t>
      </w:r>
      <w:r>
        <w:t xml:space="preserve">Thus the parameter fulfils the </w:t>
      </w:r>
      <w:r w:rsidR="00C3142C">
        <w:t>f</w:t>
      </w:r>
      <w:r>
        <w:t>) attribute.</w:t>
      </w:r>
    </w:p>
    <w:p w:rsidR="00F90A26" w:rsidRDefault="00F90A26" w:rsidP="00505B2A">
      <w:pPr>
        <w:numPr>
          <w:ilvl w:val="0"/>
          <w:numId w:val="145"/>
        </w:numPr>
        <w:tabs>
          <w:tab w:val="num" w:pos="284"/>
        </w:tabs>
        <w:spacing w:before="120" w:after="120" w:line="240" w:lineRule="auto"/>
        <w:ind w:left="284" w:hanging="284"/>
        <w:rPr>
          <w:lang w:val="en-US"/>
        </w:rPr>
      </w:pPr>
      <w:r>
        <w:rPr>
          <w:lang w:val="en-US"/>
        </w:rPr>
        <w:t>It should be objective as a contrary to subjective.</w:t>
      </w:r>
    </w:p>
    <w:p w:rsidR="00F90A26" w:rsidRPr="0042104F" w:rsidRDefault="00F90A26" w:rsidP="0042104F">
      <w:pPr>
        <w:tabs>
          <w:tab w:val="num" w:pos="284"/>
        </w:tabs>
        <w:spacing w:before="120" w:after="120" w:line="240" w:lineRule="auto"/>
        <w:ind w:left="284"/>
        <w:rPr>
          <w:lang w:val="en-US"/>
        </w:rPr>
      </w:pPr>
      <w:r>
        <w:rPr>
          <w:lang w:val="en-US"/>
        </w:rPr>
        <w:t xml:space="preserve">The CRT risk parameter is derived pursuant to generally used L2 PSA practices using containment matrix and common mathematical procedures, using also IAEA INES scale as well as the results of validated codes MELCOR and MACCS2 and commonly accepted definitions for safety, risk, Farmer curve etc. From what was written above it follows, that the CRT was derived based on objectively accepted principles, definitions and procedures, and so it is not based on subjective </w:t>
      </w:r>
      <w:r w:rsidR="002D3230">
        <w:rPr>
          <w:lang w:val="en-US"/>
        </w:rPr>
        <w:t>judgment</w:t>
      </w:r>
      <w:r>
        <w:rPr>
          <w:lang w:val="en-US"/>
        </w:rPr>
        <w:t xml:space="preserve">. </w:t>
      </w:r>
      <w:r w:rsidRPr="0042104F">
        <w:rPr>
          <w:lang w:val="en-US"/>
        </w:rPr>
        <w:t xml:space="preserve">Thus it fulfils the </w:t>
      </w:r>
      <w:r w:rsidR="00C3142C" w:rsidRPr="0042104F">
        <w:rPr>
          <w:lang w:val="en-US"/>
        </w:rPr>
        <w:t>g</w:t>
      </w:r>
      <w:r w:rsidRPr="0042104F">
        <w:rPr>
          <w:lang w:val="en-US"/>
        </w:rPr>
        <w:t>) attribute.</w:t>
      </w:r>
    </w:p>
    <w:p w:rsidR="00F90A26" w:rsidRDefault="00F90A26" w:rsidP="00505B2A">
      <w:pPr>
        <w:numPr>
          <w:ilvl w:val="0"/>
          <w:numId w:val="145"/>
        </w:numPr>
        <w:tabs>
          <w:tab w:val="num" w:pos="284"/>
        </w:tabs>
        <w:spacing w:before="120" w:line="240" w:lineRule="auto"/>
        <w:ind w:hanging="720"/>
        <w:rPr>
          <w:lang w:val="en-US"/>
        </w:rPr>
      </w:pPr>
      <w:r>
        <w:rPr>
          <w:lang w:val="en-US"/>
        </w:rPr>
        <w:t>It should comply with harmonization requirements.</w:t>
      </w:r>
    </w:p>
    <w:p w:rsidR="00F90A26" w:rsidRDefault="00F90A26" w:rsidP="0042104F">
      <w:pPr>
        <w:tabs>
          <w:tab w:val="num" w:pos="284"/>
        </w:tabs>
        <w:spacing w:before="120" w:after="120" w:line="240" w:lineRule="auto"/>
        <w:ind w:left="284"/>
      </w:pPr>
      <w:r>
        <w:rPr>
          <w:lang w:val="en-US"/>
        </w:rPr>
        <w:t xml:space="preserve">The presented CRT parameter is based on generally and commonly valid and accepted principles of IAEA, that is the subject authorized to establish internationally respected principles, requirements and recommendations, which should be implemented into legislation of particular countries. </w:t>
      </w:r>
      <w:r w:rsidRPr="0042104F">
        <w:rPr>
          <w:lang w:val="en-US"/>
        </w:rPr>
        <w:t>Thus it fulfils also the requirement</w:t>
      </w:r>
      <w:r w:rsidR="00C60E0B">
        <w:t xml:space="preserve"> </w:t>
      </w:r>
      <w:r w:rsidR="00C3142C">
        <w:t>h</w:t>
      </w:r>
      <w:r>
        <w:t>).</w:t>
      </w:r>
    </w:p>
    <w:p w:rsidR="00F90A26" w:rsidRDefault="00F90A26" w:rsidP="00505B2A">
      <w:pPr>
        <w:numPr>
          <w:ilvl w:val="0"/>
          <w:numId w:val="145"/>
        </w:numPr>
        <w:tabs>
          <w:tab w:val="num" w:pos="284"/>
        </w:tabs>
        <w:spacing w:before="120" w:line="240" w:lineRule="auto"/>
        <w:ind w:hanging="720"/>
        <w:rPr>
          <w:lang w:val="en-US"/>
        </w:rPr>
      </w:pPr>
      <w:r>
        <w:rPr>
          <w:lang w:val="en-US"/>
        </w:rPr>
        <w:t>It should be the maximum admissible risk value for a safe plant.</w:t>
      </w:r>
    </w:p>
    <w:p w:rsidR="00F90A26" w:rsidRDefault="00F90A26" w:rsidP="0042104F">
      <w:pPr>
        <w:tabs>
          <w:tab w:val="num" w:pos="284"/>
        </w:tabs>
        <w:spacing w:before="120" w:after="120" w:line="240" w:lineRule="auto"/>
        <w:ind w:left="284"/>
        <w:rPr>
          <w:lang w:val="en-US"/>
        </w:rPr>
      </w:pPr>
      <w:r>
        <w:rPr>
          <w:lang w:val="en-US"/>
        </w:rPr>
        <w:lastRenderedPageBreak/>
        <w:t xml:space="preserve">CRT reflects safety, since it is based on minimization of releases during a severe accident corresponding to lower level of INES5. Releases are related to the source of radioactivity, which is the core, the fuel in the fuel pools as well as fuel casks. Thus, the CRT parameter corresponds to IAEA safety definition related to the source of radioactivity minimizing releases, from which it follows, that it fulfils the </w:t>
      </w:r>
      <w:r w:rsidR="00C3142C">
        <w:rPr>
          <w:lang w:val="en-US"/>
        </w:rPr>
        <w:t>i</w:t>
      </w:r>
      <w:r>
        <w:rPr>
          <w:lang w:val="en-US"/>
        </w:rPr>
        <w:t xml:space="preserve">) attribute. </w:t>
      </w:r>
    </w:p>
    <w:p w:rsidR="00593B02" w:rsidRPr="0042104F" w:rsidRDefault="00F90A26" w:rsidP="0042104F">
      <w:pPr>
        <w:numPr>
          <w:ilvl w:val="0"/>
          <w:numId w:val="145"/>
        </w:numPr>
        <w:tabs>
          <w:tab w:val="num" w:pos="284"/>
        </w:tabs>
        <w:spacing w:before="120" w:line="240" w:lineRule="auto"/>
        <w:ind w:hanging="720"/>
        <w:rPr>
          <w:lang w:val="en-US"/>
        </w:rPr>
      </w:pPr>
      <w:r>
        <w:rPr>
          <w:lang w:val="en-US"/>
        </w:rPr>
        <w:t xml:space="preserve">It should guarantee adequate scientific level and credibility by being technically derived not only designated. </w:t>
      </w:r>
      <w:r w:rsidRPr="0042104F">
        <w:rPr>
          <w:lang w:val="en-US"/>
        </w:rPr>
        <w:t>(And for</w:t>
      </w:r>
      <w:r w:rsidR="009634DB" w:rsidRPr="0042104F">
        <w:rPr>
          <w:lang w:val="en-US"/>
        </w:rPr>
        <w:t xml:space="preserve"> </w:t>
      </w:r>
      <w:r w:rsidRPr="0042104F">
        <w:rPr>
          <w:lang w:val="en-US"/>
        </w:rPr>
        <w:t>as</w:t>
      </w:r>
      <w:r w:rsidR="009634DB" w:rsidRPr="0042104F">
        <w:rPr>
          <w:lang w:val="en-US"/>
        </w:rPr>
        <w:t xml:space="preserve"> </w:t>
      </w:r>
      <w:r w:rsidRPr="0042104F">
        <w:rPr>
          <w:lang w:val="en-US"/>
        </w:rPr>
        <w:t>much possible, also accepted by wider scientific public.)</w:t>
      </w:r>
    </w:p>
    <w:p w:rsidR="00282895" w:rsidRDefault="00C3142C" w:rsidP="0042104F">
      <w:pPr>
        <w:tabs>
          <w:tab w:val="num" w:pos="284"/>
        </w:tabs>
        <w:spacing w:before="120" w:after="120" w:line="240" w:lineRule="auto"/>
        <w:ind w:left="284"/>
        <w:rPr>
          <w:lang w:val="en-US"/>
        </w:rPr>
      </w:pPr>
      <w:r>
        <w:rPr>
          <w:lang w:val="en-US"/>
        </w:rPr>
        <w:t xml:space="preserve">Credibility of the method is guaranteed by publishing </w:t>
      </w:r>
      <w:r w:rsidR="00260D80">
        <w:rPr>
          <w:lang w:val="en-US"/>
        </w:rPr>
        <w:t xml:space="preserve">it </w:t>
      </w:r>
      <w:r>
        <w:rPr>
          <w:lang w:val="en-US"/>
        </w:rPr>
        <w:t>in prestigious scientific journal Nuclear Engineering and Design [</w:t>
      </w:r>
      <w:r w:rsidR="0044054F">
        <w:rPr>
          <w:lang w:val="en-US"/>
        </w:rPr>
        <w:t>43</w:t>
      </w:r>
      <w:r>
        <w:rPr>
          <w:lang w:val="en-US"/>
        </w:rPr>
        <w:t>]</w:t>
      </w:r>
      <w:r w:rsidR="0044054F">
        <w:rPr>
          <w:lang w:val="en-US"/>
        </w:rPr>
        <w:t xml:space="preserve"> as well as </w:t>
      </w:r>
      <w:r w:rsidR="00260D80">
        <w:rPr>
          <w:lang w:val="en-US"/>
        </w:rPr>
        <w:t>i</w:t>
      </w:r>
      <w:r w:rsidR="0044054F">
        <w:rPr>
          <w:lang w:val="en-US"/>
        </w:rPr>
        <w:t xml:space="preserve">t was </w:t>
      </w:r>
      <w:r w:rsidR="00260D80">
        <w:rPr>
          <w:lang w:val="en-US"/>
        </w:rPr>
        <w:t xml:space="preserve">a </w:t>
      </w:r>
      <w:r w:rsidR="0044054F">
        <w:rPr>
          <w:lang w:val="en-US"/>
        </w:rPr>
        <w:t xml:space="preserve">subject of thesis </w:t>
      </w:r>
      <w:r w:rsidR="00D640E2">
        <w:rPr>
          <w:lang w:val="en-US"/>
        </w:rPr>
        <w:fldChar w:fldCharType="begin"/>
      </w:r>
      <w:r w:rsidR="00D640E2">
        <w:rPr>
          <w:lang w:val="en-US"/>
        </w:rPr>
        <w:instrText xml:space="preserve"> REF _Ref342663880 \r \h </w:instrText>
      </w:r>
      <w:r w:rsidR="00D640E2">
        <w:rPr>
          <w:lang w:val="en-US"/>
        </w:rPr>
      </w:r>
      <w:r w:rsidR="00D640E2">
        <w:rPr>
          <w:lang w:val="en-US"/>
        </w:rPr>
        <w:fldChar w:fldCharType="separate"/>
      </w:r>
      <w:r w:rsidR="00D640E2">
        <w:rPr>
          <w:lang w:val="en-US"/>
        </w:rPr>
        <w:t>[114]</w:t>
      </w:r>
      <w:r w:rsidR="00D640E2">
        <w:rPr>
          <w:lang w:val="en-US"/>
        </w:rPr>
        <w:fldChar w:fldCharType="end"/>
      </w:r>
      <w:r w:rsidR="00260D80">
        <w:rPr>
          <w:lang w:val="en-US"/>
        </w:rPr>
        <w:t>.</w:t>
      </w:r>
      <w:r w:rsidR="00097AC2">
        <w:rPr>
          <w:lang w:val="en-US"/>
        </w:rPr>
        <w:t xml:space="preserve"> Thus, the CRT parameter fulfils the last requirement j).</w:t>
      </w:r>
    </w:p>
    <w:p w:rsidR="00593B02" w:rsidRDefault="00593B02" w:rsidP="00505B2A">
      <w:pPr>
        <w:spacing w:before="120" w:line="360" w:lineRule="auto"/>
        <w:rPr>
          <w:lang w:val="en-US"/>
        </w:rPr>
      </w:pPr>
      <w:r>
        <w:rPr>
          <w:lang w:val="en-US"/>
        </w:rPr>
        <w:t xml:space="preserve">More details about the CRT methodology is provided in Reference </w:t>
      </w:r>
      <w:r w:rsidR="009E768B">
        <w:rPr>
          <w:lang w:val="en-US"/>
        </w:rPr>
        <w:fldChar w:fldCharType="begin"/>
      </w:r>
      <w:r>
        <w:rPr>
          <w:lang w:val="en-US"/>
        </w:rPr>
        <w:instrText xml:space="preserve"> REF _Ref467697147 \r \h </w:instrText>
      </w:r>
      <w:r w:rsidR="009E768B">
        <w:rPr>
          <w:lang w:val="en-US"/>
        </w:rPr>
      </w:r>
      <w:r w:rsidR="009E768B">
        <w:rPr>
          <w:lang w:val="en-US"/>
        </w:rPr>
        <w:fldChar w:fldCharType="separate"/>
      </w:r>
      <w:r w:rsidR="00B772CA">
        <w:rPr>
          <w:lang w:val="en-US"/>
        </w:rPr>
        <w:t>[43]</w:t>
      </w:r>
      <w:r w:rsidR="009E768B">
        <w:rPr>
          <w:lang w:val="en-US"/>
        </w:rPr>
        <w:fldChar w:fldCharType="end"/>
      </w:r>
      <w:r>
        <w:rPr>
          <w:lang w:val="en-US"/>
        </w:rPr>
        <w:t xml:space="preserve"> and </w:t>
      </w:r>
      <w:r w:rsidR="009E768B">
        <w:rPr>
          <w:lang w:val="en-US"/>
        </w:rPr>
        <w:fldChar w:fldCharType="begin"/>
      </w:r>
      <w:r>
        <w:rPr>
          <w:lang w:val="en-US"/>
        </w:rPr>
        <w:instrText xml:space="preserve"> REF _Ref342663880 \r \h </w:instrText>
      </w:r>
      <w:r w:rsidR="009E768B">
        <w:rPr>
          <w:lang w:val="en-US"/>
        </w:rPr>
      </w:r>
      <w:r w:rsidR="009E768B">
        <w:rPr>
          <w:lang w:val="en-US"/>
        </w:rPr>
        <w:fldChar w:fldCharType="separate"/>
      </w:r>
      <w:r w:rsidR="00B772CA">
        <w:rPr>
          <w:lang w:val="en-US"/>
        </w:rPr>
        <w:t>[11</w:t>
      </w:r>
      <w:r w:rsidR="00B772CA">
        <w:rPr>
          <w:lang w:val="en-US"/>
        </w:rPr>
        <w:t>4</w:t>
      </w:r>
      <w:r w:rsidR="00B772CA">
        <w:rPr>
          <w:lang w:val="en-US"/>
        </w:rPr>
        <w:t>]</w:t>
      </w:r>
      <w:r w:rsidR="009E768B">
        <w:rPr>
          <w:lang w:val="en-US"/>
        </w:rPr>
        <w:fldChar w:fldCharType="end"/>
      </w:r>
      <w:r>
        <w:rPr>
          <w:lang w:val="en-US"/>
        </w:rPr>
        <w:t>.</w:t>
      </w:r>
    </w:p>
    <w:p w:rsidR="00751012" w:rsidRDefault="00751012" w:rsidP="00505B2A">
      <w:pPr>
        <w:spacing w:before="120" w:line="360" w:lineRule="auto"/>
        <w:rPr>
          <w:lang w:val="en-US"/>
        </w:rPr>
      </w:pPr>
      <w:r>
        <w:rPr>
          <w:lang w:val="en-US"/>
        </w:rPr>
        <w:t>The CRT methodology helps to better analyze the L2 PSA results, to judge if a plant is balanced at level of particular INES grades contributing to total risk, or at level of particular sequences belonging to particular INES grades. This may be used also for decision making as presented in</w:t>
      </w:r>
      <w:r w:rsidR="00CA717C">
        <w:rPr>
          <w:lang w:val="en-US"/>
        </w:rPr>
        <w:t xml:space="preserve"> </w:t>
      </w:r>
      <w:r w:rsidR="00CA717C">
        <w:rPr>
          <w:lang w:val="en-US"/>
        </w:rPr>
        <w:fldChar w:fldCharType="begin"/>
      </w:r>
      <w:r w:rsidR="00CA717C">
        <w:rPr>
          <w:lang w:val="en-US"/>
        </w:rPr>
        <w:instrText xml:space="preserve"> REF _Ref473650000 \r \h </w:instrText>
      </w:r>
      <w:r w:rsidR="00CA717C">
        <w:rPr>
          <w:lang w:val="en-US"/>
        </w:rPr>
      </w:r>
      <w:r w:rsidR="00CA717C">
        <w:rPr>
          <w:lang w:val="en-US"/>
        </w:rPr>
        <w:fldChar w:fldCharType="separate"/>
      </w:r>
      <w:r w:rsidR="00B772CA">
        <w:rPr>
          <w:lang w:val="en-US"/>
        </w:rPr>
        <w:t>[127]</w:t>
      </w:r>
      <w:r w:rsidR="00CA717C">
        <w:rPr>
          <w:lang w:val="en-US"/>
        </w:rPr>
        <w:fldChar w:fldCharType="end"/>
      </w:r>
      <w:r>
        <w:rPr>
          <w:lang w:val="en-US"/>
        </w:rPr>
        <w:t>. The advantage of the method is, that makes link between real and hypothetical accidents through the INES scale and makes possible to compare nuclear risks between each other as well as with other industrial risks lowering the need of L3 PSA performance.</w:t>
      </w:r>
    </w:p>
    <w:p w:rsidR="008E43A3" w:rsidRPr="0089273E" w:rsidRDefault="008E43A3" w:rsidP="008E43A3">
      <w:pPr>
        <w:pStyle w:val="Titre4"/>
      </w:pPr>
      <w:r>
        <w:t>Limitation</w:t>
      </w:r>
      <w:r w:rsidR="00694F4A">
        <w:t>s</w:t>
      </w:r>
    </w:p>
    <w:p w:rsidR="00D640E2" w:rsidRPr="00D640E2" w:rsidRDefault="00694F4A" w:rsidP="00D640E2">
      <w:pPr>
        <w:rPr>
          <w:lang w:val="en-GB"/>
        </w:rPr>
      </w:pPr>
      <w:r w:rsidRPr="00D640E2">
        <w:rPr>
          <w:lang w:val="en-GB"/>
        </w:rPr>
        <w:t xml:space="preserve">There are limitations </w:t>
      </w:r>
      <w:r w:rsidR="00D640E2" w:rsidRPr="00D640E2">
        <w:rPr>
          <w:lang w:val="en-GB"/>
        </w:rPr>
        <w:t>which</w:t>
      </w:r>
      <w:r w:rsidRPr="00D640E2">
        <w:rPr>
          <w:lang w:val="en-GB"/>
        </w:rPr>
        <w:t xml:space="preserve"> are intrinsic to the INES scale, for example, it only takes into consideration the atmospheric release (the liquid release and ground contamination are not taken into account), </w:t>
      </w:r>
      <w:bookmarkStart w:id="387" w:name="_Toc467739351"/>
      <w:bookmarkStart w:id="388" w:name="_Toc467739550"/>
      <w:bookmarkStart w:id="389" w:name="_Toc467739352"/>
      <w:bookmarkStart w:id="390" w:name="_Toc467739551"/>
      <w:bookmarkStart w:id="391" w:name="_Toc452560486"/>
      <w:bookmarkStart w:id="392" w:name="_Toc452561427"/>
      <w:bookmarkStart w:id="393" w:name="_Toc452561643"/>
      <w:bookmarkEnd w:id="387"/>
      <w:bookmarkEnd w:id="388"/>
      <w:bookmarkEnd w:id="389"/>
      <w:bookmarkEnd w:id="390"/>
      <w:bookmarkEnd w:id="391"/>
      <w:bookmarkEnd w:id="392"/>
      <w:bookmarkEnd w:id="393"/>
    </w:p>
    <w:p w:rsidR="0059754E" w:rsidRPr="00C37FCE" w:rsidRDefault="0059754E" w:rsidP="0059754E">
      <w:pPr>
        <w:pStyle w:val="Titre3"/>
        <w:rPr>
          <w:lang w:val="en-US"/>
        </w:rPr>
      </w:pPr>
      <w:bookmarkStart w:id="394" w:name="_Toc474430232"/>
      <w:r>
        <w:rPr>
          <w:lang w:val="en-US"/>
        </w:rPr>
        <w:t>Discussion</w:t>
      </w:r>
      <w:bookmarkEnd w:id="394"/>
    </w:p>
    <w:p w:rsidR="00D640E2" w:rsidRDefault="0059754E" w:rsidP="00BF36DA">
      <w:pPr>
        <w:rPr>
          <w:bCs/>
          <w:lang w:val="en-US"/>
        </w:rPr>
      </w:pPr>
      <w:r w:rsidRPr="005F40B7">
        <w:rPr>
          <w:bCs/>
          <w:lang w:val="en-US"/>
        </w:rPr>
        <w:t>The “total risk” integrates the risk due to all event sequences into a single metric, and it even can be a measure for the integral of all off-site consequences due to all possible sequences. This is a very appealing concept</w:t>
      </w:r>
      <w:r w:rsidR="00BB6C8A" w:rsidRPr="00BB6C8A">
        <w:rPr>
          <w:bCs/>
          <w:lang w:val="en-US"/>
        </w:rPr>
        <w:t xml:space="preserve"> </w:t>
      </w:r>
      <w:r w:rsidR="00BB6C8A">
        <w:rPr>
          <w:bCs/>
          <w:lang w:val="en-US"/>
        </w:rPr>
        <w:t xml:space="preserve">which provides risk of releases as </w:t>
      </w:r>
      <w:r w:rsidR="00D106DA">
        <w:rPr>
          <w:bCs/>
          <w:lang w:val="en-US"/>
        </w:rPr>
        <w:t>an</w:t>
      </w:r>
      <w:r w:rsidR="00BB6C8A">
        <w:rPr>
          <w:bCs/>
          <w:lang w:val="en-US"/>
        </w:rPr>
        <w:t xml:space="preserve"> indicator of nuclear safety linked to radiation source only, enables </w:t>
      </w:r>
      <w:r w:rsidR="001A56F0">
        <w:rPr>
          <w:bCs/>
          <w:lang w:val="en-US"/>
        </w:rPr>
        <w:t>a comprehensive</w:t>
      </w:r>
      <w:r w:rsidR="00BB6C8A">
        <w:rPr>
          <w:bCs/>
          <w:lang w:val="en-US"/>
        </w:rPr>
        <w:t xml:space="preserve"> presentation </w:t>
      </w:r>
      <w:r w:rsidR="001A56F0">
        <w:rPr>
          <w:bCs/>
          <w:lang w:val="en-US"/>
        </w:rPr>
        <w:t xml:space="preserve">and analysis </w:t>
      </w:r>
      <w:r w:rsidR="00BB6C8A">
        <w:rPr>
          <w:bCs/>
          <w:lang w:val="en-US"/>
        </w:rPr>
        <w:t>of results, and</w:t>
      </w:r>
      <w:r w:rsidR="00D171D5">
        <w:rPr>
          <w:bCs/>
          <w:lang w:val="en-US"/>
        </w:rPr>
        <w:t xml:space="preserve"> </w:t>
      </w:r>
      <w:r w:rsidRPr="005F40B7">
        <w:rPr>
          <w:bCs/>
          <w:lang w:val="en-US"/>
        </w:rPr>
        <w:t xml:space="preserve">it </w:t>
      </w:r>
      <w:r w:rsidR="001006B9">
        <w:rPr>
          <w:bCs/>
          <w:lang w:val="en-US"/>
        </w:rPr>
        <w:t>supports</w:t>
      </w:r>
      <w:r w:rsidRPr="005F40B7">
        <w:rPr>
          <w:bCs/>
          <w:lang w:val="en-US"/>
        </w:rPr>
        <w:t xml:space="preserve"> decision making. </w:t>
      </w:r>
    </w:p>
    <w:p w:rsidR="0059754E" w:rsidRDefault="0059754E" w:rsidP="00BF36DA">
      <w:pPr>
        <w:rPr>
          <w:bCs/>
          <w:lang w:val="en-US"/>
        </w:rPr>
      </w:pPr>
      <w:r w:rsidRPr="005F40B7">
        <w:rPr>
          <w:bCs/>
          <w:lang w:val="en-US"/>
        </w:rPr>
        <w:t xml:space="preserve">Of course </w:t>
      </w:r>
      <w:r w:rsidR="00A5533B">
        <w:rPr>
          <w:bCs/>
          <w:lang w:val="en-US"/>
        </w:rPr>
        <w:t xml:space="preserve">one numerical value – as </w:t>
      </w:r>
      <w:r w:rsidR="00E0679C">
        <w:rPr>
          <w:bCs/>
          <w:lang w:val="en-US"/>
        </w:rPr>
        <w:t>actually</w:t>
      </w:r>
      <w:r w:rsidR="00160114">
        <w:rPr>
          <w:bCs/>
          <w:lang w:val="en-US"/>
        </w:rPr>
        <w:t xml:space="preserve"> </w:t>
      </w:r>
      <w:r w:rsidR="00A5533B">
        <w:rPr>
          <w:bCs/>
          <w:lang w:val="en-US"/>
        </w:rPr>
        <w:t xml:space="preserve">in case of other risk metrics being already in use - </w:t>
      </w:r>
      <w:r w:rsidRPr="005F40B7">
        <w:rPr>
          <w:bCs/>
          <w:lang w:val="en-US"/>
        </w:rPr>
        <w:t>cannot capture the majority of information which is available within a L2 PSA. Therefore, the integral risk must never be the only L2 PSA result.</w:t>
      </w:r>
      <w:r w:rsidR="00A9133B" w:rsidRPr="005F40B7">
        <w:rPr>
          <w:bCs/>
          <w:lang w:val="en-US"/>
        </w:rPr>
        <w:t xml:space="preserve"> </w:t>
      </w:r>
      <w:r w:rsidRPr="005F40B7">
        <w:rPr>
          <w:bCs/>
          <w:lang w:val="en-US"/>
        </w:rPr>
        <w:t xml:space="preserve">Once the total risk is established, it enables, for example, easy </w:t>
      </w:r>
      <w:r w:rsidR="00544968">
        <w:rPr>
          <w:bCs/>
          <w:lang w:val="en-US"/>
        </w:rPr>
        <w:t>identification</w:t>
      </w:r>
      <w:r w:rsidR="00544968" w:rsidRPr="005F40B7">
        <w:rPr>
          <w:bCs/>
          <w:lang w:val="en-US"/>
        </w:rPr>
        <w:t xml:space="preserve"> </w:t>
      </w:r>
      <w:r w:rsidR="00160114">
        <w:rPr>
          <w:bCs/>
          <w:lang w:val="en-US"/>
        </w:rPr>
        <w:t xml:space="preserve">of </w:t>
      </w:r>
      <w:r w:rsidRPr="005F40B7">
        <w:rPr>
          <w:bCs/>
          <w:lang w:val="en-US"/>
        </w:rPr>
        <w:t xml:space="preserve">individual contribution of L2 PSA elements like release categories, accident phenomena or </w:t>
      </w:r>
      <w:r w:rsidR="001F396A" w:rsidRPr="005F40B7">
        <w:rPr>
          <w:bCs/>
          <w:lang w:val="en-US"/>
        </w:rPr>
        <w:t>core damage state (</w:t>
      </w:r>
      <w:r w:rsidRPr="005F40B7">
        <w:rPr>
          <w:bCs/>
          <w:lang w:val="en-US"/>
        </w:rPr>
        <w:t>CDS</w:t>
      </w:r>
      <w:r w:rsidR="001F396A" w:rsidRPr="005F40B7">
        <w:rPr>
          <w:bCs/>
          <w:lang w:val="en-US"/>
        </w:rPr>
        <w:t>)</w:t>
      </w:r>
      <w:r w:rsidRPr="005F40B7">
        <w:rPr>
          <w:bCs/>
          <w:lang w:val="en-US"/>
        </w:rPr>
        <w:t xml:space="preserve"> to the total risk.</w:t>
      </w:r>
    </w:p>
    <w:p w:rsidR="0059754E" w:rsidRPr="00CF57A4" w:rsidRDefault="0059754E" w:rsidP="0059754E">
      <w:pPr>
        <w:pStyle w:val="Titre3"/>
        <w:rPr>
          <w:rFonts w:eastAsia="Batang"/>
          <w:lang w:val="en-US"/>
        </w:rPr>
      </w:pPr>
      <w:bookmarkStart w:id="395" w:name="_Toc474430233"/>
      <w:r w:rsidRPr="00CF57A4">
        <w:rPr>
          <w:rFonts w:eastAsia="Batang"/>
          <w:lang w:val="en-US"/>
        </w:rPr>
        <w:t>ASAMPSA_E recommendation on total risk measure</w:t>
      </w:r>
      <w:bookmarkEnd w:id="395"/>
      <w:r w:rsidRPr="00CF57A4">
        <w:rPr>
          <w:rFonts w:eastAsia="Batang"/>
          <w:lang w:val="en-US"/>
        </w:rPr>
        <w:t xml:space="preserve"> </w:t>
      </w:r>
    </w:p>
    <w:p w:rsidR="0059754E" w:rsidRPr="00CF57A4" w:rsidRDefault="001006B9" w:rsidP="0059754E">
      <w:pPr>
        <w:rPr>
          <w:bCs/>
          <w:lang w:val="en-US"/>
        </w:rPr>
      </w:pPr>
      <w:r w:rsidRPr="00CF57A4">
        <w:rPr>
          <w:bCs/>
          <w:lang w:val="en-US"/>
        </w:rPr>
        <w:t xml:space="preserve">According to most </w:t>
      </w:r>
      <w:r w:rsidR="00B6337D" w:rsidRPr="00CF57A4">
        <w:rPr>
          <w:bCs/>
          <w:lang w:val="en-US"/>
        </w:rPr>
        <w:t>guidelines (e.g. [5]), L2 PSA should provide a set of source terms together with their frequ</w:t>
      </w:r>
      <w:r w:rsidR="00505B2A" w:rsidRPr="00CF57A4">
        <w:rPr>
          <w:bCs/>
          <w:lang w:val="en-US"/>
        </w:rPr>
        <w:t>e</w:t>
      </w:r>
      <w:r w:rsidR="00B6337D" w:rsidRPr="00CF57A4">
        <w:rPr>
          <w:bCs/>
          <w:lang w:val="en-US"/>
        </w:rPr>
        <w:t xml:space="preserve">ncies. </w:t>
      </w:r>
      <w:r w:rsidR="00505B2A" w:rsidRPr="00CF57A4">
        <w:rPr>
          <w:bCs/>
          <w:lang w:val="en-US"/>
        </w:rPr>
        <w:t xml:space="preserve">If a L2 PSA complies with this requirement, it </w:t>
      </w:r>
      <w:r w:rsidR="00F77061" w:rsidRPr="00CF57A4">
        <w:rPr>
          <w:bCs/>
          <w:lang w:val="en-US"/>
        </w:rPr>
        <w:t xml:space="preserve">can </w:t>
      </w:r>
      <w:r w:rsidR="0059754E" w:rsidRPr="00CF57A4">
        <w:rPr>
          <w:bCs/>
          <w:lang w:val="en-US"/>
        </w:rPr>
        <w:t xml:space="preserve">provide a total </w:t>
      </w:r>
      <w:r w:rsidR="008F3998" w:rsidRPr="00CF57A4">
        <w:rPr>
          <w:bCs/>
          <w:lang w:val="en-US"/>
        </w:rPr>
        <w:t xml:space="preserve">or integral </w:t>
      </w:r>
      <w:r w:rsidR="0059754E" w:rsidRPr="00CF57A4">
        <w:rPr>
          <w:bCs/>
          <w:lang w:val="en-US"/>
        </w:rPr>
        <w:t>risk measure as a complement to the many other risk measures under consideration. This can be done by integrating the risk due to all event sequences into a single metric by summing up all activity releases multiplied by their respective frequencies. Technically, this is an easy task for L2 PSA which has all accident sequences and release categories with their respective source terms available.</w:t>
      </w:r>
    </w:p>
    <w:p w:rsidR="00E51956" w:rsidRPr="00CF57A4" w:rsidRDefault="00E51956" w:rsidP="0059754E">
      <w:pPr>
        <w:rPr>
          <w:bCs/>
          <w:lang w:val="en-US"/>
        </w:rPr>
      </w:pPr>
    </w:p>
    <w:p w:rsidR="001C1710" w:rsidRPr="00CF57A4" w:rsidRDefault="006C3C2B" w:rsidP="0059754E">
      <w:pPr>
        <w:rPr>
          <w:bCs/>
          <w:lang w:val="en-US"/>
        </w:rPr>
      </w:pPr>
      <w:r w:rsidRPr="00CF57A4">
        <w:rPr>
          <w:lang w:val="en-US"/>
        </w:rPr>
        <w:t>An</w:t>
      </w:r>
      <w:r w:rsidR="00BB1804" w:rsidRPr="00CF57A4">
        <w:rPr>
          <w:bCs/>
          <w:lang w:val="en-US"/>
        </w:rPr>
        <w:t xml:space="preserve"> attractive feature which comes with a single value for the integral risk is the possibility to compare it to a risk target. Without such a single value, having just a set of several L2 PSA result characteristics, it is difficult to define a consistent set of various targets for the different result characteristics. </w:t>
      </w:r>
    </w:p>
    <w:p w:rsidR="00E51956" w:rsidRPr="00CF57A4" w:rsidRDefault="00E51956" w:rsidP="0059754E">
      <w:pPr>
        <w:rPr>
          <w:bCs/>
          <w:lang w:val="en-US"/>
        </w:rPr>
      </w:pPr>
    </w:p>
    <w:p w:rsidR="00E51956" w:rsidRPr="00CF57A4" w:rsidRDefault="006C3C2B" w:rsidP="00E4610E">
      <w:pPr>
        <w:rPr>
          <w:bCs/>
          <w:lang w:val="en-US"/>
        </w:rPr>
      </w:pPr>
      <w:r w:rsidRPr="00CF57A4">
        <w:rPr>
          <w:bCs/>
          <w:lang w:val="en-US"/>
        </w:rPr>
        <w:lastRenderedPageBreak/>
        <w:t xml:space="preserve">However, </w:t>
      </w:r>
      <w:r w:rsidR="00BB7494">
        <w:rPr>
          <w:bCs/>
          <w:lang w:val="en-US"/>
        </w:rPr>
        <w:t>t</w:t>
      </w:r>
      <w:r w:rsidRPr="00CF57A4">
        <w:rPr>
          <w:bCs/>
          <w:lang w:val="en-US"/>
        </w:rPr>
        <w:t xml:space="preserve">he total risk measure </w:t>
      </w:r>
      <w:r w:rsidR="0082281D">
        <w:rPr>
          <w:bCs/>
          <w:lang w:val="en-US"/>
        </w:rPr>
        <w:t xml:space="preserve">CRT, </w:t>
      </w:r>
      <w:r w:rsidR="00E4610E">
        <w:rPr>
          <w:bCs/>
          <w:lang w:val="en-US"/>
        </w:rPr>
        <w:t xml:space="preserve">as actually </w:t>
      </w:r>
      <w:r w:rsidR="0082281D">
        <w:rPr>
          <w:bCs/>
          <w:lang w:val="en-US"/>
        </w:rPr>
        <w:t xml:space="preserve">also </w:t>
      </w:r>
      <w:r w:rsidR="00E4610E">
        <w:rPr>
          <w:bCs/>
          <w:lang w:val="en-US"/>
        </w:rPr>
        <w:t>other currently used risk metrics</w:t>
      </w:r>
      <w:r w:rsidR="0082281D">
        <w:rPr>
          <w:bCs/>
          <w:lang w:val="en-US"/>
        </w:rPr>
        <w:t>,</w:t>
      </w:r>
      <w:r w:rsidR="00E4610E">
        <w:rPr>
          <w:bCs/>
          <w:lang w:val="en-US"/>
        </w:rPr>
        <w:t xml:space="preserve"> </w:t>
      </w:r>
      <w:r w:rsidR="00505B2A" w:rsidRPr="00CF57A4">
        <w:rPr>
          <w:bCs/>
          <w:lang w:val="en-US"/>
        </w:rPr>
        <w:t>combines sequences with very different degree</w:t>
      </w:r>
      <w:r w:rsidR="00C95A25">
        <w:rPr>
          <w:bCs/>
          <w:lang w:val="en-US"/>
        </w:rPr>
        <w:t>s</w:t>
      </w:r>
      <w:r w:rsidR="00505B2A" w:rsidRPr="00CF57A4">
        <w:rPr>
          <w:bCs/>
          <w:lang w:val="en-US"/>
        </w:rPr>
        <w:t xml:space="preserve"> of </w:t>
      </w:r>
      <w:r w:rsidRPr="00CF57A4">
        <w:rPr>
          <w:bCs/>
          <w:lang w:val="en-US"/>
        </w:rPr>
        <w:t>uncertaint</w:t>
      </w:r>
      <w:r w:rsidR="00505B2A" w:rsidRPr="00CF57A4">
        <w:rPr>
          <w:bCs/>
          <w:lang w:val="en-US"/>
        </w:rPr>
        <w:t>y</w:t>
      </w:r>
      <w:r w:rsidRPr="00CF57A4">
        <w:rPr>
          <w:bCs/>
          <w:lang w:val="en-US"/>
        </w:rPr>
        <w:t xml:space="preserve">, </w:t>
      </w:r>
      <w:r w:rsidR="00E4610E">
        <w:rPr>
          <w:bCs/>
          <w:lang w:val="en-US"/>
        </w:rPr>
        <w:t>and therefore safety insights and reliability of each of them have to be analyzed or approved with safety regulators in each country.</w:t>
      </w:r>
    </w:p>
    <w:p w:rsidR="0059754E" w:rsidRPr="00CF57A4" w:rsidRDefault="004D5627" w:rsidP="00505B2A">
      <w:pPr>
        <w:rPr>
          <w:bCs/>
          <w:lang w:val="en-US"/>
        </w:rPr>
      </w:pPr>
      <w:r w:rsidRPr="00CF57A4">
        <w:rPr>
          <w:bCs/>
          <w:lang w:val="en-US"/>
        </w:rPr>
        <w:t xml:space="preserve">This approach is an interesting contribution for further harmonization of L2 PSA practices. </w:t>
      </w:r>
    </w:p>
    <w:p w:rsidR="005D7568" w:rsidRPr="00CF57A4" w:rsidRDefault="005D7568" w:rsidP="0059754E">
      <w:pPr>
        <w:spacing w:line="360" w:lineRule="auto"/>
        <w:rPr>
          <w:lang w:val="en-US"/>
        </w:rPr>
      </w:pPr>
    </w:p>
    <w:p w:rsidR="001B2BA3" w:rsidRPr="00CF57A4" w:rsidRDefault="001B2BA3" w:rsidP="001B2BA3">
      <w:pPr>
        <w:rPr>
          <w:lang w:val="en-US"/>
        </w:rPr>
      </w:pPr>
      <w:r w:rsidRPr="00CF57A4">
        <w:rPr>
          <w:lang w:val="en-US"/>
        </w:rPr>
        <w:t xml:space="preserve">The CRT method was already applied as an example for SAM applications (see </w:t>
      </w:r>
      <w:r w:rsidR="00505B2A" w:rsidRPr="00CF57A4">
        <w:rPr>
          <w:lang w:val="en-US"/>
        </w:rPr>
        <w:t xml:space="preserve"> in ASAMPSA_E</w:t>
      </w:r>
      <w:r w:rsidRPr="00CF57A4">
        <w:rPr>
          <w:lang w:val="en-US"/>
        </w:rPr>
        <w:t xml:space="preserve">) as well as for processing of Full Scope L2 PSA results for Mühleberg NPP in Switzerland in 2013 in case of considered backfitting reflecting the Fukushima accident </w:t>
      </w:r>
      <w:r w:rsidR="00CD0CBE">
        <w:fldChar w:fldCharType="begin"/>
      </w:r>
      <w:r w:rsidR="00CD0CBE">
        <w:instrText xml:space="preserve"> REF _Ref342721307 \r \h  \* MERGEFORMAT </w:instrText>
      </w:r>
      <w:r w:rsidR="00CD0CBE">
        <w:fldChar w:fldCharType="separate"/>
      </w:r>
      <w:r w:rsidR="00B772CA" w:rsidRPr="00B772CA">
        <w:rPr>
          <w:lang w:val="en-US"/>
        </w:rPr>
        <w:t>[124]</w:t>
      </w:r>
      <w:r w:rsidR="00CD0CBE">
        <w:fldChar w:fldCharType="end"/>
      </w:r>
      <w:r w:rsidRPr="00CF57A4">
        <w:rPr>
          <w:lang w:val="en-US"/>
        </w:rPr>
        <w:t>. For decision making</w:t>
      </w:r>
      <w:r w:rsidR="00C95A25">
        <w:rPr>
          <w:lang w:val="en-US"/>
        </w:rPr>
        <w:t>,</w:t>
      </w:r>
      <w:r w:rsidRPr="00CF57A4">
        <w:rPr>
          <w:lang w:val="en-US"/>
        </w:rPr>
        <w:t xml:space="preserve"> an example using CRT method is given within ASAMPSA</w:t>
      </w:r>
      <w:r w:rsidR="00505B2A" w:rsidRPr="00CF57A4">
        <w:rPr>
          <w:lang w:val="en-US"/>
        </w:rPr>
        <w:t>_</w:t>
      </w:r>
      <w:r w:rsidRPr="00CF57A4">
        <w:rPr>
          <w:lang w:val="en-US"/>
        </w:rPr>
        <w:t>E</w:t>
      </w:r>
      <w:r w:rsidR="00046DEC">
        <w:rPr>
          <w:lang w:val="en-US"/>
        </w:rPr>
        <w:t xml:space="preserve"> </w:t>
      </w:r>
      <w:r w:rsidR="009E768B">
        <w:rPr>
          <w:lang w:val="en-US"/>
        </w:rPr>
        <w:fldChar w:fldCharType="begin"/>
      </w:r>
      <w:r w:rsidR="00046DEC">
        <w:rPr>
          <w:lang w:val="en-US"/>
        </w:rPr>
        <w:instrText xml:space="preserve"> REF _Ref473650000 \r \h </w:instrText>
      </w:r>
      <w:r w:rsidR="009E768B">
        <w:rPr>
          <w:lang w:val="en-US"/>
        </w:rPr>
      </w:r>
      <w:r w:rsidR="009E768B">
        <w:rPr>
          <w:lang w:val="en-US"/>
        </w:rPr>
        <w:fldChar w:fldCharType="separate"/>
      </w:r>
      <w:r w:rsidR="00B772CA">
        <w:rPr>
          <w:lang w:val="en-US"/>
        </w:rPr>
        <w:t>[127]</w:t>
      </w:r>
      <w:r w:rsidR="009E768B">
        <w:rPr>
          <w:lang w:val="en-US"/>
        </w:rPr>
        <w:fldChar w:fldCharType="end"/>
      </w:r>
      <w:r w:rsidRPr="00CF57A4">
        <w:rPr>
          <w:lang w:val="en-US"/>
        </w:rPr>
        <w:t xml:space="preserve">. </w:t>
      </w:r>
    </w:p>
    <w:p w:rsidR="001B2BA3" w:rsidRPr="00CF57A4" w:rsidRDefault="001B2BA3" w:rsidP="0059754E">
      <w:pPr>
        <w:spacing w:line="360" w:lineRule="auto"/>
        <w:rPr>
          <w:lang w:val="en-US"/>
        </w:rPr>
      </w:pPr>
    </w:p>
    <w:p w:rsidR="00A46C00" w:rsidRPr="00CF57A4" w:rsidRDefault="00684680" w:rsidP="00C94556">
      <w:pPr>
        <w:pStyle w:val="Titre1"/>
        <w:rPr>
          <w:lang w:val="en-US"/>
        </w:rPr>
      </w:pPr>
      <w:bookmarkStart w:id="396" w:name="_Toc273619327"/>
      <w:bookmarkStart w:id="397" w:name="_Toc273619609"/>
      <w:bookmarkStart w:id="398" w:name="_Toc273619328"/>
      <w:bookmarkStart w:id="399" w:name="_Toc273619610"/>
      <w:bookmarkStart w:id="400" w:name="_Toc273619329"/>
      <w:bookmarkStart w:id="401" w:name="_Toc273619611"/>
      <w:bookmarkStart w:id="402" w:name="_Ref444100755"/>
      <w:bookmarkStart w:id="403" w:name="_Ref323543427"/>
      <w:bookmarkStart w:id="404" w:name="_Toc474430234"/>
      <w:bookmarkEnd w:id="396"/>
      <w:bookmarkEnd w:id="397"/>
      <w:bookmarkEnd w:id="398"/>
      <w:bookmarkEnd w:id="399"/>
      <w:bookmarkEnd w:id="400"/>
      <w:bookmarkEnd w:id="401"/>
      <w:r w:rsidRPr="00CF57A4">
        <w:rPr>
          <w:lang w:val="en-US"/>
        </w:rPr>
        <w:t xml:space="preserve">Multi-Source PSA and </w:t>
      </w:r>
      <w:r w:rsidR="00A46C00" w:rsidRPr="00CF57A4">
        <w:rPr>
          <w:lang w:val="en-US"/>
        </w:rPr>
        <w:t>Site Level Risk Me</w:t>
      </w:r>
      <w:bookmarkEnd w:id="402"/>
      <w:r w:rsidR="00EE30BD" w:rsidRPr="00CF57A4">
        <w:rPr>
          <w:lang w:val="en-US"/>
        </w:rPr>
        <w:t>trics</w:t>
      </w:r>
      <w:bookmarkEnd w:id="403"/>
      <w:bookmarkEnd w:id="404"/>
    </w:p>
    <w:p w:rsidR="00A46C00" w:rsidRPr="00CF57A4" w:rsidRDefault="00A46C00">
      <w:pPr>
        <w:rPr>
          <w:lang w:val="en-US"/>
        </w:rPr>
      </w:pPr>
    </w:p>
    <w:bookmarkEnd w:id="326"/>
    <w:bookmarkEnd w:id="327"/>
    <w:p w:rsidR="00A46C00" w:rsidRPr="00E2449B" w:rsidRDefault="00A46C00" w:rsidP="00C94556">
      <w:pPr>
        <w:spacing w:line="360" w:lineRule="auto"/>
        <w:rPr>
          <w:bCs/>
          <w:lang w:val="en-GB" w:eastAsia="ja-JP"/>
        </w:rPr>
      </w:pPr>
      <w:r w:rsidRPr="00CF57A4">
        <w:rPr>
          <w:lang w:val="en-GB"/>
        </w:rPr>
        <w:t>In this section</w:t>
      </w:r>
      <w:r w:rsidR="005667C1" w:rsidRPr="00CF57A4">
        <w:rPr>
          <w:lang w:val="en-GB"/>
        </w:rPr>
        <w:t>,</w:t>
      </w:r>
      <w:r w:rsidRPr="00CF57A4">
        <w:rPr>
          <w:lang w:val="en-GB"/>
        </w:rPr>
        <w:t xml:space="preserve"> we discuss the extension of PSA Level 1 and Level 2 risk metrics and ri</w:t>
      </w:r>
      <w:r>
        <w:rPr>
          <w:lang w:val="en-GB"/>
        </w:rPr>
        <w:t xml:space="preserve">sk measures to </w:t>
      </w:r>
      <w:r w:rsidR="005E490F">
        <w:rPr>
          <w:lang w:val="en-GB"/>
        </w:rPr>
        <w:t xml:space="preserve">multi-source and </w:t>
      </w:r>
      <w:r>
        <w:rPr>
          <w:lang w:val="en-GB"/>
        </w:rPr>
        <w:t xml:space="preserve">site level risk metrics and measures. The starting point of the discussion is the observation that </w:t>
      </w:r>
      <w:r w:rsidR="004642CE">
        <w:rPr>
          <w:lang w:val="en-GB"/>
        </w:rPr>
        <w:t>m</w:t>
      </w:r>
      <w:r w:rsidRPr="00E2449B">
        <w:rPr>
          <w:bCs/>
          <w:lang w:val="en-GB" w:eastAsia="ja-JP"/>
        </w:rPr>
        <w:t>ulti</w:t>
      </w:r>
      <w:r>
        <w:rPr>
          <w:bCs/>
          <w:lang w:val="en-GB" w:eastAsia="ja-JP"/>
        </w:rPr>
        <w:t>-</w:t>
      </w:r>
      <w:r w:rsidRPr="00E2449B">
        <w:rPr>
          <w:bCs/>
          <w:lang w:val="en-GB" w:eastAsia="ja-JP"/>
        </w:rPr>
        <w:t xml:space="preserve">unit </w:t>
      </w:r>
      <w:r w:rsidR="005E490F">
        <w:rPr>
          <w:bCs/>
          <w:lang w:val="en-GB" w:eastAsia="ja-JP"/>
        </w:rPr>
        <w:t xml:space="preserve">(multi-source) </w:t>
      </w:r>
      <w:r w:rsidRPr="00E2449B">
        <w:rPr>
          <w:bCs/>
          <w:lang w:val="en-GB" w:eastAsia="ja-JP"/>
        </w:rPr>
        <w:t>accident sequences may be caused by two classes of initiating events:</w:t>
      </w:r>
    </w:p>
    <w:p w:rsidR="00A46C00" w:rsidRPr="007813F9" w:rsidRDefault="00D47162" w:rsidP="00A46C00">
      <w:pPr>
        <w:numPr>
          <w:ilvl w:val="0"/>
          <w:numId w:val="63"/>
        </w:numPr>
        <w:rPr>
          <w:lang w:val="en-GB"/>
        </w:rPr>
      </w:pPr>
      <w:r>
        <w:rPr>
          <w:lang w:val="en-GB"/>
        </w:rPr>
        <w:t>Site C</w:t>
      </w:r>
      <w:r w:rsidR="00A46C00" w:rsidRPr="007813F9">
        <w:rPr>
          <w:lang w:val="en-GB"/>
        </w:rPr>
        <w:t>ommon-Cause Initiators (</w:t>
      </w:r>
      <w:r>
        <w:rPr>
          <w:lang w:val="en-GB"/>
        </w:rPr>
        <w:t>S</w:t>
      </w:r>
      <w:r w:rsidR="00A46C00" w:rsidRPr="007813F9">
        <w:rPr>
          <w:lang w:val="en-GB"/>
        </w:rPr>
        <w:t xml:space="preserve">CCIs): Initiators that simultaneously challenge all of the units at the site. </w:t>
      </w:r>
      <w:r w:rsidR="00216935">
        <w:rPr>
          <w:lang w:val="en-GB"/>
        </w:rPr>
        <w:t>S</w:t>
      </w:r>
      <w:r w:rsidR="00A46C00" w:rsidRPr="007813F9">
        <w:rPr>
          <w:lang w:val="en-GB"/>
        </w:rPr>
        <w:t xml:space="preserve">CCIs include initiators that are caused by external hazards (e.g. earthquakes, severe weather). </w:t>
      </w:r>
    </w:p>
    <w:p w:rsidR="00A46C00" w:rsidRPr="007813F9" w:rsidRDefault="00D47162" w:rsidP="00A46C00">
      <w:pPr>
        <w:numPr>
          <w:ilvl w:val="0"/>
          <w:numId w:val="63"/>
        </w:numPr>
        <w:rPr>
          <w:lang w:val="en-GB"/>
        </w:rPr>
      </w:pPr>
      <w:r>
        <w:rPr>
          <w:lang w:val="en-GB"/>
        </w:rPr>
        <w:t>S</w:t>
      </w:r>
      <w:r w:rsidR="00A46C00" w:rsidRPr="007813F9">
        <w:rPr>
          <w:lang w:val="en-GB"/>
        </w:rPr>
        <w:t>ingle-Unit Initiators (SUIs): Initiators that occur at one unit. SUIs generally include initiators caused by internal hazards such as internal events (e.g. loss of main feedwater, loss of coolant accidents), internal floods, and internal fires. SUIs may cause multi</w:t>
      </w:r>
      <w:r w:rsidR="00A46C00">
        <w:rPr>
          <w:lang w:val="en-GB"/>
        </w:rPr>
        <w:t>-</w:t>
      </w:r>
      <w:r w:rsidR="00A46C00" w:rsidRPr="007813F9">
        <w:rPr>
          <w:lang w:val="en-GB"/>
        </w:rPr>
        <w:t>unit accidents due to cross-unit dependencies such as shared support systems, spatial interactions (e.g., internal flood and internal fire propagation pathways), common cause failures or operator actions.</w:t>
      </w:r>
    </w:p>
    <w:p w:rsidR="00A46C00" w:rsidRDefault="00A46C00" w:rsidP="00A46C00">
      <w:pPr>
        <w:spacing w:line="360" w:lineRule="auto"/>
        <w:rPr>
          <w:bCs/>
          <w:i/>
          <w:caps/>
          <w:lang w:val="en-GB"/>
        </w:rPr>
      </w:pPr>
    </w:p>
    <w:p w:rsidR="00B772CA" w:rsidRPr="00B772CA" w:rsidRDefault="00A46C00" w:rsidP="00B772CA">
      <w:pPr>
        <w:rPr>
          <w:bCs/>
          <w:lang w:val="en-US"/>
        </w:rPr>
      </w:pPr>
      <w:r w:rsidRPr="0042104F">
        <w:rPr>
          <w:bCs/>
          <w:lang w:val="en-US"/>
        </w:rPr>
        <w:t xml:space="preserve">As shown in </w:t>
      </w:r>
      <w:r w:rsidR="00E71983" w:rsidRPr="0042104F">
        <w:rPr>
          <w:bCs/>
          <w:lang w:val="en-US"/>
        </w:rPr>
        <w:t>the figure</w:t>
      </w:r>
      <w:r w:rsidRPr="0042104F">
        <w:rPr>
          <w:bCs/>
          <w:lang w:val="en-US"/>
        </w:rPr>
        <w:t xml:space="preserve"> below</w:t>
      </w:r>
      <w:r w:rsidR="00F30E4D" w:rsidRPr="0042104F">
        <w:rPr>
          <w:bCs/>
          <w:lang w:val="en-US"/>
        </w:rPr>
        <w:t xml:space="preserve"> </w:t>
      </w:r>
      <w:r w:rsidR="009E768B" w:rsidRPr="0042104F">
        <w:rPr>
          <w:bCs/>
          <w:lang w:val="en-US"/>
        </w:rPr>
        <w:fldChar w:fldCharType="begin"/>
      </w:r>
      <w:r w:rsidR="00F30E4D" w:rsidRPr="0042104F">
        <w:rPr>
          <w:bCs/>
          <w:lang w:val="en-US"/>
        </w:rPr>
        <w:instrText xml:space="preserve"> REF _Ref300912619 \r \h </w:instrText>
      </w:r>
      <w:r w:rsidR="00BB7494">
        <w:rPr>
          <w:bCs/>
          <w:lang w:val="en-US"/>
        </w:rPr>
        <w:instrText xml:space="preserve"> \* MERGEFORMAT </w:instrText>
      </w:r>
      <w:r w:rsidR="009E768B" w:rsidRPr="0042104F">
        <w:rPr>
          <w:bCs/>
          <w:lang w:val="en-US"/>
        </w:rPr>
      </w:r>
      <w:r w:rsidR="009E768B" w:rsidRPr="0042104F">
        <w:rPr>
          <w:bCs/>
          <w:lang w:val="en-US"/>
        </w:rPr>
        <w:fldChar w:fldCharType="separate"/>
      </w:r>
      <w:r w:rsidR="00B772CA">
        <w:rPr>
          <w:bCs/>
          <w:lang w:val="en-US"/>
        </w:rPr>
        <w:t>[86]</w:t>
      </w:r>
      <w:r w:rsidR="009E768B" w:rsidRPr="0042104F">
        <w:rPr>
          <w:bCs/>
          <w:lang w:val="en-US"/>
        </w:rPr>
        <w:fldChar w:fldCharType="end"/>
      </w:r>
      <w:r w:rsidR="00421867" w:rsidRPr="0042104F">
        <w:rPr>
          <w:bCs/>
          <w:lang w:val="en-US"/>
        </w:rPr>
        <w:t xml:space="preserve">, </w:t>
      </w:r>
      <w:r w:rsidRPr="0042104F">
        <w:rPr>
          <w:bCs/>
          <w:lang w:val="en-US"/>
        </w:rPr>
        <w:t xml:space="preserve">this concept, which has been defined in the context of a single unit PRA, needs to be refined to resolve the extent of impact on a multi-unit site. A comparison of the initiating event treatments in multi-reactor vs. single reactor PRAs is provided in </w:t>
      </w:r>
      <w:r w:rsidR="009E768B" w:rsidRPr="0042104F">
        <w:rPr>
          <w:bCs/>
          <w:lang w:val="en-US"/>
        </w:rPr>
        <w:fldChar w:fldCharType="begin"/>
      </w:r>
      <w:r w:rsidRPr="0042104F">
        <w:rPr>
          <w:bCs/>
          <w:lang w:val="en-US"/>
        </w:rPr>
        <w:instrText xml:space="preserve"> REF _Ref430099470 \h </w:instrText>
      </w:r>
      <w:r w:rsidR="00BB7494">
        <w:rPr>
          <w:bCs/>
          <w:lang w:val="en-US"/>
        </w:rPr>
        <w:instrText xml:space="preserve"> \* MERGEFORMAT </w:instrText>
      </w:r>
      <w:r w:rsidR="009E768B" w:rsidRPr="0042104F">
        <w:rPr>
          <w:bCs/>
          <w:lang w:val="en-US"/>
        </w:rPr>
      </w:r>
      <w:r w:rsidR="009E768B" w:rsidRPr="0042104F">
        <w:rPr>
          <w:bCs/>
          <w:lang w:val="en-US"/>
        </w:rPr>
        <w:fldChar w:fldCharType="separate"/>
      </w:r>
      <w:r w:rsidR="00B772CA" w:rsidRPr="00B772CA">
        <w:rPr>
          <w:bCs/>
          <w:lang w:val="en-US"/>
        </w:rPr>
        <w:br w:type="page"/>
      </w:r>
    </w:p>
    <w:p w:rsidR="004642CE" w:rsidRPr="0042104F" w:rsidRDefault="00B772CA" w:rsidP="0042104F">
      <w:pPr>
        <w:rPr>
          <w:bCs/>
          <w:lang w:val="en-US"/>
        </w:rPr>
      </w:pPr>
      <w:r w:rsidRPr="00B772CA">
        <w:rPr>
          <w:bCs/>
          <w:lang w:val="en-US"/>
        </w:rPr>
        <w:lastRenderedPageBreak/>
        <w:t>Table</w:t>
      </w:r>
      <w:r w:rsidRPr="007813F9">
        <w:rPr>
          <w:lang w:val="en-US"/>
        </w:rPr>
        <w:t xml:space="preserve"> </w:t>
      </w:r>
      <w:r>
        <w:rPr>
          <w:noProof/>
          <w:lang w:val="en-US"/>
        </w:rPr>
        <w:t>10</w:t>
      </w:r>
      <w:r w:rsidR="009E768B" w:rsidRPr="0042104F">
        <w:rPr>
          <w:bCs/>
          <w:lang w:val="en-US"/>
        </w:rPr>
        <w:fldChar w:fldCharType="end"/>
      </w:r>
      <w:r w:rsidR="00A46C00" w:rsidRPr="0042104F">
        <w:rPr>
          <w:bCs/>
          <w:lang w:val="en-US"/>
        </w:rPr>
        <w:t xml:space="preserve">. It should be noted that site level risk measures are abbreviated by adding a leading ‘S’ to commonly used risk measures like CDF or LERF. </w:t>
      </w:r>
    </w:p>
    <w:p w:rsidR="004642CE" w:rsidRDefault="004642CE" w:rsidP="0042104F">
      <w:pPr>
        <w:rPr>
          <w:rFonts w:eastAsia="Batang" w:cs="TimesNewRomanPSMT"/>
          <w:szCs w:val="18"/>
          <w:lang w:val="en-GB" w:eastAsia="ja-JP"/>
        </w:rPr>
      </w:pPr>
      <w:r w:rsidRPr="0042104F">
        <w:rPr>
          <w:bCs/>
          <w:lang w:val="en-US"/>
        </w:rPr>
        <w:t>The crucial observation is that s</w:t>
      </w:r>
      <w:r w:rsidR="00A46C00" w:rsidRPr="0042104F">
        <w:rPr>
          <w:bCs/>
          <w:lang w:val="en-US"/>
        </w:rPr>
        <w:t xml:space="preserve">uch extensions of </w:t>
      </w:r>
      <w:r w:rsidR="005667C1" w:rsidRPr="0042104F">
        <w:rPr>
          <w:bCs/>
          <w:lang w:val="en-US"/>
        </w:rPr>
        <w:t>direct</w:t>
      </w:r>
      <w:r w:rsidR="005667C1" w:rsidRPr="0042104F">
        <w:rPr>
          <w:bCs/>
          <w:vertAlign w:val="superscript"/>
          <w:lang w:val="en-US"/>
        </w:rPr>
        <w:footnoteReference w:id="15"/>
      </w:r>
      <w:r w:rsidR="005667C1" w:rsidRPr="0042104F">
        <w:rPr>
          <w:bCs/>
          <w:vertAlign w:val="superscript"/>
          <w:lang w:val="en-US"/>
        </w:rPr>
        <w:t xml:space="preserve"> </w:t>
      </w:r>
      <w:r w:rsidR="00A46C00" w:rsidRPr="0042104F">
        <w:rPr>
          <w:bCs/>
          <w:lang w:val="en-US"/>
        </w:rPr>
        <w:t xml:space="preserve">unit-level risk measures to site level risk measures </w:t>
      </w:r>
      <w:r w:rsidRPr="0042104F">
        <w:rPr>
          <w:bCs/>
          <w:lang w:val="en-US"/>
        </w:rPr>
        <w:t xml:space="preserve">can </w:t>
      </w:r>
      <w:r w:rsidR="00A46C00" w:rsidRPr="0042104F">
        <w:rPr>
          <w:bCs/>
          <w:lang w:val="en-US"/>
        </w:rPr>
        <w:t xml:space="preserve">be defined in a straight forward manner </w:t>
      </w:r>
      <w:r w:rsidRPr="0042104F">
        <w:rPr>
          <w:bCs/>
          <w:lang w:val="en-US"/>
        </w:rPr>
        <w:t>for the commonly used risk metrics of PSA. This is</w:t>
      </w:r>
      <w:r>
        <w:rPr>
          <w:rFonts w:eastAsia="Batang" w:cs="TimesNewRomanPSMT"/>
          <w:szCs w:val="18"/>
          <w:lang w:val="en-GB" w:eastAsia="ja-JP"/>
        </w:rPr>
        <w:t xml:space="preserve"> justified by the following arguments</w:t>
      </w:r>
      <w:r w:rsidR="00B36B31">
        <w:rPr>
          <w:rFonts w:eastAsia="Batang" w:cs="TimesNewRomanPSMT"/>
          <w:szCs w:val="18"/>
          <w:lang w:val="en-GB" w:eastAsia="ja-JP"/>
        </w:rPr>
        <w:t>:</w:t>
      </w:r>
      <w:r>
        <w:rPr>
          <w:rFonts w:eastAsia="Batang" w:cs="TimesNewRomanPSMT"/>
          <w:szCs w:val="18"/>
          <w:lang w:val="en-GB" w:eastAsia="ja-JP"/>
        </w:rPr>
        <w:t xml:space="preserve"> </w:t>
      </w:r>
    </w:p>
    <w:p w:rsidR="004642CE" w:rsidRDefault="00B36B31" w:rsidP="00C94556">
      <w:pPr>
        <w:pStyle w:val="Paragraphedeliste"/>
        <w:numPr>
          <w:ilvl w:val="0"/>
          <w:numId w:val="69"/>
        </w:num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 xml:space="preserve">a </w:t>
      </w:r>
      <w:r w:rsidR="005667C1">
        <w:rPr>
          <w:rFonts w:eastAsia="Batang" w:cs="TimesNewRomanPSMT"/>
          <w:szCs w:val="18"/>
          <w:lang w:val="en-GB" w:eastAsia="ja-JP"/>
        </w:rPr>
        <w:t xml:space="preserve">direct risk metric references a specific state or condition of the plant and is applicable to a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00E76B1E">
        <w:rPr>
          <w:rFonts w:eastAsia="Batang" w:cs="TimesNewRomanPSMT"/>
          <w:lang w:val="en-US"/>
        </w:rPr>
        <w:t xml:space="preserve"> assigned to the respective consequence. </w:t>
      </w:r>
    </w:p>
    <w:p w:rsidR="00E76B1E" w:rsidRDefault="00B36B31" w:rsidP="00C94556">
      <w:pPr>
        <w:pStyle w:val="Paragraphedeliste"/>
        <w:numPr>
          <w:ilvl w:val="0"/>
          <w:numId w:val="69"/>
        </w:num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 xml:space="preserve">the </w:t>
      </w:r>
      <w:r w:rsidR="00E76B1E">
        <w:rPr>
          <w:rFonts w:eastAsia="Batang" w:cs="TimesNewRomanPSMT"/>
          <w:szCs w:val="18"/>
          <w:lang w:val="en-GB" w:eastAsia="ja-JP"/>
        </w:rPr>
        <w:t>site is – formally speaking – an integer set of radionuclide sources r</w:t>
      </w:r>
      <w:r w:rsidR="00E76B1E" w:rsidRPr="00C94556">
        <w:rPr>
          <w:rFonts w:eastAsia="Batang" w:cs="TimesNewRomanPSMT"/>
          <w:szCs w:val="18"/>
          <w:vertAlign w:val="subscript"/>
          <w:lang w:val="en-GB" w:eastAsia="ja-JP"/>
        </w:rPr>
        <w:t>K</w:t>
      </w:r>
      <w:r w:rsidR="00E76B1E">
        <w:rPr>
          <w:rFonts w:eastAsia="Batang" w:cs="TimesNewRomanPSMT"/>
          <w:szCs w:val="18"/>
          <w:lang w:val="en-GB" w:eastAsia="ja-JP"/>
        </w:rPr>
        <w:t xml:space="preserve">, for which an addition over two elements is well defined. </w:t>
      </w:r>
    </w:p>
    <w:p w:rsidR="00E76B1E" w:rsidRDefault="00B36B31" w:rsidP="00C94556">
      <w:pPr>
        <w:pStyle w:val="Paragraphedeliste"/>
        <w:numPr>
          <w:ilvl w:val="0"/>
          <w:numId w:val="69"/>
        </w:num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 xml:space="preserve">the </w:t>
      </w:r>
      <w:r w:rsidR="00E76B1E">
        <w:rPr>
          <w:rFonts w:eastAsia="Batang" w:cs="TimesNewRomanPSMT"/>
          <w:szCs w:val="18"/>
          <w:lang w:val="en-GB" w:eastAsia="ja-JP"/>
        </w:rPr>
        <w:t xml:space="preserve">risk metric (consequence) is either applicable to the radionuclide source or not. If the risk metric is not applicable, its contribution to the risk measure is identically zero, otherwise the respective distribution for the </w:t>
      </w:r>
      <w:r w:rsidR="006E4752">
        <w:rPr>
          <w:rFonts w:eastAsia="Batang" w:cs="TimesNewRomanPSMT"/>
          <w:szCs w:val="18"/>
          <w:lang w:val="en-GB" w:eastAsia="ja-JP"/>
        </w:rPr>
        <w:t xml:space="preserve">sequence is its likelihood distribution </w:t>
      </w:r>
      <w:r w:rsidR="006E4752">
        <w:rPr>
          <w:rFonts w:eastAsia="Batang" w:cs="Arial"/>
          <w:szCs w:val="18"/>
          <w:lang w:val="en-GB" w:eastAsia="ja-JP"/>
        </w:rPr>
        <w:t>φ</w:t>
      </w:r>
      <w:r w:rsidR="006E4752">
        <w:rPr>
          <w:rFonts w:eastAsia="Batang" w:cs="TimesNewRomanPSMT"/>
          <w:szCs w:val="18"/>
          <w:lang w:val="en-GB" w:eastAsia="ja-JP"/>
        </w:rPr>
        <w:t>. Distribution aggregation constraints apply.</w:t>
      </w:r>
    </w:p>
    <w:p w:rsidR="005667C1" w:rsidRDefault="00B36B31" w:rsidP="00C94556">
      <w:pPr>
        <w:pStyle w:val="Paragraphedeliste"/>
        <w:numPr>
          <w:ilvl w:val="0"/>
          <w:numId w:val="69"/>
        </w:num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consequently</w:t>
      </w:r>
      <w:r w:rsidR="00E76B1E">
        <w:rPr>
          <w:rFonts w:eastAsia="Batang" w:cs="TimesNewRomanPSMT"/>
          <w:szCs w:val="18"/>
          <w:lang w:val="en-GB" w:eastAsia="ja-JP"/>
        </w:rPr>
        <w:t xml:space="preserve">, the risk metric can be “summed up” over the set of radionuclide sources </w:t>
      </w:r>
      <m:oMath>
        <m:d>
          <m:dPr>
            <m:begChr m:val="{"/>
            <m:endChr m:val="}"/>
            <m:ctrlPr>
              <w:rPr>
                <w:rFonts w:ascii="Cambria Math" w:eastAsia="Batang" w:hAnsi="Cambria Math" w:cs="TimesNewRomanPSMT"/>
                <w:i/>
                <w:szCs w:val="18"/>
                <w:lang w:val="en-GB" w:eastAsia="ja-JP"/>
              </w:rPr>
            </m:ctrlPr>
          </m:dPr>
          <m:e>
            <m:sSub>
              <m:sSubPr>
                <m:ctrlPr>
                  <w:rPr>
                    <w:rFonts w:ascii="Cambria Math" w:eastAsia="Batang" w:hAnsi="Cambria Math" w:cs="TimesNewRomanPSMT"/>
                    <w:i/>
                    <w:szCs w:val="18"/>
                    <w:lang w:val="en-GB" w:eastAsia="ja-JP"/>
                  </w:rPr>
                </m:ctrlPr>
              </m:sSubPr>
              <m:e>
                <m:r>
                  <w:rPr>
                    <w:rFonts w:ascii="Cambria Math" w:eastAsia="Batang" w:hAnsi="Cambria Math" w:cs="TimesNewRomanPSMT"/>
                    <w:szCs w:val="18"/>
                    <w:lang w:val="en-GB" w:eastAsia="ja-JP"/>
                  </w:rPr>
                  <m:t>r</m:t>
                </m:r>
              </m:e>
              <m:sub>
                <m:r>
                  <w:rPr>
                    <w:rFonts w:ascii="Cambria Math" w:eastAsia="Batang" w:hAnsi="Cambria Math" w:cs="TimesNewRomanPSMT"/>
                    <w:szCs w:val="18"/>
                    <w:lang w:val="en-GB" w:eastAsia="ja-JP"/>
                  </w:rPr>
                  <m:t>K</m:t>
                </m:r>
              </m:sub>
            </m:sSub>
          </m:e>
        </m:d>
        <m:r>
          <w:rPr>
            <w:rFonts w:ascii="Cambria Math" w:eastAsia="Batang" w:hAnsi="Cambria Math" w:cs="TimesNewRomanPSMT"/>
            <w:szCs w:val="18"/>
            <w:lang w:val="en-GB" w:eastAsia="ja-JP"/>
          </w:rPr>
          <m:t xml:space="preserve"> </m:t>
        </m:r>
      </m:oMath>
      <w:r w:rsidR="00E76B1E">
        <w:rPr>
          <w:rFonts w:eastAsia="Batang" w:cs="TimesNewRomanPSMT"/>
          <w:szCs w:val="18"/>
          <w:lang w:val="en-GB" w:eastAsia="ja-JP"/>
        </w:rPr>
        <w:t xml:space="preserve"> in a well-defined manner</w:t>
      </w:r>
      <w:r w:rsidR="00DD27B1">
        <w:rPr>
          <w:rStyle w:val="Appelnotedebasdep"/>
          <w:rFonts w:eastAsia="Batang" w:cs="TimesNewRomanPSMT"/>
          <w:szCs w:val="18"/>
          <w:lang w:val="en-GB" w:eastAsia="ja-JP"/>
        </w:rPr>
        <w:footnoteReference w:id="16"/>
      </w:r>
      <w:r w:rsidR="00E76B1E">
        <w:rPr>
          <w:rFonts w:eastAsia="Batang" w:cs="TimesNewRomanPSMT"/>
          <w:szCs w:val="18"/>
          <w:lang w:val="en-GB" w:eastAsia="ja-JP"/>
        </w:rPr>
        <w:t xml:space="preserve">. </w:t>
      </w:r>
    </w:p>
    <w:p w:rsidR="006E4752" w:rsidRDefault="006E4752">
      <w:p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There is one important distinction between direct risk measures with respect to extending them to a site-level risk measure</w:t>
      </w:r>
      <w:r w:rsidR="00B36B31">
        <w:rPr>
          <w:rFonts w:eastAsia="Batang" w:cs="TimesNewRomanPSMT"/>
          <w:szCs w:val="18"/>
          <w:lang w:val="en-GB" w:eastAsia="ja-JP"/>
        </w:rPr>
        <w:t>:</w:t>
      </w:r>
    </w:p>
    <w:p w:rsidR="006E4752" w:rsidRDefault="00244AC3" w:rsidP="00C94556">
      <w:pPr>
        <w:pStyle w:val="Paragraphedeliste"/>
        <w:numPr>
          <w:ilvl w:val="0"/>
          <w:numId w:val="70"/>
        </w:num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T</w:t>
      </w:r>
      <w:r w:rsidR="006E4752">
        <w:rPr>
          <w:rFonts w:eastAsia="Batang" w:cs="TimesNewRomanPSMT"/>
          <w:szCs w:val="18"/>
          <w:lang w:val="en-GB" w:eastAsia="ja-JP"/>
        </w:rPr>
        <w:t>he</w:t>
      </w:r>
      <w:r w:rsidR="006E4752" w:rsidRPr="009374F3">
        <w:rPr>
          <w:rFonts w:eastAsia="Batang" w:cs="TimesNewRomanPSMT"/>
          <w:szCs w:val="18"/>
          <w:lang w:val="en-GB" w:eastAsia="ja-JP"/>
        </w:rPr>
        <w:t xml:space="preserve"> risk metric is based on a </w:t>
      </w:r>
      <w:r w:rsidR="006E4752">
        <w:rPr>
          <w:rFonts w:eastAsia="Batang" w:cs="TimesNewRomanPSMT"/>
          <w:szCs w:val="18"/>
          <w:lang w:val="en-GB" w:eastAsia="ja-JP"/>
        </w:rPr>
        <w:t>(binary) condition</w:t>
      </w:r>
      <w:r w:rsidR="006E4752" w:rsidRPr="009374F3">
        <w:rPr>
          <w:rFonts w:eastAsia="Batang" w:cs="TimesNewRomanPSMT"/>
          <w:szCs w:val="18"/>
          <w:lang w:val="en-GB" w:eastAsia="ja-JP"/>
        </w:rPr>
        <w:t xml:space="preserve"> of the respective sources, which is either fulfilled or not fulfilled</w:t>
      </w:r>
      <w:r w:rsidR="006E4752">
        <w:rPr>
          <w:rFonts w:eastAsia="Batang" w:cs="TimesNewRomanPSMT"/>
          <w:szCs w:val="18"/>
          <w:lang w:val="en-GB" w:eastAsia="ja-JP"/>
        </w:rPr>
        <w:t>. T</w:t>
      </w:r>
      <w:r w:rsidR="006E4752" w:rsidRPr="009374F3">
        <w:rPr>
          <w:rFonts w:eastAsia="Batang" w:cs="TimesNewRomanPSMT"/>
          <w:szCs w:val="18"/>
          <w:lang w:val="en-GB" w:eastAsia="ja-JP"/>
        </w:rPr>
        <w:t>hen</w:t>
      </w:r>
      <w:r w:rsidR="006E4752">
        <w:rPr>
          <w:rFonts w:eastAsia="Batang" w:cs="TimesNewRomanPSMT"/>
          <w:szCs w:val="18"/>
          <w:lang w:val="en-GB" w:eastAsia="ja-JP"/>
        </w:rPr>
        <w:t>, the extension to a site-level metric is trivial. The risk aggregation needs to respect Boolean logic to prevent double-counting of the simultaneous occurrence of the consequence at more than one source (see also below). The salient example for this kind of risk measure is CDF/FDF.</w:t>
      </w:r>
    </w:p>
    <w:p w:rsidR="00A73A08" w:rsidRPr="009374F3" w:rsidRDefault="00244AC3" w:rsidP="00C94556">
      <w:pPr>
        <w:pStyle w:val="Paragraphedeliste"/>
        <w:numPr>
          <w:ilvl w:val="0"/>
          <w:numId w:val="70"/>
        </w:num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T</w:t>
      </w:r>
      <w:r w:rsidR="006E4752">
        <w:rPr>
          <w:rFonts w:eastAsia="Batang" w:cs="TimesNewRomanPSMT"/>
          <w:szCs w:val="18"/>
          <w:lang w:val="en-GB" w:eastAsia="ja-JP"/>
        </w:rPr>
        <w:t xml:space="preserve">he risk metric is derived </w:t>
      </w:r>
      <w:r w:rsidR="00A73A08">
        <w:rPr>
          <w:rFonts w:eastAsia="Batang" w:cs="TimesNewRomanPSMT"/>
          <w:szCs w:val="18"/>
          <w:lang w:val="en-GB" w:eastAsia="ja-JP"/>
        </w:rPr>
        <w:t>by partitioning a “continuous” property into a limited number of classes by threshold values. The formal extension of the risk metric is straight forward. However, there are likely contributions to a certain class by the simultaneous occurrence of sequences which individually do not meet the criteria for the class. The salient example for this kind of risk metric is a release metric like LRF. This will require some care in building the site-level risk model.</w:t>
      </w:r>
    </w:p>
    <w:p w:rsidR="00A73A08" w:rsidRDefault="006E4752" w:rsidP="00C94556">
      <w:pPr>
        <w:autoSpaceDE w:val="0"/>
        <w:autoSpaceDN w:val="0"/>
        <w:adjustRightInd w:val="0"/>
        <w:spacing w:line="360" w:lineRule="auto"/>
        <w:rPr>
          <w:rFonts w:eastAsia="Batang" w:cs="TimesNewRomanPSMT"/>
          <w:szCs w:val="18"/>
          <w:lang w:val="en-GB" w:eastAsia="ja-JP"/>
        </w:rPr>
      </w:pPr>
      <w:r>
        <w:rPr>
          <w:rFonts w:eastAsia="Batang" w:cs="TimesNewRomanPSMT"/>
          <w:szCs w:val="18"/>
          <w:lang w:val="en-GB" w:eastAsia="ja-JP"/>
        </w:rPr>
        <w:t xml:space="preserve">In appendix A, a more formal discussion is provided. </w:t>
      </w:r>
      <w:r w:rsidR="00A73A08">
        <w:rPr>
          <w:rFonts w:eastAsia="Batang" w:cs="TimesNewRomanPSMT"/>
          <w:szCs w:val="18"/>
          <w:lang w:val="en-GB" w:eastAsia="ja-JP"/>
        </w:rPr>
        <w:t>We continue our discussion with a brief example.</w:t>
      </w:r>
    </w:p>
    <w:p w:rsidR="004E6F13" w:rsidRDefault="00A46C00" w:rsidP="00552F4E">
      <w:pPr>
        <w:keepNext/>
        <w:autoSpaceDE w:val="0"/>
        <w:autoSpaceDN w:val="0"/>
        <w:adjustRightInd w:val="0"/>
        <w:spacing w:line="360" w:lineRule="auto"/>
        <w:jc w:val="center"/>
      </w:pPr>
      <w:r w:rsidRPr="00A73CF3">
        <w:rPr>
          <w:bCs/>
          <w:noProof/>
        </w:rPr>
        <w:lastRenderedPageBreak/>
        <w:drawing>
          <wp:inline distT="0" distB="0" distL="0" distR="0" wp14:anchorId="299DC147" wp14:editId="240C7D30">
            <wp:extent cx="4081780" cy="2599690"/>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7" t="491" r="-467" b="19362"/>
                    <a:stretch/>
                  </pic:blipFill>
                  <pic:spPr bwMode="auto">
                    <a:xfrm>
                      <a:off x="0" y="0"/>
                      <a:ext cx="4081780" cy="2599690"/>
                    </a:xfrm>
                    <a:prstGeom prst="rect">
                      <a:avLst/>
                    </a:prstGeom>
                    <a:noFill/>
                    <a:ln>
                      <a:noFill/>
                    </a:ln>
                    <a:extLst>
                      <a:ext uri="{53640926-AAD7-44D8-BBD7-CCE9431645EC}">
                        <a14:shadowObscured xmlns:a14="http://schemas.microsoft.com/office/drawing/2010/main"/>
                      </a:ext>
                    </a:extLst>
                  </pic:spPr>
                </pic:pic>
              </a:graphicData>
            </a:graphic>
          </wp:inline>
        </w:drawing>
      </w:r>
    </w:p>
    <w:p w:rsidR="00216935" w:rsidRPr="00862B5C" w:rsidRDefault="00216935" w:rsidP="00862B5C">
      <w:pPr>
        <w:keepNext/>
        <w:autoSpaceDE w:val="0"/>
        <w:autoSpaceDN w:val="0"/>
        <w:adjustRightInd w:val="0"/>
        <w:spacing w:line="360" w:lineRule="auto"/>
        <w:jc w:val="left"/>
        <w:rPr>
          <w:sz w:val="16"/>
          <w:szCs w:val="16"/>
        </w:rPr>
      </w:pPr>
      <w:r w:rsidRPr="00862B5C">
        <w:rPr>
          <w:sz w:val="16"/>
          <w:szCs w:val="16"/>
        </w:rPr>
        <w:t>Nomenclature :</w:t>
      </w:r>
    </w:p>
    <w:p w:rsidR="00216935" w:rsidRPr="00862B5C" w:rsidRDefault="00216935" w:rsidP="00862B5C">
      <w:pPr>
        <w:keepNext/>
        <w:autoSpaceDE w:val="0"/>
        <w:autoSpaceDN w:val="0"/>
        <w:adjustRightInd w:val="0"/>
        <w:spacing w:line="360" w:lineRule="auto"/>
        <w:jc w:val="left"/>
        <w:rPr>
          <w:sz w:val="16"/>
          <w:szCs w:val="16"/>
        </w:rPr>
      </w:pPr>
      <w:r w:rsidRPr="00862B5C">
        <w:rPr>
          <w:sz w:val="16"/>
          <w:szCs w:val="16"/>
        </w:rPr>
        <w:t>ISU IE – Internal Single Unit Initiating Event</w:t>
      </w:r>
    </w:p>
    <w:p w:rsidR="00216935" w:rsidRPr="00862B5C" w:rsidRDefault="00216935" w:rsidP="00862B5C">
      <w:pPr>
        <w:keepNext/>
        <w:autoSpaceDE w:val="0"/>
        <w:autoSpaceDN w:val="0"/>
        <w:adjustRightInd w:val="0"/>
        <w:spacing w:line="360" w:lineRule="auto"/>
        <w:jc w:val="left"/>
        <w:rPr>
          <w:sz w:val="16"/>
          <w:szCs w:val="16"/>
        </w:rPr>
      </w:pPr>
      <w:r w:rsidRPr="00862B5C">
        <w:rPr>
          <w:sz w:val="16"/>
          <w:szCs w:val="16"/>
        </w:rPr>
        <w:t>ESU IE - External Single Unit Initiating Event</w:t>
      </w:r>
    </w:p>
    <w:p w:rsidR="00216935" w:rsidRPr="00862B5C" w:rsidRDefault="00216935" w:rsidP="00862B5C">
      <w:pPr>
        <w:keepNext/>
        <w:autoSpaceDE w:val="0"/>
        <w:autoSpaceDN w:val="0"/>
        <w:adjustRightInd w:val="0"/>
        <w:spacing w:line="360" w:lineRule="auto"/>
        <w:jc w:val="left"/>
        <w:rPr>
          <w:sz w:val="16"/>
          <w:szCs w:val="16"/>
        </w:rPr>
      </w:pPr>
      <w:r w:rsidRPr="00862B5C">
        <w:rPr>
          <w:sz w:val="16"/>
          <w:szCs w:val="16"/>
        </w:rPr>
        <w:t>IMU SCCIE – Internal Multi Unit Site Common Cause Initiating Event</w:t>
      </w:r>
    </w:p>
    <w:p w:rsidR="00216935" w:rsidRPr="00862B5C" w:rsidRDefault="00216935" w:rsidP="00862B5C">
      <w:pPr>
        <w:keepNext/>
        <w:autoSpaceDE w:val="0"/>
        <w:autoSpaceDN w:val="0"/>
        <w:adjustRightInd w:val="0"/>
        <w:spacing w:line="360" w:lineRule="auto"/>
        <w:jc w:val="left"/>
        <w:rPr>
          <w:sz w:val="16"/>
          <w:szCs w:val="16"/>
        </w:rPr>
      </w:pPr>
      <w:r w:rsidRPr="00862B5C">
        <w:rPr>
          <w:sz w:val="16"/>
          <w:szCs w:val="16"/>
        </w:rPr>
        <w:t>EMU SCCIE – External Multi Unit Site Common Cause Initiating Event</w:t>
      </w:r>
    </w:p>
    <w:p w:rsidR="00A46C00" w:rsidRDefault="004E6F13" w:rsidP="00793385">
      <w:pPr>
        <w:pStyle w:val="Lgende"/>
        <w:rPr>
          <w:lang w:val="en-GB"/>
        </w:rPr>
      </w:pPr>
      <w:bookmarkStart w:id="405" w:name="_Toc474428911"/>
      <w:r w:rsidRPr="00557A1D">
        <w:rPr>
          <w:lang w:val="en-US"/>
        </w:rPr>
        <w:t xml:space="preserve">Figure </w:t>
      </w:r>
      <w:r w:rsidR="009E768B">
        <w:fldChar w:fldCharType="begin"/>
      </w:r>
      <w:r w:rsidRPr="00557A1D">
        <w:rPr>
          <w:lang w:val="en-US"/>
        </w:rPr>
        <w:instrText xml:space="preserve"> SEQ Figure \* ARABIC </w:instrText>
      </w:r>
      <w:r w:rsidR="009E768B">
        <w:fldChar w:fldCharType="separate"/>
      </w:r>
      <w:r w:rsidR="00B772CA">
        <w:rPr>
          <w:noProof/>
          <w:lang w:val="en-US"/>
        </w:rPr>
        <w:t>4</w:t>
      </w:r>
      <w:r w:rsidR="009E768B">
        <w:fldChar w:fldCharType="end"/>
      </w:r>
      <w:r w:rsidRPr="00557A1D">
        <w:rPr>
          <w:lang w:val="en-US"/>
        </w:rPr>
        <w:t xml:space="preserve"> : </w:t>
      </w:r>
      <w:r w:rsidRPr="00E2449B">
        <w:rPr>
          <w:rFonts w:eastAsia="Batang" w:cs="TimesNewRomanPS-BoldMT"/>
          <w:lang w:val="en-GB" w:eastAsia="ja-JP"/>
        </w:rPr>
        <w:t>Initiating Event Categories for Multi-Unit PRA</w:t>
      </w:r>
      <w:r>
        <w:rPr>
          <w:rFonts w:eastAsia="Batang" w:cs="TimesNewRomanPS-BoldMT"/>
          <w:lang w:val="en-GB" w:eastAsia="ja-JP"/>
        </w:rPr>
        <w:t xml:space="preserve"> </w:t>
      </w:r>
      <w:r w:rsidR="009E768B">
        <w:rPr>
          <w:lang w:val="en-GB" w:eastAsia="ja-JP"/>
        </w:rPr>
        <w:fldChar w:fldCharType="begin"/>
      </w:r>
      <w:r>
        <w:rPr>
          <w:lang w:val="en-GB" w:eastAsia="ja-JP"/>
        </w:rPr>
        <w:instrText xml:space="preserve"> REF _Ref300912619 \r \h </w:instrText>
      </w:r>
      <w:r w:rsidR="009E768B">
        <w:rPr>
          <w:lang w:val="en-GB" w:eastAsia="ja-JP"/>
        </w:rPr>
      </w:r>
      <w:r w:rsidR="009E768B">
        <w:rPr>
          <w:lang w:val="en-GB" w:eastAsia="ja-JP"/>
        </w:rPr>
        <w:fldChar w:fldCharType="separate"/>
      </w:r>
      <w:r w:rsidR="00B772CA">
        <w:rPr>
          <w:lang w:val="en-GB" w:eastAsia="ja-JP"/>
        </w:rPr>
        <w:t>[86]</w:t>
      </w:r>
      <w:bookmarkEnd w:id="405"/>
      <w:r w:rsidR="009E768B">
        <w:rPr>
          <w:lang w:val="en-GB" w:eastAsia="ja-JP"/>
        </w:rPr>
        <w:fldChar w:fldCharType="end"/>
      </w:r>
    </w:p>
    <w:p w:rsidR="00A46C00" w:rsidRDefault="00A46C00" w:rsidP="00A46C00">
      <w:pPr>
        <w:rPr>
          <w:lang w:val="en-GB"/>
        </w:rPr>
      </w:pPr>
    </w:p>
    <w:p w:rsidR="00793385" w:rsidRDefault="00793385">
      <w:pPr>
        <w:spacing w:line="240" w:lineRule="auto"/>
        <w:jc w:val="left"/>
        <w:rPr>
          <w:b/>
          <w:bCs/>
          <w:sz w:val="20"/>
          <w:szCs w:val="20"/>
          <w:lang w:val="en-US"/>
        </w:rPr>
      </w:pPr>
      <w:bookmarkStart w:id="406" w:name="_Ref430099470"/>
      <w:r>
        <w:rPr>
          <w:lang w:val="en-US"/>
        </w:rPr>
        <w:br w:type="page"/>
      </w:r>
    </w:p>
    <w:p w:rsidR="00A46C00" w:rsidRDefault="00A46C00" w:rsidP="00793385">
      <w:pPr>
        <w:pStyle w:val="Lgende"/>
        <w:rPr>
          <w:lang w:val="en-GB"/>
        </w:rPr>
      </w:pPr>
      <w:bookmarkStart w:id="407" w:name="_Toc474428906"/>
      <w:r w:rsidRPr="007813F9">
        <w:rPr>
          <w:lang w:val="en-US"/>
        </w:rPr>
        <w:lastRenderedPageBreak/>
        <w:t xml:space="preserve">Table </w:t>
      </w:r>
      <w:r w:rsidR="009E768B">
        <w:rPr>
          <w:lang w:val="en-US"/>
        </w:rPr>
        <w:fldChar w:fldCharType="begin"/>
      </w:r>
      <w:r w:rsidR="004C6365">
        <w:rPr>
          <w:lang w:val="en-US"/>
        </w:rPr>
        <w:instrText xml:space="preserve"> SEQ Table \* ARABIC </w:instrText>
      </w:r>
      <w:r w:rsidR="009E768B">
        <w:rPr>
          <w:lang w:val="en-US"/>
        </w:rPr>
        <w:fldChar w:fldCharType="separate"/>
      </w:r>
      <w:r w:rsidR="00B772CA">
        <w:rPr>
          <w:noProof/>
          <w:lang w:val="en-US"/>
        </w:rPr>
        <w:t>10</w:t>
      </w:r>
      <w:r w:rsidR="009E768B">
        <w:rPr>
          <w:lang w:val="en-US"/>
        </w:rPr>
        <w:fldChar w:fldCharType="end"/>
      </w:r>
      <w:bookmarkEnd w:id="406"/>
      <w:r w:rsidR="004E6F13">
        <w:rPr>
          <w:lang w:val="en-US"/>
        </w:rPr>
        <w:t>:</w:t>
      </w:r>
      <w:r w:rsidR="00793385">
        <w:rPr>
          <w:lang w:val="en-US"/>
        </w:rPr>
        <w:t xml:space="preserve"> </w:t>
      </w:r>
      <w:r w:rsidRPr="00E2449B">
        <w:rPr>
          <w:rFonts w:eastAsia="Batang"/>
          <w:lang w:val="en-GB" w:eastAsia="ja-JP"/>
        </w:rPr>
        <w:t>Comparison of Initiating Event Treatment in Single and Multi-Unit PRAs</w:t>
      </w:r>
      <w:bookmarkEnd w:id="407"/>
    </w:p>
    <w:p w:rsidR="00A46C00" w:rsidRPr="002D11EB" w:rsidRDefault="00A46C00" w:rsidP="00A46C00">
      <w:pPr>
        <w:rPr>
          <w:bCs/>
          <w:szCs w:val="18"/>
          <w:lang w:val="en-GB" w:eastAsia="ja-JP"/>
        </w:rPr>
      </w:pPr>
      <w:r w:rsidRPr="00A73CF3">
        <w:rPr>
          <w:bCs/>
          <w:noProof/>
        </w:rPr>
        <w:drawing>
          <wp:inline distT="0" distB="0" distL="0" distR="0" wp14:anchorId="0E2B5D5A" wp14:editId="30A9010A">
            <wp:extent cx="5559425" cy="5054600"/>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9425" cy="5054600"/>
                    </a:xfrm>
                    <a:prstGeom prst="rect">
                      <a:avLst/>
                    </a:prstGeom>
                    <a:noFill/>
                    <a:ln>
                      <a:noFill/>
                    </a:ln>
                  </pic:spPr>
                </pic:pic>
              </a:graphicData>
            </a:graphic>
          </wp:inline>
        </w:drawing>
      </w:r>
    </w:p>
    <w:p w:rsidR="00A46C00" w:rsidRPr="00E2449B" w:rsidRDefault="00A46C00" w:rsidP="00A46C00">
      <w:pPr>
        <w:rPr>
          <w:lang w:val="en-GB" w:eastAsia="ja-JP"/>
        </w:rPr>
      </w:pPr>
      <w:r w:rsidRPr="00E2449B">
        <w:rPr>
          <w:lang w:val="en-GB" w:eastAsia="ja-JP"/>
        </w:rPr>
        <w:t>In order to understand the development of the total site risk estimate, let</w:t>
      </w:r>
      <w:r>
        <w:rPr>
          <w:lang w:val="en-GB" w:eastAsia="ja-JP"/>
        </w:rPr>
        <w:t>’</w:t>
      </w:r>
      <w:r w:rsidRPr="00E2449B">
        <w:rPr>
          <w:lang w:val="en-GB" w:eastAsia="ja-JP"/>
        </w:rPr>
        <w:t xml:space="preserve">s consider a three-unit site with units labelled Unit 1, Unit 2, and Unit 3. There are seven possible outcomes that involve release from one or more units, as listed below: </w:t>
      </w:r>
    </w:p>
    <w:p w:rsidR="00A46C00" w:rsidRPr="00E2449B" w:rsidRDefault="00A46C00" w:rsidP="00A46C00">
      <w:pPr>
        <w:autoSpaceDE w:val="0"/>
        <w:autoSpaceDN w:val="0"/>
        <w:adjustRightInd w:val="0"/>
        <w:spacing w:line="360" w:lineRule="auto"/>
        <w:rPr>
          <w:bCs/>
          <w:lang w:val="en-GB" w:eastAsia="ja-JP"/>
        </w:rPr>
      </w:pPr>
    </w:p>
    <w:p w:rsidR="00A46C00" w:rsidRPr="00E2449B" w:rsidRDefault="00B36B31" w:rsidP="00A46C00">
      <w:pPr>
        <w:numPr>
          <w:ilvl w:val="1"/>
          <w:numId w:val="64"/>
        </w:numPr>
        <w:autoSpaceDE w:val="0"/>
        <w:autoSpaceDN w:val="0"/>
        <w:adjustRightInd w:val="0"/>
        <w:spacing w:after="38" w:line="360" w:lineRule="auto"/>
        <w:rPr>
          <w:bCs/>
          <w:lang w:val="en-GB" w:eastAsia="ja-JP"/>
        </w:rPr>
      </w:pPr>
      <w:r>
        <w:rPr>
          <w:bCs/>
          <w:lang w:val="en-GB" w:eastAsia="ja-JP"/>
        </w:rPr>
        <w:t>s</w:t>
      </w:r>
      <w:r w:rsidR="00A46C00" w:rsidRPr="00E2449B">
        <w:rPr>
          <w:bCs/>
          <w:lang w:val="en-GB" w:eastAsia="ja-JP"/>
        </w:rPr>
        <w:t xml:space="preserve">ingle-unit outcomes: Unit 1, Unit 2, Unit 3 </w:t>
      </w:r>
    </w:p>
    <w:p w:rsidR="00A46C00" w:rsidRPr="00E2449B" w:rsidRDefault="00B36B31" w:rsidP="00A46C00">
      <w:pPr>
        <w:numPr>
          <w:ilvl w:val="1"/>
          <w:numId w:val="64"/>
        </w:numPr>
        <w:autoSpaceDE w:val="0"/>
        <w:autoSpaceDN w:val="0"/>
        <w:adjustRightInd w:val="0"/>
        <w:spacing w:after="38" w:line="360" w:lineRule="auto"/>
        <w:rPr>
          <w:bCs/>
          <w:lang w:val="en-GB" w:eastAsia="ja-JP"/>
        </w:rPr>
      </w:pPr>
      <w:r>
        <w:rPr>
          <w:bCs/>
          <w:lang w:val="en-GB" w:eastAsia="ja-JP"/>
        </w:rPr>
        <w:t>d</w:t>
      </w:r>
      <w:r w:rsidR="00A46C00" w:rsidRPr="00E2449B">
        <w:rPr>
          <w:bCs/>
          <w:lang w:val="en-GB" w:eastAsia="ja-JP"/>
        </w:rPr>
        <w:t xml:space="preserve">ual-unit outcomes: Unit 1 </w:t>
      </w:r>
      <w:r w:rsidR="00A46C00" w:rsidRPr="00E2449B">
        <w:rPr>
          <w:bCs/>
          <w:u w:val="single"/>
          <w:lang w:val="en-GB" w:eastAsia="ja-JP"/>
        </w:rPr>
        <w:t>and</w:t>
      </w:r>
      <w:r w:rsidR="00A46C00" w:rsidRPr="00E2449B">
        <w:rPr>
          <w:bCs/>
          <w:lang w:val="en-GB" w:eastAsia="ja-JP"/>
        </w:rPr>
        <w:t xml:space="preserve"> Unit 2, Unit 1 </w:t>
      </w:r>
      <w:r w:rsidR="00A46C00" w:rsidRPr="00E2449B">
        <w:rPr>
          <w:bCs/>
          <w:u w:val="single"/>
          <w:lang w:val="en-GB" w:eastAsia="ja-JP"/>
        </w:rPr>
        <w:t>and</w:t>
      </w:r>
      <w:r w:rsidR="00A46C00" w:rsidRPr="00E2449B">
        <w:rPr>
          <w:bCs/>
          <w:lang w:val="en-GB" w:eastAsia="ja-JP"/>
        </w:rPr>
        <w:t xml:space="preserve"> Unit 3, Unit 2 </w:t>
      </w:r>
      <w:r w:rsidR="00A46C00" w:rsidRPr="00E2449B">
        <w:rPr>
          <w:bCs/>
          <w:u w:val="single"/>
          <w:lang w:val="en-GB" w:eastAsia="ja-JP"/>
        </w:rPr>
        <w:t>and</w:t>
      </w:r>
      <w:r w:rsidR="00A46C00" w:rsidRPr="00E2449B">
        <w:rPr>
          <w:bCs/>
          <w:lang w:val="en-GB" w:eastAsia="ja-JP"/>
        </w:rPr>
        <w:t xml:space="preserve"> Unit 3 </w:t>
      </w:r>
    </w:p>
    <w:p w:rsidR="00A46C00" w:rsidRPr="00E2449B" w:rsidRDefault="00B36B31" w:rsidP="00A46C00">
      <w:pPr>
        <w:numPr>
          <w:ilvl w:val="1"/>
          <w:numId w:val="64"/>
        </w:numPr>
        <w:autoSpaceDE w:val="0"/>
        <w:autoSpaceDN w:val="0"/>
        <w:adjustRightInd w:val="0"/>
        <w:spacing w:line="360" w:lineRule="auto"/>
        <w:rPr>
          <w:bCs/>
          <w:lang w:val="en-GB" w:eastAsia="ja-JP"/>
        </w:rPr>
      </w:pPr>
      <w:r>
        <w:rPr>
          <w:bCs/>
          <w:lang w:val="en-GB" w:eastAsia="ja-JP"/>
        </w:rPr>
        <w:t>t</w:t>
      </w:r>
      <w:r w:rsidR="00A46C00" w:rsidRPr="00E2449B">
        <w:rPr>
          <w:bCs/>
          <w:lang w:val="en-GB" w:eastAsia="ja-JP"/>
        </w:rPr>
        <w:t xml:space="preserve">riple-unit outcomes: Units 1 </w:t>
      </w:r>
      <w:r w:rsidR="00A46C00" w:rsidRPr="00E2449B">
        <w:rPr>
          <w:bCs/>
          <w:u w:val="single"/>
          <w:lang w:val="en-GB" w:eastAsia="ja-JP"/>
        </w:rPr>
        <w:t>and</w:t>
      </w:r>
      <w:r w:rsidR="00A46C00" w:rsidRPr="00E2449B">
        <w:rPr>
          <w:bCs/>
          <w:lang w:val="en-GB" w:eastAsia="ja-JP"/>
        </w:rPr>
        <w:t xml:space="preserve"> Unit 2 </w:t>
      </w:r>
      <w:r w:rsidR="00A46C00" w:rsidRPr="00E2449B">
        <w:rPr>
          <w:bCs/>
          <w:u w:val="single"/>
          <w:lang w:val="en-GB" w:eastAsia="ja-JP"/>
        </w:rPr>
        <w:t>and</w:t>
      </w:r>
      <w:r w:rsidR="00A46C00" w:rsidRPr="00E2449B">
        <w:rPr>
          <w:bCs/>
          <w:lang w:val="en-GB" w:eastAsia="ja-JP"/>
        </w:rPr>
        <w:t xml:space="preserve"> Unit 3 </w:t>
      </w:r>
    </w:p>
    <w:p w:rsidR="00A46C00" w:rsidRPr="00E2449B" w:rsidRDefault="00A46C00" w:rsidP="00A46C00">
      <w:pPr>
        <w:spacing w:line="360" w:lineRule="auto"/>
        <w:rPr>
          <w:lang w:val="en-GB"/>
        </w:rPr>
      </w:pPr>
    </w:p>
    <w:p w:rsidR="00A46C00" w:rsidRPr="00E2449B" w:rsidRDefault="00A46C00" w:rsidP="00A46C00">
      <w:pPr>
        <w:rPr>
          <w:lang w:val="en-GB"/>
        </w:rPr>
      </w:pPr>
      <w:r w:rsidRPr="00E2449B">
        <w:rPr>
          <w:lang w:val="en-GB"/>
        </w:rPr>
        <w:t>Specifically, there are three single-unit outcomes, three dual-unit outcomes, and one triple-unit outcome. The various outcomes can be depicted on a diagram, as shown in</w:t>
      </w:r>
      <w:r w:rsidR="00B36B31">
        <w:rPr>
          <w:lang w:val="en-GB"/>
        </w:rPr>
        <w:t xml:space="preserve"> </w:t>
      </w:r>
      <w:r w:rsidR="009E768B">
        <w:rPr>
          <w:lang w:val="en-GB"/>
        </w:rPr>
        <w:fldChar w:fldCharType="begin"/>
      </w:r>
      <w:r w:rsidR="00244AC3">
        <w:rPr>
          <w:lang w:val="en-GB"/>
        </w:rPr>
        <w:instrText xml:space="preserve"> REF _Ref323813224 \h </w:instrText>
      </w:r>
      <w:r w:rsidR="009E768B">
        <w:rPr>
          <w:lang w:val="en-GB"/>
        </w:rPr>
      </w:r>
      <w:r w:rsidR="009E768B">
        <w:rPr>
          <w:lang w:val="en-GB"/>
        </w:rPr>
        <w:fldChar w:fldCharType="separate"/>
      </w:r>
      <w:r w:rsidR="00B772CA" w:rsidRPr="00557A1D">
        <w:rPr>
          <w:lang w:val="en-US"/>
        </w:rPr>
        <w:t xml:space="preserve">Figure </w:t>
      </w:r>
      <w:r w:rsidR="00B772CA">
        <w:rPr>
          <w:noProof/>
          <w:lang w:val="en-US"/>
        </w:rPr>
        <w:t>5</w:t>
      </w:r>
      <w:r w:rsidR="009E768B">
        <w:rPr>
          <w:lang w:val="en-GB"/>
        </w:rPr>
        <w:fldChar w:fldCharType="end"/>
      </w:r>
      <w:r w:rsidRPr="00E2449B">
        <w:rPr>
          <w:lang w:val="en-GB"/>
        </w:rPr>
        <w:t>, where all of the outcomes that affect a specific unit</w:t>
      </w:r>
      <w:r>
        <w:rPr>
          <w:lang w:val="en-GB"/>
        </w:rPr>
        <w:t xml:space="preserve"> are included within a circle </w:t>
      </w:r>
      <w:r w:rsidR="009E768B">
        <w:rPr>
          <w:lang w:val="en-GB"/>
        </w:rPr>
        <w:fldChar w:fldCharType="begin"/>
      </w:r>
      <w:r w:rsidR="00F30E4D">
        <w:rPr>
          <w:lang w:val="en-GB"/>
        </w:rPr>
        <w:instrText xml:space="preserve"> REF _Ref300912622 \r \h </w:instrText>
      </w:r>
      <w:r w:rsidR="009E768B">
        <w:rPr>
          <w:lang w:val="en-GB"/>
        </w:rPr>
      </w:r>
      <w:r w:rsidR="009E768B">
        <w:rPr>
          <w:lang w:val="en-GB"/>
        </w:rPr>
        <w:fldChar w:fldCharType="separate"/>
      </w:r>
      <w:r w:rsidR="00B772CA">
        <w:rPr>
          <w:lang w:val="en-GB"/>
        </w:rPr>
        <w:t>[87]</w:t>
      </w:r>
      <w:r w:rsidR="009E768B">
        <w:rPr>
          <w:lang w:val="en-GB"/>
        </w:rPr>
        <w:fldChar w:fldCharType="end"/>
      </w:r>
      <w:r w:rsidR="00F30E4D">
        <w:rPr>
          <w:lang w:val="en-GB"/>
        </w:rPr>
        <w:t>.</w:t>
      </w:r>
    </w:p>
    <w:p w:rsidR="008B4A42" w:rsidRDefault="00A46C00" w:rsidP="008B4A42">
      <w:pPr>
        <w:keepNext/>
      </w:pPr>
      <w:r w:rsidRPr="00C94556">
        <w:rPr>
          <w:b/>
          <w:noProof/>
          <w:color w:val="008000"/>
        </w:rPr>
        <w:lastRenderedPageBreak/>
        <w:drawing>
          <wp:inline distT="0" distB="0" distL="0" distR="0" wp14:anchorId="5E99B113" wp14:editId="492B1AF1">
            <wp:extent cx="6027420" cy="307213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7420" cy="3072130"/>
                    </a:xfrm>
                    <a:prstGeom prst="rect">
                      <a:avLst/>
                    </a:prstGeom>
                    <a:noFill/>
                    <a:ln>
                      <a:noFill/>
                    </a:ln>
                  </pic:spPr>
                </pic:pic>
              </a:graphicData>
            </a:graphic>
          </wp:inline>
        </w:drawing>
      </w:r>
    </w:p>
    <w:p w:rsidR="00A46C00" w:rsidRDefault="008B4A42" w:rsidP="00E236DA">
      <w:pPr>
        <w:pStyle w:val="Lgende"/>
        <w:rPr>
          <w:i/>
          <w:caps/>
          <w:lang w:val="en-GB"/>
        </w:rPr>
      </w:pPr>
      <w:bookmarkStart w:id="408" w:name="_Ref323813224"/>
      <w:bookmarkStart w:id="409" w:name="_Toc474428912"/>
      <w:r w:rsidRPr="00557A1D">
        <w:rPr>
          <w:lang w:val="en-US"/>
        </w:rPr>
        <w:t xml:space="preserve">Figure </w:t>
      </w:r>
      <w:r w:rsidR="009E768B">
        <w:fldChar w:fldCharType="begin"/>
      </w:r>
      <w:r w:rsidRPr="00557A1D">
        <w:rPr>
          <w:lang w:val="en-US"/>
        </w:rPr>
        <w:instrText xml:space="preserve"> SEQ Figure \* ARABIC </w:instrText>
      </w:r>
      <w:r w:rsidR="009E768B">
        <w:fldChar w:fldCharType="separate"/>
      </w:r>
      <w:r w:rsidR="00B772CA">
        <w:rPr>
          <w:noProof/>
          <w:lang w:val="en-US"/>
        </w:rPr>
        <w:t>5</w:t>
      </w:r>
      <w:r w:rsidR="009E768B">
        <w:fldChar w:fldCharType="end"/>
      </w:r>
      <w:bookmarkEnd w:id="408"/>
      <w:r w:rsidRPr="00557A1D">
        <w:rPr>
          <w:lang w:val="en-US"/>
        </w:rPr>
        <w:t xml:space="preserve"> : </w:t>
      </w:r>
      <w:r w:rsidRPr="00E2449B">
        <w:rPr>
          <w:lang w:val="en-GB"/>
        </w:rPr>
        <w:t>Diagram Depicting Multi</w:t>
      </w:r>
      <w:r>
        <w:rPr>
          <w:lang w:val="en-GB"/>
        </w:rPr>
        <w:t>-</w:t>
      </w:r>
      <w:r w:rsidRPr="00E2449B">
        <w:rPr>
          <w:lang w:val="en-GB"/>
        </w:rPr>
        <w:t>unit Accidents</w:t>
      </w:r>
      <w:r>
        <w:rPr>
          <w:lang w:val="en-GB"/>
        </w:rPr>
        <w:t xml:space="preserve"> </w:t>
      </w:r>
      <w:r w:rsidR="009E768B">
        <w:rPr>
          <w:lang w:val="en-GB"/>
        </w:rPr>
        <w:fldChar w:fldCharType="begin"/>
      </w:r>
      <w:r>
        <w:rPr>
          <w:lang w:val="en-GB"/>
        </w:rPr>
        <w:instrText xml:space="preserve"> REF _Ref300912622 \r \h </w:instrText>
      </w:r>
      <w:r w:rsidR="009E768B">
        <w:rPr>
          <w:lang w:val="en-GB"/>
        </w:rPr>
      </w:r>
      <w:r w:rsidR="009E768B">
        <w:rPr>
          <w:lang w:val="en-GB"/>
        </w:rPr>
        <w:fldChar w:fldCharType="separate"/>
      </w:r>
      <w:r w:rsidR="00B772CA">
        <w:rPr>
          <w:lang w:val="en-GB"/>
        </w:rPr>
        <w:t>[87]</w:t>
      </w:r>
      <w:bookmarkEnd w:id="409"/>
      <w:r w:rsidR="009E768B">
        <w:rPr>
          <w:lang w:val="en-GB"/>
        </w:rPr>
        <w:fldChar w:fldCharType="end"/>
      </w:r>
    </w:p>
    <w:p w:rsidR="00A46C00" w:rsidRDefault="00A46C00" w:rsidP="00A46C00">
      <w:pPr>
        <w:spacing w:line="360" w:lineRule="auto"/>
        <w:jc w:val="center"/>
        <w:rPr>
          <w:lang w:val="en-GB"/>
        </w:rPr>
      </w:pPr>
    </w:p>
    <w:p w:rsidR="00A46C00" w:rsidRDefault="00A46C00" w:rsidP="00A46C00">
      <w:pPr>
        <w:rPr>
          <w:lang w:val="en-GB"/>
        </w:rPr>
      </w:pPr>
      <w:r w:rsidRPr="00194826">
        <w:rPr>
          <w:lang w:val="en-GB"/>
        </w:rPr>
        <w:t xml:space="preserve">As an illustrative example let’s consider the occurrence of a </w:t>
      </w:r>
      <w:r w:rsidR="00D47162">
        <w:rPr>
          <w:lang w:val="en-GB"/>
        </w:rPr>
        <w:t>S</w:t>
      </w:r>
      <w:r w:rsidRPr="00194826">
        <w:rPr>
          <w:lang w:val="en-GB"/>
        </w:rPr>
        <w:t>CCI at a three-unit site with units label</w:t>
      </w:r>
      <w:r>
        <w:rPr>
          <w:lang w:val="en-GB"/>
        </w:rPr>
        <w:t>l</w:t>
      </w:r>
      <w:r w:rsidRPr="00194826">
        <w:rPr>
          <w:lang w:val="en-GB"/>
        </w:rPr>
        <w:t xml:space="preserve">ed Unit 1, Unit 2, and Unit 3, and define the following events, as in </w:t>
      </w:r>
      <w:r w:rsidR="009E768B">
        <w:rPr>
          <w:lang w:val="en-GB"/>
        </w:rPr>
        <w:fldChar w:fldCharType="begin"/>
      </w:r>
      <w:r w:rsidR="008B4A42">
        <w:rPr>
          <w:lang w:val="en-GB"/>
        </w:rPr>
        <w:instrText xml:space="preserve"> REF _Ref323813224 \h </w:instrText>
      </w:r>
      <w:r w:rsidR="009E768B">
        <w:rPr>
          <w:lang w:val="en-GB"/>
        </w:rPr>
      </w:r>
      <w:r w:rsidR="009E768B">
        <w:rPr>
          <w:lang w:val="en-GB"/>
        </w:rPr>
        <w:fldChar w:fldCharType="separate"/>
      </w:r>
      <w:r w:rsidR="00B772CA" w:rsidRPr="00557A1D">
        <w:rPr>
          <w:lang w:val="en-US"/>
        </w:rPr>
        <w:t xml:space="preserve">Figure </w:t>
      </w:r>
      <w:r w:rsidR="00B772CA">
        <w:rPr>
          <w:noProof/>
          <w:lang w:val="en-US"/>
        </w:rPr>
        <w:t>5</w:t>
      </w:r>
      <w:r w:rsidR="009E768B">
        <w:rPr>
          <w:lang w:val="en-GB"/>
        </w:rPr>
        <w:fldChar w:fldCharType="end"/>
      </w:r>
      <w:r w:rsidRPr="00194826">
        <w:rPr>
          <w:lang w:val="en-GB"/>
        </w:rPr>
        <w:t>:</w:t>
      </w:r>
      <w:r w:rsidRPr="00E2449B">
        <w:rPr>
          <w:lang w:val="en-GB"/>
        </w:rPr>
        <w:t xml:space="preserve"> </w:t>
      </w:r>
    </w:p>
    <w:p w:rsidR="00A46C00" w:rsidRPr="00C94556" w:rsidRDefault="00A46C00" w:rsidP="00A46C00">
      <w:pPr>
        <w:pStyle w:val="Paragraphedeliste"/>
        <w:numPr>
          <w:ilvl w:val="0"/>
          <w:numId w:val="65"/>
        </w:numPr>
        <w:spacing w:before="120" w:after="200" w:line="360" w:lineRule="auto"/>
        <w:ind w:left="714" w:hanging="357"/>
        <w:jc w:val="left"/>
        <w:rPr>
          <w:szCs w:val="22"/>
        </w:rPr>
      </w:pPr>
      <w:r w:rsidRPr="00C94556">
        <w:rPr>
          <w:szCs w:val="22"/>
        </w:rPr>
        <w:t>Event U1 = release from Unit1</w:t>
      </w:r>
    </w:p>
    <w:p w:rsidR="00A46C00" w:rsidRPr="00C94556" w:rsidRDefault="00A46C00" w:rsidP="00A46C00">
      <w:pPr>
        <w:pStyle w:val="Paragraphedeliste"/>
        <w:numPr>
          <w:ilvl w:val="0"/>
          <w:numId w:val="65"/>
        </w:numPr>
        <w:spacing w:after="200" w:line="360" w:lineRule="auto"/>
        <w:jc w:val="left"/>
        <w:rPr>
          <w:szCs w:val="22"/>
        </w:rPr>
      </w:pPr>
      <w:r w:rsidRPr="00C94556">
        <w:rPr>
          <w:szCs w:val="22"/>
        </w:rPr>
        <w:t>Event U2 = release from Unit2</w:t>
      </w:r>
    </w:p>
    <w:p w:rsidR="00A46C00" w:rsidRPr="00C94556" w:rsidRDefault="00A46C00" w:rsidP="00A46C00">
      <w:pPr>
        <w:pStyle w:val="Paragraphedeliste"/>
        <w:numPr>
          <w:ilvl w:val="0"/>
          <w:numId w:val="65"/>
        </w:numPr>
        <w:spacing w:after="200" w:line="360" w:lineRule="auto"/>
        <w:jc w:val="left"/>
        <w:rPr>
          <w:szCs w:val="22"/>
        </w:rPr>
      </w:pPr>
      <w:r w:rsidRPr="00C94556">
        <w:rPr>
          <w:szCs w:val="22"/>
        </w:rPr>
        <w:t>Event U3 = release from Unit3</w:t>
      </w:r>
    </w:p>
    <w:p w:rsidR="00A46C00" w:rsidRPr="00E2449B" w:rsidRDefault="00A46C00" w:rsidP="00A46C00">
      <w:pPr>
        <w:rPr>
          <w:color w:val="008000"/>
          <w:lang w:val="en-GB"/>
        </w:rPr>
      </w:pPr>
      <w:r w:rsidRPr="00E2449B">
        <w:rPr>
          <w:lang w:val="en-GB"/>
        </w:rPr>
        <w:t>From these fundamental definitions, we can have the following seven compound events:</w:t>
      </w:r>
    </w:p>
    <w:p w:rsidR="00A46C00" w:rsidRPr="00E2449B" w:rsidRDefault="00A46C00" w:rsidP="00A46C00">
      <w:pPr>
        <w:spacing w:line="360" w:lineRule="auto"/>
        <w:rPr>
          <w:color w:val="008000"/>
          <w:lang w:val="en-GB"/>
        </w:rPr>
      </w:pPr>
    </w:p>
    <w:p w:rsidR="00A46C00" w:rsidRPr="00557A1D" w:rsidRDefault="00A46C00" w:rsidP="00A46C00">
      <w:pPr>
        <w:pStyle w:val="Paragraphedeliste"/>
        <w:numPr>
          <w:ilvl w:val="0"/>
          <w:numId w:val="66"/>
        </w:numPr>
        <w:spacing w:after="200" w:line="360" w:lineRule="auto"/>
        <w:jc w:val="left"/>
        <w:rPr>
          <w:lang w:val="en-US"/>
        </w:rPr>
      </w:pPr>
      <w:r w:rsidRPr="00557A1D">
        <w:rPr>
          <w:bCs/>
          <w:lang w:val="en-US"/>
        </w:rPr>
        <w:t>P(</w:t>
      </w:r>
      <w:r w:rsidRPr="00557A1D">
        <w:rPr>
          <w:bCs/>
          <w:i/>
          <w:lang w:val="en-US"/>
        </w:rPr>
        <w:t>U</w:t>
      </w:r>
      <w:r w:rsidRPr="00557A1D">
        <w:rPr>
          <w:bCs/>
          <w:lang w:val="en-US"/>
        </w:rPr>
        <w:t>1/</w:t>
      </w:r>
      <w:r w:rsidR="00D47162">
        <w:rPr>
          <w:bCs/>
          <w:lang w:val="en-US"/>
        </w:rPr>
        <w:t>S</w:t>
      </w:r>
      <w:r w:rsidRPr="00557A1D">
        <w:rPr>
          <w:bCs/>
          <w:i/>
          <w:lang w:val="en-US"/>
        </w:rPr>
        <w:t>CCI</w:t>
      </w:r>
      <w:r w:rsidRPr="00557A1D">
        <w:rPr>
          <w:bCs/>
          <w:lang w:val="en-US"/>
        </w:rPr>
        <w:t>) = probability of release from only Unit1</w:t>
      </w:r>
    </w:p>
    <w:p w:rsidR="00A46C00" w:rsidRPr="00557A1D" w:rsidRDefault="00A46C00" w:rsidP="00A46C00">
      <w:pPr>
        <w:pStyle w:val="Paragraphedeliste"/>
        <w:numPr>
          <w:ilvl w:val="0"/>
          <w:numId w:val="66"/>
        </w:numPr>
        <w:spacing w:after="200" w:line="360" w:lineRule="auto"/>
        <w:jc w:val="left"/>
        <w:rPr>
          <w:color w:val="008000"/>
          <w:lang w:val="en-US"/>
        </w:rPr>
      </w:pPr>
      <w:r w:rsidRPr="00557A1D">
        <w:rPr>
          <w:bCs/>
          <w:lang w:val="en-US"/>
        </w:rPr>
        <w:t>P(</w:t>
      </w:r>
      <w:r w:rsidRPr="00557A1D">
        <w:rPr>
          <w:bCs/>
          <w:i/>
          <w:lang w:val="en-US"/>
        </w:rPr>
        <w:t>U</w:t>
      </w:r>
      <w:r w:rsidRPr="00557A1D">
        <w:rPr>
          <w:bCs/>
          <w:lang w:val="en-US"/>
        </w:rPr>
        <w:t>2/</w:t>
      </w:r>
      <w:r w:rsidR="00D47162">
        <w:rPr>
          <w:bCs/>
          <w:lang w:val="en-US"/>
        </w:rPr>
        <w:t>S</w:t>
      </w:r>
      <w:r w:rsidRPr="00557A1D">
        <w:rPr>
          <w:bCs/>
          <w:i/>
          <w:lang w:val="en-US"/>
        </w:rPr>
        <w:t>CCI</w:t>
      </w:r>
      <w:r w:rsidRPr="00557A1D">
        <w:rPr>
          <w:bCs/>
          <w:lang w:val="en-US"/>
        </w:rPr>
        <w:t>) = probability of release from only Unit2</w:t>
      </w:r>
    </w:p>
    <w:p w:rsidR="00A46C00" w:rsidRPr="00557A1D" w:rsidRDefault="00A46C00" w:rsidP="00A46C00">
      <w:pPr>
        <w:pStyle w:val="Paragraphedeliste"/>
        <w:numPr>
          <w:ilvl w:val="0"/>
          <w:numId w:val="66"/>
        </w:numPr>
        <w:spacing w:after="200" w:line="360" w:lineRule="auto"/>
        <w:jc w:val="left"/>
        <w:rPr>
          <w:color w:val="008000"/>
          <w:lang w:val="en-US"/>
        </w:rPr>
      </w:pPr>
      <w:r w:rsidRPr="00557A1D">
        <w:rPr>
          <w:bCs/>
          <w:lang w:val="en-US"/>
        </w:rPr>
        <w:t>P(</w:t>
      </w:r>
      <w:r w:rsidRPr="00557A1D">
        <w:rPr>
          <w:bCs/>
          <w:i/>
          <w:lang w:val="en-US"/>
        </w:rPr>
        <w:t>U</w:t>
      </w:r>
      <w:r w:rsidRPr="00557A1D">
        <w:rPr>
          <w:bCs/>
          <w:lang w:val="en-US"/>
        </w:rPr>
        <w:t>3/</w:t>
      </w:r>
      <w:r w:rsidR="00D47162">
        <w:rPr>
          <w:bCs/>
          <w:lang w:val="en-US"/>
        </w:rPr>
        <w:t>S</w:t>
      </w:r>
      <w:r w:rsidRPr="00557A1D">
        <w:rPr>
          <w:bCs/>
          <w:i/>
          <w:lang w:val="en-US"/>
        </w:rPr>
        <w:t>CCI</w:t>
      </w:r>
      <w:r w:rsidRPr="00557A1D">
        <w:rPr>
          <w:bCs/>
          <w:lang w:val="en-US"/>
        </w:rPr>
        <w:t>) = probability of release from only Unit3</w:t>
      </w:r>
    </w:p>
    <w:p w:rsidR="00A46C00" w:rsidRPr="00557A1D" w:rsidRDefault="00A46C00" w:rsidP="00A46C00">
      <w:pPr>
        <w:pStyle w:val="Paragraphedeliste"/>
        <w:numPr>
          <w:ilvl w:val="0"/>
          <w:numId w:val="66"/>
        </w:numPr>
        <w:spacing w:after="200" w:line="360" w:lineRule="auto"/>
        <w:jc w:val="left"/>
        <w:rPr>
          <w:color w:val="008000"/>
          <w:lang w:val="en-US"/>
        </w:rPr>
      </w:pPr>
      <w:r w:rsidRPr="00557A1D">
        <w:rPr>
          <w:bCs/>
          <w:lang w:val="en-US"/>
        </w:rPr>
        <w:t>P((</w:t>
      </w:r>
      <w:r w:rsidRPr="00557A1D">
        <w:rPr>
          <w:bCs/>
          <w:i/>
          <w:lang w:val="en-US"/>
        </w:rPr>
        <w:t>U</w:t>
      </w:r>
      <w:r w:rsidRPr="00557A1D">
        <w:rPr>
          <w:bCs/>
          <w:lang w:val="en-US"/>
        </w:rPr>
        <w:t xml:space="preserve">1 and </w:t>
      </w:r>
      <w:r w:rsidRPr="00557A1D">
        <w:rPr>
          <w:bCs/>
          <w:i/>
          <w:lang w:val="en-US"/>
        </w:rPr>
        <w:t>U</w:t>
      </w:r>
      <w:r w:rsidRPr="00557A1D">
        <w:rPr>
          <w:bCs/>
          <w:lang w:val="en-US"/>
        </w:rPr>
        <w:t>2)/</w:t>
      </w:r>
      <w:r w:rsidR="00D47162">
        <w:rPr>
          <w:bCs/>
          <w:lang w:val="en-US"/>
        </w:rPr>
        <w:t>S</w:t>
      </w:r>
      <w:r w:rsidRPr="00557A1D">
        <w:rPr>
          <w:bCs/>
          <w:i/>
          <w:lang w:val="en-US"/>
        </w:rPr>
        <w:t>CCI</w:t>
      </w:r>
      <w:r w:rsidRPr="00557A1D">
        <w:rPr>
          <w:bCs/>
          <w:lang w:val="en-US"/>
        </w:rPr>
        <w:t>) = probability of release from Unit1 and Unit2</w:t>
      </w:r>
    </w:p>
    <w:p w:rsidR="00A46C00" w:rsidRPr="00557A1D" w:rsidRDefault="00A46C00" w:rsidP="00A46C00">
      <w:pPr>
        <w:pStyle w:val="Paragraphedeliste"/>
        <w:numPr>
          <w:ilvl w:val="0"/>
          <w:numId w:val="66"/>
        </w:numPr>
        <w:spacing w:after="200" w:line="360" w:lineRule="auto"/>
        <w:jc w:val="left"/>
        <w:rPr>
          <w:bCs/>
          <w:lang w:val="en-US"/>
        </w:rPr>
      </w:pPr>
      <w:r w:rsidRPr="00557A1D">
        <w:rPr>
          <w:bCs/>
          <w:lang w:val="en-US"/>
        </w:rPr>
        <w:t>P((</w:t>
      </w:r>
      <w:r w:rsidRPr="00557A1D">
        <w:rPr>
          <w:bCs/>
          <w:i/>
          <w:lang w:val="en-US"/>
        </w:rPr>
        <w:t>U</w:t>
      </w:r>
      <w:r w:rsidRPr="00557A1D">
        <w:rPr>
          <w:bCs/>
          <w:lang w:val="en-US"/>
        </w:rPr>
        <w:t xml:space="preserve">2 and </w:t>
      </w:r>
      <w:r w:rsidRPr="00557A1D">
        <w:rPr>
          <w:bCs/>
          <w:i/>
          <w:lang w:val="en-US"/>
        </w:rPr>
        <w:t>U</w:t>
      </w:r>
      <w:r w:rsidRPr="00557A1D">
        <w:rPr>
          <w:bCs/>
          <w:lang w:val="en-US"/>
        </w:rPr>
        <w:t>3)/</w:t>
      </w:r>
      <w:r w:rsidR="00D47162">
        <w:rPr>
          <w:bCs/>
          <w:lang w:val="en-US"/>
        </w:rPr>
        <w:t>S</w:t>
      </w:r>
      <w:r w:rsidRPr="00557A1D">
        <w:rPr>
          <w:bCs/>
          <w:i/>
          <w:lang w:val="en-US"/>
        </w:rPr>
        <w:t>CCI</w:t>
      </w:r>
      <w:r w:rsidRPr="00557A1D">
        <w:rPr>
          <w:bCs/>
          <w:lang w:val="en-US"/>
        </w:rPr>
        <w:t>) = probability of release from Unit2 and Unit3</w:t>
      </w:r>
    </w:p>
    <w:p w:rsidR="00A46C00" w:rsidRPr="00557A1D" w:rsidRDefault="00A46C00" w:rsidP="00A46C00">
      <w:pPr>
        <w:pStyle w:val="Paragraphedeliste"/>
        <w:numPr>
          <w:ilvl w:val="0"/>
          <w:numId w:val="66"/>
        </w:numPr>
        <w:spacing w:after="200" w:line="360" w:lineRule="auto"/>
        <w:jc w:val="left"/>
        <w:rPr>
          <w:bCs/>
          <w:lang w:val="en-US"/>
        </w:rPr>
      </w:pPr>
      <w:r w:rsidRPr="00557A1D">
        <w:rPr>
          <w:bCs/>
          <w:lang w:val="en-US"/>
        </w:rPr>
        <w:t>P((</w:t>
      </w:r>
      <w:r w:rsidRPr="00557A1D">
        <w:rPr>
          <w:bCs/>
          <w:i/>
          <w:lang w:val="en-US"/>
        </w:rPr>
        <w:t>U</w:t>
      </w:r>
      <w:r w:rsidRPr="00557A1D">
        <w:rPr>
          <w:bCs/>
          <w:lang w:val="en-US"/>
        </w:rPr>
        <w:t xml:space="preserve">1 and </w:t>
      </w:r>
      <w:r w:rsidRPr="00557A1D">
        <w:rPr>
          <w:bCs/>
          <w:i/>
          <w:lang w:val="en-US"/>
        </w:rPr>
        <w:t>U</w:t>
      </w:r>
      <w:r w:rsidRPr="00557A1D">
        <w:rPr>
          <w:bCs/>
          <w:lang w:val="en-US"/>
        </w:rPr>
        <w:t>3)/</w:t>
      </w:r>
      <w:r w:rsidR="00D47162">
        <w:rPr>
          <w:bCs/>
          <w:lang w:val="en-US"/>
        </w:rPr>
        <w:t>S</w:t>
      </w:r>
      <w:r w:rsidRPr="00557A1D">
        <w:rPr>
          <w:bCs/>
          <w:i/>
          <w:lang w:val="en-US"/>
        </w:rPr>
        <w:t>CCI</w:t>
      </w:r>
      <w:r w:rsidRPr="00557A1D">
        <w:rPr>
          <w:bCs/>
          <w:lang w:val="en-US"/>
        </w:rPr>
        <w:t>) = probability of release from Unit1 and Unit3</w:t>
      </w:r>
    </w:p>
    <w:p w:rsidR="00A46C00" w:rsidRPr="00557A1D" w:rsidRDefault="00A46C00" w:rsidP="00A46C00">
      <w:pPr>
        <w:pStyle w:val="Paragraphedeliste"/>
        <w:numPr>
          <w:ilvl w:val="0"/>
          <w:numId w:val="66"/>
        </w:numPr>
        <w:spacing w:after="200" w:line="360" w:lineRule="auto"/>
        <w:jc w:val="left"/>
        <w:rPr>
          <w:color w:val="008000"/>
          <w:lang w:val="en-US"/>
        </w:rPr>
      </w:pPr>
      <w:r w:rsidRPr="00557A1D">
        <w:rPr>
          <w:bCs/>
          <w:lang w:val="en-US"/>
        </w:rPr>
        <w:t>P((</w:t>
      </w:r>
      <w:r w:rsidRPr="00557A1D">
        <w:rPr>
          <w:bCs/>
          <w:i/>
          <w:lang w:val="en-US"/>
        </w:rPr>
        <w:t>U</w:t>
      </w:r>
      <w:r w:rsidRPr="00557A1D">
        <w:rPr>
          <w:bCs/>
          <w:lang w:val="en-US"/>
        </w:rPr>
        <w:t xml:space="preserve">1 and </w:t>
      </w:r>
      <w:r w:rsidRPr="00557A1D">
        <w:rPr>
          <w:bCs/>
          <w:i/>
          <w:lang w:val="en-US"/>
        </w:rPr>
        <w:t>U</w:t>
      </w:r>
      <w:r w:rsidRPr="00557A1D">
        <w:rPr>
          <w:bCs/>
          <w:lang w:val="en-US"/>
        </w:rPr>
        <w:t xml:space="preserve">2 and </w:t>
      </w:r>
      <w:r w:rsidRPr="00557A1D">
        <w:rPr>
          <w:bCs/>
          <w:i/>
          <w:lang w:val="en-US"/>
        </w:rPr>
        <w:t>U</w:t>
      </w:r>
      <w:r w:rsidRPr="00557A1D">
        <w:rPr>
          <w:bCs/>
          <w:lang w:val="en-US"/>
        </w:rPr>
        <w:t>3)/</w:t>
      </w:r>
      <w:r w:rsidR="00D47162">
        <w:rPr>
          <w:bCs/>
          <w:lang w:val="en-US"/>
        </w:rPr>
        <w:t>S</w:t>
      </w:r>
      <w:r w:rsidRPr="00557A1D">
        <w:rPr>
          <w:bCs/>
          <w:i/>
          <w:lang w:val="en-US"/>
        </w:rPr>
        <w:t>CCI</w:t>
      </w:r>
      <w:r w:rsidRPr="00557A1D">
        <w:rPr>
          <w:bCs/>
          <w:lang w:val="en-US"/>
        </w:rPr>
        <w:t>) = probability of release from Unit1 and Unit2 and Unit3</w:t>
      </w:r>
    </w:p>
    <w:p w:rsidR="00A46C00" w:rsidRDefault="00A46C00" w:rsidP="00A46C00">
      <w:pPr>
        <w:rPr>
          <w:lang w:val="en-GB"/>
        </w:rPr>
      </w:pPr>
      <w:r w:rsidRPr="00FF5DA7">
        <w:rPr>
          <w:lang w:val="en-GB"/>
        </w:rPr>
        <w:t>The events being defined as disjunctive,</w:t>
      </w:r>
      <w:r w:rsidRPr="00E2449B">
        <w:rPr>
          <w:lang w:val="en-GB"/>
        </w:rPr>
        <w:t xml:space="preserve"> the total probability of having a release from the site as a consequence of a </w:t>
      </w:r>
      <w:r w:rsidR="00D47162">
        <w:rPr>
          <w:lang w:val="en-GB"/>
        </w:rPr>
        <w:t>S</w:t>
      </w:r>
      <w:r w:rsidRPr="00E2449B">
        <w:rPr>
          <w:lang w:val="en-GB"/>
        </w:rPr>
        <w:t>CCI is the sum of all these terms</w:t>
      </w:r>
      <w:r>
        <w:rPr>
          <w:lang w:val="en-GB"/>
        </w:rPr>
        <w:t>. Note that no limits on the quantity of accidental releases have been set for this example</w:t>
      </w:r>
      <w:r w:rsidRPr="00E2449B">
        <w:rPr>
          <w:lang w:val="en-GB"/>
        </w:rPr>
        <w:t>.</w:t>
      </w:r>
      <w:r>
        <w:rPr>
          <w:lang w:val="en-GB"/>
        </w:rPr>
        <w:t xml:space="preserve"> </w:t>
      </w:r>
    </w:p>
    <w:p w:rsidR="00032739" w:rsidRDefault="00032739" w:rsidP="00A46C00">
      <w:pPr>
        <w:rPr>
          <w:lang w:val="en-GB"/>
        </w:rPr>
      </w:pPr>
    </w:p>
    <w:p w:rsidR="00A73A08" w:rsidRDefault="00A46C00" w:rsidP="00A46C00">
      <w:pPr>
        <w:spacing w:line="360" w:lineRule="auto"/>
        <w:rPr>
          <w:lang w:val="en-GB"/>
        </w:rPr>
      </w:pPr>
      <w:r w:rsidRPr="00E2449B">
        <w:rPr>
          <w:lang w:val="en-GB"/>
        </w:rPr>
        <w:t xml:space="preserve">In general, for a site that has </w:t>
      </w:r>
      <w:r w:rsidRPr="00FF5DA7">
        <w:rPr>
          <w:lang w:val="en-GB"/>
        </w:rPr>
        <w:t xml:space="preserve">n </w:t>
      </w:r>
      <w:r w:rsidRPr="00E2449B">
        <w:rPr>
          <w:lang w:val="en-GB"/>
        </w:rPr>
        <w:t>units</w:t>
      </w:r>
      <w:r>
        <w:rPr>
          <w:lang w:val="en-GB"/>
        </w:rPr>
        <w:t xml:space="preserve"> </w:t>
      </w:r>
      <w:r w:rsidRPr="00E2449B">
        <w:rPr>
          <w:lang w:val="en-GB"/>
        </w:rPr>
        <w:t xml:space="preserve">the number of outcomes that involve exactly </w:t>
      </w:r>
      <w:r w:rsidRPr="00FF5DA7">
        <w:rPr>
          <w:lang w:val="en-GB"/>
        </w:rPr>
        <w:t>k</w:t>
      </w:r>
      <w:r w:rsidRPr="00E2449B">
        <w:rPr>
          <w:lang w:val="en-GB"/>
        </w:rPr>
        <w:t xml:space="preserve"> out of </w:t>
      </w:r>
      <w:r w:rsidRPr="00FF5DA7">
        <w:rPr>
          <w:lang w:val="en-GB"/>
        </w:rPr>
        <w:t>n</w:t>
      </w:r>
      <w:r w:rsidRPr="00E2449B">
        <w:rPr>
          <w:lang w:val="en-GB"/>
        </w:rPr>
        <w:t xml:space="preserve"> units </w:t>
      </w:r>
      <w:r>
        <w:rPr>
          <w:lang w:val="en-GB"/>
        </w:rPr>
        <w:t>is</w:t>
      </w:r>
      <w:r w:rsidRPr="00E2449B">
        <w:rPr>
          <w:lang w:val="en-GB"/>
        </w:rPr>
        <w:t xml:space="preserve"> </w:t>
      </w:r>
      <m:oMath>
        <m:d>
          <m:dPr>
            <m:ctrlPr>
              <w:rPr>
                <w:rFonts w:ascii="Cambria Math" w:hAnsi="Cambria Math"/>
                <w:lang w:val="en-GB"/>
              </w:rPr>
            </m:ctrlPr>
          </m:dPr>
          <m:e>
            <m:m>
              <m:mPr>
                <m:mcs>
                  <m:mc>
                    <m:mcPr>
                      <m:count m:val="1"/>
                      <m:mcJc m:val="center"/>
                    </m:mcPr>
                  </m:mc>
                </m:mcs>
                <m:ctrlPr>
                  <w:rPr>
                    <w:rFonts w:ascii="Cambria Math" w:hAnsi="Cambria Math"/>
                    <w:lang w:val="en-GB"/>
                  </w:rPr>
                </m:ctrlPr>
              </m:mPr>
              <m:mr>
                <m:e>
                  <m:r>
                    <m:rPr>
                      <m:sty m:val="p"/>
                    </m:rPr>
                    <w:rPr>
                      <w:rFonts w:ascii="Cambria Math" w:hAnsi="Cambria Math"/>
                      <w:lang w:val="en-GB"/>
                    </w:rPr>
                    <m:t>n</m:t>
                  </m:r>
                </m:e>
              </m:mr>
              <m:mr>
                <m:e>
                  <m:r>
                    <m:rPr>
                      <m:sty m:val="p"/>
                    </m:rPr>
                    <w:rPr>
                      <w:rFonts w:ascii="Cambria Math" w:hAnsi="Cambria Math"/>
                      <w:lang w:val="en-GB"/>
                    </w:rPr>
                    <m:t>k</m:t>
                  </m:r>
                </m:e>
              </m:mr>
            </m:m>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n!</m:t>
            </m:r>
          </m:num>
          <m:den>
            <m:r>
              <m:rPr>
                <m:sty m:val="p"/>
              </m:rPr>
              <w:rPr>
                <w:rFonts w:ascii="Cambria Math" w:hAnsi="Cambria Math"/>
                <w:lang w:val="en-GB"/>
              </w:rPr>
              <m:t>k!</m:t>
            </m:r>
            <m:d>
              <m:dPr>
                <m:ctrlPr>
                  <w:rPr>
                    <w:rFonts w:ascii="Cambria Math" w:hAnsi="Cambria Math"/>
                    <w:lang w:val="en-GB"/>
                  </w:rPr>
                </m:ctrlPr>
              </m:dPr>
              <m:e>
                <m:r>
                  <m:rPr>
                    <m:sty m:val="p"/>
                  </m:rPr>
                  <w:rPr>
                    <w:rFonts w:ascii="Cambria Math" w:hAnsi="Cambria Math"/>
                    <w:lang w:val="en-GB"/>
                  </w:rPr>
                  <m:t>n-k</m:t>
                </m:r>
              </m:e>
            </m:d>
            <m:r>
              <m:rPr>
                <m:sty m:val="p"/>
              </m:rPr>
              <w:rPr>
                <w:rFonts w:ascii="Cambria Math" w:hAnsi="Cambria Math"/>
                <w:lang w:val="en-GB"/>
              </w:rPr>
              <m:t>!</m:t>
            </m:r>
          </m:den>
        </m:f>
      </m:oMath>
      <w:r w:rsidR="00032739">
        <w:rPr>
          <w:lang w:val="en-GB"/>
        </w:rPr>
        <w:t>.</w:t>
      </w:r>
      <w:r w:rsidRPr="00E2449B">
        <w:rPr>
          <w:lang w:val="en-GB"/>
        </w:rPr>
        <w:t xml:space="preserve"> </w:t>
      </w:r>
      <w:r>
        <w:rPr>
          <w:lang w:val="en-GB"/>
        </w:rPr>
        <w:t xml:space="preserve">For a site with n units,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n</m:t>
            </m:r>
          </m:sup>
        </m:sSup>
        <m:r>
          <w:rPr>
            <w:rFonts w:ascii="Cambria Math" w:hAnsi="Cambria Math"/>
            <w:lang w:val="en-GB"/>
          </w:rPr>
          <m:t>-1</m:t>
        </m:r>
      </m:oMath>
      <w:r>
        <w:rPr>
          <w:lang w:val="en-GB"/>
        </w:rPr>
        <w:t xml:space="preserve"> disjunctive events have to be considered if all possible combinations need to be explicitly determined for calculating a site risk measure. For sites with more than 3 units this will be an incentive for more conservative and bounding approaches instead of a rigorous investigation of all potential interdependencies. Conceptually, this issue is particularly relevant for Small Modular Reactors (SMR). </w:t>
      </w:r>
    </w:p>
    <w:p w:rsidR="00A46C00" w:rsidRDefault="00A46C00" w:rsidP="00A46C00">
      <w:pPr>
        <w:spacing w:line="360" w:lineRule="auto"/>
        <w:rPr>
          <w:lang w:val="en-GB"/>
        </w:rPr>
      </w:pPr>
      <w:r>
        <w:rPr>
          <w:lang w:val="en-GB"/>
        </w:rPr>
        <w:lastRenderedPageBreak/>
        <w:t>Regarding the relationship of unit-level and site-level risk measures, the following observations can be made.</w:t>
      </w:r>
    </w:p>
    <w:p w:rsidR="00A46C00" w:rsidRDefault="00A46C00" w:rsidP="00A46C00">
      <w:pPr>
        <w:numPr>
          <w:ilvl w:val="0"/>
          <w:numId w:val="63"/>
        </w:numPr>
        <w:rPr>
          <w:lang w:val="en-GB"/>
        </w:rPr>
      </w:pPr>
      <w:r w:rsidRPr="00C70893">
        <w:rPr>
          <w:lang w:val="en-GB"/>
        </w:rPr>
        <w:t>Risk measures for the risk of a unit</w:t>
      </w:r>
      <w:r w:rsidRPr="00C70893">
        <w:rPr>
          <w:lang w:val="en-GB"/>
        </w:rPr>
        <w:tab/>
      </w:r>
      <w:r w:rsidRPr="00C70893">
        <w:rPr>
          <w:lang w:val="en-GB"/>
        </w:rPr>
        <w:br/>
        <w:t>These are the “traditional” risk measures, indexed here for differentiation, like FDF</w:t>
      </w:r>
      <w:r w:rsidRPr="00C70893">
        <w:rPr>
          <w:vertAlign w:val="subscript"/>
          <w:lang w:val="en-GB"/>
        </w:rPr>
        <w:t>unit</w:t>
      </w:r>
      <w:r w:rsidRPr="00C70893">
        <w:rPr>
          <w:lang w:val="en-GB"/>
        </w:rPr>
        <w:t>, CDF</w:t>
      </w:r>
      <w:r w:rsidRPr="00C70893">
        <w:rPr>
          <w:vertAlign w:val="subscript"/>
          <w:lang w:val="en-GB"/>
        </w:rPr>
        <w:t>unit</w:t>
      </w:r>
      <w:r w:rsidRPr="00C70893">
        <w:rPr>
          <w:lang w:val="en-GB"/>
        </w:rPr>
        <w:t>,</w:t>
      </w:r>
      <w:r w:rsidR="00667C9B">
        <w:rPr>
          <w:lang w:val="en-GB"/>
        </w:rPr>
        <w:t xml:space="preserve"> or </w:t>
      </w:r>
      <w:r w:rsidRPr="00C70893">
        <w:rPr>
          <w:lang w:val="en-GB"/>
        </w:rPr>
        <w:t>LRF</w:t>
      </w:r>
      <w:r w:rsidRPr="00C70893">
        <w:rPr>
          <w:vertAlign w:val="subscript"/>
          <w:lang w:val="en-GB"/>
        </w:rPr>
        <w:t>unit</w:t>
      </w:r>
      <w:r w:rsidRPr="00C70893">
        <w:rPr>
          <w:lang w:val="en-GB"/>
        </w:rPr>
        <w:t>.</w:t>
      </w:r>
    </w:p>
    <w:p w:rsidR="00A46C00" w:rsidRDefault="00A46C00" w:rsidP="00A46C00">
      <w:pPr>
        <w:numPr>
          <w:ilvl w:val="0"/>
          <w:numId w:val="63"/>
        </w:numPr>
        <w:rPr>
          <w:lang w:val="en-GB"/>
        </w:rPr>
      </w:pPr>
      <w:r>
        <w:rPr>
          <w:lang w:val="en-GB"/>
        </w:rPr>
        <w:t>Risk measures for the risk of a site</w:t>
      </w:r>
      <w:r>
        <w:rPr>
          <w:lang w:val="en-GB"/>
        </w:rPr>
        <w:tab/>
      </w:r>
      <w:r>
        <w:rPr>
          <w:lang w:val="en-GB"/>
        </w:rPr>
        <w:br/>
        <w:t xml:space="preserve">This comprises risk measures specific to the site. Based on the discussion </w:t>
      </w:r>
      <w:r w:rsidR="004642CE">
        <w:rPr>
          <w:lang w:val="en-GB"/>
        </w:rPr>
        <w:t>above</w:t>
      </w:r>
      <w:r>
        <w:rPr>
          <w:lang w:val="en-GB"/>
        </w:rPr>
        <w:t>, several important unit-specific risk measures can be extended in a straight forward approach as site risk measures, i.e. FDF</w:t>
      </w:r>
      <w:r w:rsidRPr="00C70893">
        <w:rPr>
          <w:vertAlign w:val="subscript"/>
          <w:lang w:val="en-GB"/>
        </w:rPr>
        <w:t>site</w:t>
      </w:r>
      <w:r w:rsidR="00667C9B">
        <w:rPr>
          <w:lang w:val="en-GB"/>
        </w:rPr>
        <w:t xml:space="preserve"> or</w:t>
      </w:r>
      <w:r>
        <w:rPr>
          <w:lang w:val="en-GB"/>
        </w:rPr>
        <w:t xml:space="preserve"> LRF</w:t>
      </w:r>
      <w:r w:rsidRPr="00C70893">
        <w:rPr>
          <w:vertAlign w:val="subscript"/>
          <w:lang w:val="en-GB"/>
        </w:rPr>
        <w:t>site</w:t>
      </w:r>
      <w:r>
        <w:rPr>
          <w:lang w:val="en-GB"/>
        </w:rPr>
        <w:t>.</w:t>
      </w:r>
      <w:r w:rsidRPr="00C70893">
        <w:rPr>
          <w:lang w:val="en-GB"/>
        </w:rPr>
        <w:t xml:space="preserve"> </w:t>
      </w:r>
    </w:p>
    <w:p w:rsidR="00A46C00" w:rsidRPr="00BD1C3F" w:rsidRDefault="00E64CB3" w:rsidP="00A46C00">
      <w:pPr>
        <w:numPr>
          <w:ilvl w:val="0"/>
          <w:numId w:val="63"/>
        </w:numPr>
        <w:rPr>
          <w:lang w:val="en-GB"/>
        </w:rPr>
      </w:pPr>
      <w:r>
        <w:rPr>
          <w:lang w:val="en-GB"/>
        </w:rPr>
        <w:t>In Appendix A, we provide a theoretic discussion of risk aggregation over direct risk measures for a multi-unit model. Based on this discussion, we remark that the following relationship is true for binary type direct risk measures like CDF/FDF.</w:t>
      </w:r>
      <w:r w:rsidR="00A46C00">
        <w:rPr>
          <w:lang w:val="en-GB"/>
        </w:rPr>
        <w:tab/>
      </w:r>
      <w:r w:rsidR="00A46C00">
        <w:rPr>
          <w:lang w:val="en-GB"/>
        </w:rPr>
        <w:br/>
      </w:r>
      <m:oMathPara>
        <m:oMath>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unit</m:t>
              </m:r>
              <m:r>
                <w:rPr>
                  <w:rFonts w:ascii="Cambria Math" w:hAnsi="Cambria Math"/>
                  <w:lang w:val="en-GB"/>
                </w:rPr>
                <m:t>_i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site</m:t>
              </m:r>
            </m:sub>
          </m:sSub>
          <m:r>
            <w:rPr>
              <w:rFonts w:ascii="Cambria Math" w:hAnsi="Cambria Math"/>
              <w:lang w:val="en-GB"/>
            </w:rPr>
            <m:t>≤</m:t>
          </m:r>
          <m:nary>
            <m:naryPr>
              <m:chr m:val="∑"/>
              <m:limLoc m:val="undOvr"/>
              <m:supHide m:val="1"/>
              <m:ctrlPr>
                <w:rPr>
                  <w:rFonts w:ascii="Cambria Math" w:hAnsi="Cambria Math"/>
                  <w:i/>
                  <w:lang w:val="en-GB"/>
                </w:rPr>
              </m:ctrlPr>
            </m:naryPr>
            <m:sub>
              <m:r>
                <w:rPr>
                  <w:rFonts w:ascii="Cambria Math" w:hAnsi="Cambria Math"/>
                  <w:lang w:val="en-GB"/>
                </w:rPr>
                <m:t>i</m:t>
              </m:r>
            </m:sub>
            <m:sup/>
            <m:e>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unit</m:t>
                  </m:r>
                  <m:r>
                    <w:rPr>
                      <w:rFonts w:ascii="Cambria Math" w:hAnsi="Cambria Math"/>
                      <w:lang w:val="en-GB"/>
                    </w:rPr>
                    <m:t>_i</m:t>
                  </m:r>
                </m:sub>
              </m:sSub>
            </m:e>
          </m:nary>
          <m:r>
            <m:rPr>
              <m:sty m:val="p"/>
            </m:rPr>
            <w:rPr>
              <w:lang w:val="en-GB"/>
            </w:rPr>
            <w:br/>
          </m:r>
        </m:oMath>
      </m:oMathPara>
      <w:r w:rsidR="00A46C00">
        <w:rPr>
          <w:lang w:val="en-GB"/>
        </w:rPr>
        <w:t>This rests on the assumption that unit-specific PSA for deriving unit-specific risk consider the interdependencies with other units (as conditional probabilities) in their models. As explained above, the site-specific risk for a certain event (and three units) can be decomposed as follows.</w:t>
      </w:r>
      <w:r w:rsidR="00A46C00">
        <w:rPr>
          <w:lang w:val="en-GB"/>
        </w:rPr>
        <w:tab/>
      </w:r>
      <w:r w:rsidR="00A46C00">
        <w:rPr>
          <w:lang w:val="en-GB"/>
        </w:rPr>
        <w:br/>
      </w:r>
      <m:oMathPara>
        <m:oMath>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site,  event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m:rPr>
                  <m:nor/>
                </m:rPr>
                <w:rPr>
                  <w:rFonts w:ascii="Cambria Math" w:hAnsi="Cambria Math"/>
                  <w:lang w:val="en-GB"/>
                </w:rPr>
                <m:t>event</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1&amp;2&amp;3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1&amp;2&amp;¬3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 &amp; ¬2 &amp; ¬3</m:t>
                  </m:r>
                </m:sub>
              </m:sSub>
              <m:r>
                <w:rPr>
                  <w:rFonts w:ascii="Cambria Math" w:hAnsi="Cambria Math"/>
                  <w:lang w:val="en-GB"/>
                </w:rPr>
                <m:t>+…</m:t>
              </m:r>
            </m:e>
          </m:d>
          <m:r>
            <m:rPr>
              <m:sty m:val="p"/>
            </m:rPr>
            <w:rPr>
              <w:lang w:val="en-GB"/>
            </w:rPr>
            <w:br/>
          </m:r>
        </m:oMath>
      </m:oMathPara>
      <w:r w:rsidR="00A46C00">
        <w:rPr>
          <w:lang w:val="en-GB"/>
        </w:rPr>
        <w:t>and</w:t>
      </w:r>
      <w:r w:rsidR="00A46C00">
        <w:rPr>
          <w:lang w:val="en-GB"/>
        </w:rPr>
        <w:tab/>
      </w:r>
      <w:r w:rsidR="00A46C00">
        <w:rPr>
          <w:lang w:val="en-GB"/>
        </w:rPr>
        <w:br/>
      </w:r>
      <m:oMathPara>
        <m:oMath>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unit_1,  event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m:rPr>
                  <m:nor/>
                </m:rPr>
                <w:rPr>
                  <w:rFonts w:ascii="Cambria Math" w:hAnsi="Cambria Math"/>
                  <w:lang w:val="en-GB"/>
                </w:rPr>
                <m:t>event</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1&amp;2&amp;3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1&amp;2&amp;¬3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CFDP</m:t>
                  </m:r>
                </m:e>
                <m:sub>
                  <m:r>
                    <w:rPr>
                      <w:rFonts w:ascii="Cambria Math" w:hAnsi="Cambria Math"/>
                      <w:lang w:val="en-GB"/>
                    </w:rPr>
                    <m:t>1 &amp; ¬2 &amp; ¬3</m:t>
                  </m:r>
                </m:sub>
              </m:sSub>
            </m:e>
          </m:d>
          <m:r>
            <m:rPr>
              <m:sty m:val="p"/>
            </m:rPr>
            <w:rPr>
              <w:lang w:val="en-GB"/>
            </w:rPr>
            <w:br/>
          </m:r>
        </m:oMath>
      </m:oMathPara>
      <w:r w:rsidR="00A46C00">
        <w:rPr>
          <w:lang w:val="en-GB"/>
        </w:rPr>
        <w:t>Th</w:t>
      </w:r>
      <w:r w:rsidR="002E078C">
        <w:rPr>
          <w:lang w:val="en-GB"/>
        </w:rPr>
        <w:t>e</w:t>
      </w:r>
      <w:r w:rsidR="00A46C00">
        <w:rPr>
          <w:lang w:val="en-GB"/>
        </w:rPr>
        <w:t xml:space="preserve"> assertion follows by comparing the different sums.</w:t>
      </w:r>
    </w:p>
    <w:p w:rsidR="00A46C00" w:rsidRPr="003A72E4" w:rsidRDefault="00A46C00" w:rsidP="00A46C00">
      <w:pPr>
        <w:numPr>
          <w:ilvl w:val="0"/>
          <w:numId w:val="63"/>
        </w:numPr>
        <w:rPr>
          <w:lang w:val="en-GB"/>
        </w:rPr>
      </w:pPr>
      <w:r>
        <w:rPr>
          <w:lang w:val="en-GB"/>
        </w:rPr>
        <w:t>However, unit-specific PSA are usually determining unit-specific risk for an event as e.g.</w:t>
      </w:r>
      <w:r>
        <w:rPr>
          <w:lang w:val="en-GB"/>
        </w:rPr>
        <w:tab/>
      </w:r>
      <w:r>
        <w:rPr>
          <w:lang w:val="en-GB"/>
        </w:rPr>
        <w:br/>
      </w:r>
      <m:oMathPara>
        <m:oMath>
          <m:sSub>
            <m:sSubPr>
              <m:ctrlPr>
                <w:rPr>
                  <w:rFonts w:ascii="Cambria Math" w:hAnsi="Cambria Math"/>
                  <w:i/>
                  <w:lang w:val="en-GB"/>
                </w:rPr>
              </m:ctrlPr>
            </m:sSubPr>
            <m:e>
              <m:r>
                <w:rPr>
                  <w:rFonts w:ascii="Cambria Math" w:hAnsi="Cambria Math"/>
                  <w:lang w:val="en-GB"/>
                </w:rPr>
                <m:t>FDF</m:t>
              </m:r>
            </m:e>
            <m:sub>
              <m:r>
                <m:rPr>
                  <m:nor/>
                </m:rPr>
                <w:rPr>
                  <w:rFonts w:ascii="Cambria Math" w:hAnsi="Cambria Math"/>
                  <w:lang w:val="en-GB"/>
                </w:rPr>
                <m:t>unit,  event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m:rPr>
                  <m:nor/>
                </m:rPr>
                <w:rPr>
                  <w:rFonts w:ascii="Cambria Math" w:hAnsi="Cambria Math"/>
                  <w:lang w:val="en-GB"/>
                </w:rPr>
                <m:t>event</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CFDP</m:t>
                  </m:r>
                </m:e>
                <m:sub>
                  <m:r>
                    <m:rPr>
                      <m:nor/>
                    </m:rPr>
                    <w:rPr>
                      <w:rFonts w:ascii="Cambria Math" w:hAnsi="Cambria Math"/>
                      <w:lang w:val="en-GB"/>
                    </w:rPr>
                    <m:t>unit</m:t>
                  </m:r>
                </m:sub>
              </m:sSub>
            </m:e>
          </m:d>
          <m:r>
            <w:rPr>
              <w:rFonts w:ascii="Cambria Math" w:hAnsi="Cambria Math"/>
              <w:lang w:val="en-GB"/>
            </w:rPr>
            <m:t>.</m:t>
          </m:r>
        </m:oMath>
      </m:oMathPara>
    </w:p>
    <w:p w:rsidR="00A46C00" w:rsidRDefault="00A46C00" w:rsidP="00A46C00">
      <w:pPr>
        <w:ind w:left="720"/>
        <w:rPr>
          <w:lang w:val="en-GB"/>
        </w:rPr>
      </w:pPr>
      <w:r>
        <w:rPr>
          <w:lang w:val="en-GB"/>
        </w:rPr>
        <w:t xml:space="preserve">Therefore, site risk measures are often hard to determine accurately based on unit-specific PSAs. The PSA models, particularly the event tree/fault tree modelling of unit-specific PSAs at multi-unit sites needs to be adapted to allow for evaluations for the multi-unit part of the risk, unless the conservative bound mentioned above is used. If the site risk profile needs to be determined in an accurate and consistent manner this may lead to a restructuring of the PSA models in a unit-specific part and into (several) multi-unit parts. </w:t>
      </w:r>
    </w:p>
    <w:p w:rsidR="00A46C00" w:rsidRDefault="00E64CB3" w:rsidP="00A46C00">
      <w:pPr>
        <w:numPr>
          <w:ilvl w:val="0"/>
          <w:numId w:val="63"/>
        </w:numPr>
        <w:rPr>
          <w:lang w:val="en-GB"/>
        </w:rPr>
      </w:pPr>
      <w:r>
        <w:rPr>
          <w:lang w:val="en-GB"/>
        </w:rPr>
        <w:t xml:space="preserve">For non-binary type risk measures, e.g. </w:t>
      </w:r>
      <w:r w:rsidR="00A46C00">
        <w:rPr>
          <w:lang w:val="en-GB"/>
        </w:rPr>
        <w:t>for LRF as a salient example of a risk metric defined o</w:t>
      </w:r>
      <w:r>
        <w:rPr>
          <w:lang w:val="en-GB"/>
        </w:rPr>
        <w:t xml:space="preserve">ver a continuous variable like </w:t>
      </w:r>
      <w:r w:rsidR="00A46C00">
        <w:rPr>
          <w:lang w:val="en-GB"/>
        </w:rPr>
        <w:t>the amount of release of Cs-137 in Bq, the issues are more convoluted</w:t>
      </w:r>
      <w:r>
        <w:rPr>
          <w:lang w:val="en-GB"/>
        </w:rPr>
        <w:t xml:space="preserve">. </w:t>
      </w:r>
      <w:r w:rsidR="00A73A08">
        <w:rPr>
          <w:lang w:val="en-GB"/>
        </w:rPr>
        <w:t>T</w:t>
      </w:r>
      <w:r w:rsidR="00A46C00">
        <w:rPr>
          <w:lang w:val="en-GB"/>
        </w:rPr>
        <w:t>he following observations can be made.</w:t>
      </w:r>
      <w:r w:rsidR="00A46C00">
        <w:rPr>
          <w:lang w:val="en-GB"/>
        </w:rPr>
        <w:tab/>
      </w:r>
      <w:r w:rsidR="00A46C00">
        <w:rPr>
          <w:lang w:val="en-GB"/>
        </w:rPr>
        <w:br/>
        <w:t>For determining the LRF</w:t>
      </w:r>
      <w:r w:rsidR="00A46C00" w:rsidRPr="007813F9">
        <w:rPr>
          <w:vertAlign w:val="subscript"/>
          <w:lang w:val="en-GB"/>
        </w:rPr>
        <w:t>site</w:t>
      </w:r>
      <w:r w:rsidR="00A46C00">
        <w:rPr>
          <w:lang w:val="en-GB"/>
        </w:rPr>
        <w:t xml:space="preserve"> it is not sufficient to consider only scenarios for which the release from one unit reaches the large release threshold. In addition, potential scenarios affecting multiple units, for which the total release only jointly reaches the large release threshold, have to be considered. This will impose constraints on the eventual development of the PSA model. In fact, this poses one of the major problems in integrating several single-unit PSA models into a comprehensive and consistent multi-unit PSA model. Importantly, LRF</w:t>
      </w:r>
      <w:r w:rsidR="00A46C00" w:rsidRPr="007813F9">
        <w:rPr>
          <w:vertAlign w:val="subscript"/>
          <w:lang w:val="en-GB"/>
        </w:rPr>
        <w:t>site</w:t>
      </w:r>
      <w:r w:rsidR="00A46C00">
        <w:rPr>
          <w:lang w:val="en-GB"/>
        </w:rPr>
        <w:t xml:space="preserve"> is not necessarily bounded by the sum of LRF</w:t>
      </w:r>
      <w:r w:rsidR="00A46C00" w:rsidRPr="007813F9">
        <w:rPr>
          <w:vertAlign w:val="subscript"/>
          <w:lang w:val="en-GB"/>
        </w:rPr>
        <w:t>unit,i</w:t>
      </w:r>
      <w:r w:rsidR="00A46C00">
        <w:rPr>
          <w:lang w:val="en-GB"/>
        </w:rPr>
        <w:t xml:space="preserve">. </w:t>
      </w:r>
      <w:r w:rsidR="00A46C00">
        <w:rPr>
          <w:lang w:val="en-GB"/>
        </w:rPr>
        <w:tab/>
      </w:r>
      <w:r w:rsidR="00A46C00">
        <w:rPr>
          <w:lang w:val="en-GB"/>
        </w:rPr>
        <w:br/>
      </w:r>
      <w:r>
        <w:rPr>
          <w:lang w:val="en-GB"/>
        </w:rPr>
        <w:t>This issue is particularly relevant for all release-type risk measures.</w:t>
      </w:r>
    </w:p>
    <w:p w:rsidR="00E64CB3" w:rsidRDefault="00E64CB3" w:rsidP="00C94556">
      <w:pPr>
        <w:rPr>
          <w:lang w:val="en-GB"/>
        </w:rPr>
      </w:pPr>
    </w:p>
    <w:p w:rsidR="00F81897" w:rsidRDefault="00E64CB3" w:rsidP="00C94556">
      <w:pPr>
        <w:rPr>
          <w:lang w:val="en-GB"/>
        </w:rPr>
      </w:pPr>
      <w:r>
        <w:rPr>
          <w:lang w:val="en-GB"/>
        </w:rPr>
        <w:lastRenderedPageBreak/>
        <w:t>We can conclude that the extension of unit-specific risk measures to site-specific risk measures can be done based on established risk metrics</w:t>
      </w:r>
      <w:r w:rsidR="00A80FD6">
        <w:rPr>
          <w:lang w:val="en-GB"/>
        </w:rPr>
        <w:t xml:space="preserve"> like CDF/FDF or LRF. </w:t>
      </w:r>
    </w:p>
    <w:p w:rsidR="00E64CB3" w:rsidRDefault="00A80FD6" w:rsidP="00C94556">
      <w:pPr>
        <w:rPr>
          <w:lang w:val="en-GB"/>
        </w:rPr>
      </w:pPr>
      <w:r>
        <w:rPr>
          <w:lang w:val="en-GB"/>
        </w:rPr>
        <w:t>We continue to investigate the extension of the PSA model to a multi-source PSA. We can note the following</w:t>
      </w:r>
      <w:r w:rsidR="00BE6ACE">
        <w:rPr>
          <w:lang w:val="en-GB"/>
        </w:rPr>
        <w:t>:</w:t>
      </w:r>
    </w:p>
    <w:p w:rsidR="00BA1B40" w:rsidRDefault="00244AC3" w:rsidP="00C94556">
      <w:pPr>
        <w:pStyle w:val="Paragraphedeliste"/>
        <w:numPr>
          <w:ilvl w:val="0"/>
          <w:numId w:val="74"/>
        </w:numPr>
        <w:rPr>
          <w:lang w:val="en-GB"/>
        </w:rPr>
      </w:pPr>
      <w:r>
        <w:rPr>
          <w:lang w:val="en-GB"/>
        </w:rPr>
        <w:t>C</w:t>
      </w:r>
      <w:r w:rsidR="00A80FD6">
        <w:rPr>
          <w:lang w:val="en-GB"/>
        </w:rPr>
        <w:t>onceptually, there are few differences between a multi-unit and a multi-source model. In fact, every multi-unit model is a multi-source model. Thus, the remarks on extending unit-specific to site-specific risk measures are also applicable to the multi-source case.</w:t>
      </w:r>
    </w:p>
    <w:p w:rsidR="00A80FD6" w:rsidRDefault="00244AC3" w:rsidP="00C94556">
      <w:pPr>
        <w:pStyle w:val="Paragraphedeliste"/>
        <w:numPr>
          <w:ilvl w:val="0"/>
          <w:numId w:val="74"/>
        </w:numPr>
        <w:rPr>
          <w:lang w:val="en-GB"/>
        </w:rPr>
      </w:pPr>
      <w:r>
        <w:rPr>
          <w:lang w:val="en-GB"/>
        </w:rPr>
        <w:t>I</w:t>
      </w:r>
      <w:r w:rsidR="00A80FD6">
        <w:rPr>
          <w:lang w:val="en-GB"/>
        </w:rPr>
        <w:t xml:space="preserve">n addition to fuel in the reactor, </w:t>
      </w:r>
      <w:r w:rsidR="008E4AF6">
        <w:rPr>
          <w:lang w:val="en-GB"/>
        </w:rPr>
        <w:t>the spent fuel in the fuel pool or</w:t>
      </w:r>
      <w:r w:rsidR="00A80FD6">
        <w:rPr>
          <w:lang w:val="en-GB"/>
        </w:rPr>
        <w:t xml:space="preserve"> during transport on </w:t>
      </w:r>
      <w:r w:rsidR="008E4AF6">
        <w:rPr>
          <w:lang w:val="en-GB"/>
        </w:rPr>
        <w:t xml:space="preserve">the </w:t>
      </w:r>
      <w:r w:rsidR="00A80FD6">
        <w:rPr>
          <w:lang w:val="en-GB"/>
        </w:rPr>
        <w:t>site</w:t>
      </w:r>
      <w:r w:rsidR="008E4AF6">
        <w:rPr>
          <w:lang w:val="en-GB"/>
        </w:rPr>
        <w:t xml:space="preserve"> is adequately treated by the established Level 1 and Level 2 risk measures like FDF or LRF.</w:t>
      </w:r>
    </w:p>
    <w:p w:rsidR="00A80FD6" w:rsidRDefault="00244AC3" w:rsidP="00C94556">
      <w:pPr>
        <w:pStyle w:val="Paragraphedeliste"/>
        <w:numPr>
          <w:ilvl w:val="0"/>
          <w:numId w:val="74"/>
        </w:numPr>
        <w:rPr>
          <w:lang w:val="en-GB"/>
        </w:rPr>
      </w:pPr>
      <w:r>
        <w:rPr>
          <w:lang w:val="en-GB"/>
        </w:rPr>
        <w:t>E</w:t>
      </w:r>
      <w:r w:rsidR="008E4AF6">
        <w:rPr>
          <w:lang w:val="en-GB"/>
        </w:rPr>
        <w:t>stablished Level 2 risk measures are in principle fully applicable for all types of relevant sources</w:t>
      </w:r>
      <w:r w:rsidR="00835D3A">
        <w:rPr>
          <w:lang w:val="en-GB"/>
        </w:rPr>
        <w:t xml:space="preserve"> at a NPP or research reactor. </w:t>
      </w:r>
      <w:r w:rsidR="001E1B9A">
        <w:rPr>
          <w:lang w:val="en-GB"/>
        </w:rPr>
        <w:t>T</w:t>
      </w:r>
      <w:r w:rsidR="00835D3A">
        <w:rPr>
          <w:lang w:val="en-GB"/>
        </w:rPr>
        <w:t xml:space="preserve">here might be the need to adapt </w:t>
      </w:r>
      <w:r w:rsidR="001E1B9A">
        <w:rPr>
          <w:lang w:val="en-GB"/>
        </w:rPr>
        <w:t xml:space="preserve">the </w:t>
      </w:r>
      <w:r w:rsidR="00835D3A">
        <w:rPr>
          <w:lang w:val="en-GB"/>
        </w:rPr>
        <w:t xml:space="preserve">leading isotopes for a Thorium-cycle reactor or a </w:t>
      </w:r>
      <w:r w:rsidR="001E1B9A">
        <w:rPr>
          <w:lang w:val="en-GB"/>
        </w:rPr>
        <w:t>transmutation type reactor, but this does not change the overall approach. For practical purposes and for current NPP and research reactor sites, the established risk measures are sufficient.</w:t>
      </w:r>
    </w:p>
    <w:p w:rsidR="00A80FD6" w:rsidRPr="00A80FD6" w:rsidRDefault="00A80FD6" w:rsidP="00C94556">
      <w:pPr>
        <w:rPr>
          <w:lang w:val="en-GB"/>
        </w:rPr>
      </w:pPr>
    </w:p>
    <w:p w:rsidR="00BA1B40" w:rsidRPr="00842116" w:rsidRDefault="00BA1B40" w:rsidP="00BA1B40">
      <w:pPr>
        <w:rPr>
          <w:lang w:val="en-GB"/>
        </w:rPr>
      </w:pPr>
      <w:r w:rsidRPr="00842116">
        <w:rPr>
          <w:lang w:val="en-GB"/>
        </w:rPr>
        <w:t xml:space="preserve">With respect to scenarios potentially leading to multiple releases, </w:t>
      </w:r>
      <w:r w:rsidR="003651CB" w:rsidRPr="00842116">
        <w:rPr>
          <w:lang w:val="en-GB"/>
        </w:rPr>
        <w:t>it must be</w:t>
      </w:r>
      <w:r w:rsidRPr="00842116">
        <w:rPr>
          <w:lang w:val="en-GB"/>
        </w:rPr>
        <w:t xml:space="preserve"> emphasize</w:t>
      </w:r>
      <w:r w:rsidR="003651CB" w:rsidRPr="00842116">
        <w:rPr>
          <w:lang w:val="en-GB"/>
        </w:rPr>
        <w:t>d</w:t>
      </w:r>
      <w:r w:rsidRPr="00842116">
        <w:rPr>
          <w:lang w:val="en-GB"/>
        </w:rPr>
        <w:t xml:space="preserve"> that this fact has to be considered by PSA analysts when making and justifying claims in bounding assessment. If there is a relevant possibility that several potential sources (core, SFP, etc.) can reach an accidental state in the same scenario, the claims on FDF, LRF, and ERF have to reflect the following</w:t>
      </w:r>
      <w:r w:rsidR="00BE6ACE">
        <w:rPr>
          <w:lang w:val="en-GB"/>
        </w:rPr>
        <w:t>:</w:t>
      </w:r>
    </w:p>
    <w:p w:rsidR="00BA1B40" w:rsidRPr="00842116" w:rsidRDefault="00BE6ACE" w:rsidP="00BA1B40">
      <w:pPr>
        <w:numPr>
          <w:ilvl w:val="0"/>
          <w:numId w:val="63"/>
        </w:numPr>
        <w:rPr>
          <w:lang w:val="en-GB"/>
        </w:rPr>
      </w:pPr>
      <w:r>
        <w:rPr>
          <w:lang w:val="en-GB"/>
        </w:rPr>
        <w:t>t</w:t>
      </w:r>
      <w:r w:rsidR="00BA1B40" w:rsidRPr="00842116">
        <w:rPr>
          <w:lang w:val="en-GB"/>
        </w:rPr>
        <w:t>he analysed event challenges the safety functions for the core and the SFP (and further sources). If a simultaneous challenge does not reduce the reliability of the safety functions, then an accident state is reached if the event is not controlled for one source. For example with respect to the FDF measures, the (point value) claim on FDF should be estimated as</w:t>
      </w:r>
      <w:r w:rsidR="00BA1B40" w:rsidRPr="00842116">
        <w:rPr>
          <w:lang w:val="en-GB"/>
        </w:rPr>
        <w:tab/>
      </w:r>
      <w:r w:rsidR="00BA1B40" w:rsidRPr="00842116">
        <w:rPr>
          <w:lang w:val="en-GB"/>
        </w:rPr>
        <w:br/>
      </w:r>
      <m:oMathPara>
        <m:oMath>
          <m:sSub>
            <m:sSubPr>
              <m:ctrlPr>
                <w:rPr>
                  <w:rFonts w:ascii="Cambria Math" w:hAnsi="Cambria Math"/>
                  <w:lang w:val="en-GB"/>
                </w:rPr>
              </m:ctrlPr>
            </m:sSubPr>
            <m:e>
              <m:r>
                <m:rPr>
                  <m:sty m:val="p"/>
                </m:rPr>
                <w:rPr>
                  <w:rFonts w:ascii="Cambria Math" w:hAnsi="Cambria Math"/>
                  <w:lang w:val="en-GB"/>
                </w:rPr>
                <m:t>FDF</m:t>
              </m:r>
            </m:e>
            <m:sub>
              <m:r>
                <m:rPr>
                  <m:nor/>
                </m:rPr>
                <w:rPr>
                  <w:lang w:val="en-GB"/>
                </w:rPr>
                <m:t>event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f</m:t>
              </m:r>
            </m:e>
            <m:sub>
              <m:r>
                <m:rPr>
                  <m:nor/>
                </m:rPr>
                <w:rPr>
                  <w:lang w:val="en-GB"/>
                </w:rPr>
                <m:t>event</m:t>
              </m:r>
            </m:sub>
          </m:sSub>
          <m:r>
            <m:rPr>
              <m:sty m:val="p"/>
            </m:rPr>
            <w:rPr>
              <w:rFonts w:ascii="Cambria Math" w:hAnsi="Cambria Math"/>
              <w:lang w:val="en-GB"/>
            </w:rPr>
            <m:t xml:space="preserve"> ∙</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CFDP</m:t>
                  </m:r>
                </m:e>
                <m:sub>
                  <m:r>
                    <m:rPr>
                      <m:nor/>
                    </m:rPr>
                    <w:rPr>
                      <w:lang w:val="en-GB"/>
                    </w:rPr>
                    <m:t>core</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lang w:val="en-GB"/>
                    </w:rPr>
                    <m:t>SFP</m:t>
                  </m:r>
                </m:sub>
              </m:sSub>
              <m:r>
                <m:rPr>
                  <m:sty m:val="p"/>
                </m:rPr>
                <w:rPr>
                  <w:rFonts w:ascii="Cambria Math" w:hAnsi="Cambria Math"/>
                  <w:lang w:val="en-GB"/>
                </w:rPr>
                <m:t>∨…</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f</m:t>
              </m:r>
            </m:e>
            <m:sub>
              <m:r>
                <m:rPr>
                  <m:nor/>
                </m:rPr>
                <w:rPr>
                  <w:lang w:val="en-GB"/>
                </w:rPr>
                <m:t>event</m:t>
              </m:r>
            </m:sub>
          </m:sSub>
          <m:r>
            <m:rPr>
              <m:sty m:val="p"/>
            </m:rPr>
            <w:rPr>
              <w:rFonts w:ascii="Cambria Math" w:hAnsi="Cambria Math"/>
              <w:lang w:val="en-GB"/>
            </w:rPr>
            <m:t xml:space="preserve"> ∙</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CFDP</m:t>
                  </m:r>
                </m:e>
                <m:sub>
                  <m:r>
                    <m:rPr>
                      <m:nor/>
                    </m:rPr>
                    <w:rPr>
                      <w:lang w:val="en-GB"/>
                    </w:rPr>
                    <m:t>core</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lang w:val="en-GB"/>
                    </w:rPr>
                    <m:t>SFP</m:t>
                  </m:r>
                </m:sub>
              </m:sSub>
              <m:r>
                <m:rPr>
                  <m:sty m:val="p"/>
                </m:rPr>
                <w:rPr>
                  <w:rFonts w:ascii="Cambria Math" w:hAnsi="Cambria Math"/>
                  <w:lang w:val="en-GB"/>
                </w:rPr>
                <m:t>+…</m:t>
              </m:r>
            </m:e>
          </m:d>
          <m:r>
            <m:rPr>
              <m:sty m:val="p"/>
            </m:rPr>
            <w:rPr>
              <w:rFonts w:ascii="Cambria Math" w:hAnsi="Cambria Math"/>
              <w:lang w:val="en-GB"/>
            </w:rPr>
            <w:br/>
          </m:r>
        </m:oMath>
      </m:oMathPara>
    </w:p>
    <w:p w:rsidR="00EC1209" w:rsidRDefault="00EC1209" w:rsidP="00BA1B40">
      <w:pPr>
        <w:ind w:left="720"/>
        <w:rPr>
          <w:lang w:val="en-GB"/>
        </w:rPr>
      </w:pPr>
      <w:r>
        <w:rPr>
          <w:lang w:val="en-GB"/>
        </w:rPr>
        <w:t>CFDP is the Conditional Fuel Damage Probability.</w:t>
      </w:r>
    </w:p>
    <w:p w:rsidR="00EC1209" w:rsidRDefault="00EC1209" w:rsidP="00BA1B40">
      <w:pPr>
        <w:ind w:left="720"/>
        <w:rPr>
          <w:lang w:val="en-GB"/>
        </w:rPr>
      </w:pPr>
    </w:p>
    <w:p w:rsidR="00BA1B40" w:rsidRPr="00842116" w:rsidRDefault="00BA1B40" w:rsidP="00BA1B40">
      <w:pPr>
        <w:ind w:left="720"/>
        <w:rPr>
          <w:lang w:val="en-GB"/>
        </w:rPr>
      </w:pPr>
      <w:r w:rsidRPr="00842116">
        <w:rPr>
          <w:lang w:val="en-GB"/>
        </w:rPr>
        <w:t>Especially for LRF and other risk metrics defined over continuous variables, the situation can be more complicated, if there are important scenarios that do not reach the large release threshold by themselves, but exceed that threshold if releases from several sources occur. This possibility needs to be checked. A theoretical discussion can be found in</w:t>
      </w:r>
      <w:r w:rsidR="008F0A1B" w:rsidRPr="00842116">
        <w:rPr>
          <w:lang w:val="en-GB"/>
        </w:rPr>
        <w:t xml:space="preserve"> </w:t>
      </w:r>
      <w:r w:rsidR="009E768B" w:rsidRPr="00842116">
        <w:rPr>
          <w:lang w:val="en-GB"/>
        </w:rPr>
        <w:fldChar w:fldCharType="begin"/>
      </w:r>
      <w:r w:rsidR="008F0A1B" w:rsidRPr="00842116">
        <w:rPr>
          <w:lang w:val="en-GB"/>
        </w:rPr>
        <w:instrText xml:space="preserve"> REF _Ref300912614 \r \h </w:instrText>
      </w:r>
      <w:r w:rsidR="009E768B" w:rsidRPr="00842116">
        <w:rPr>
          <w:lang w:val="en-GB"/>
        </w:rPr>
      </w:r>
      <w:r w:rsidR="009E768B" w:rsidRPr="00842116">
        <w:rPr>
          <w:lang w:val="en-GB"/>
        </w:rPr>
        <w:fldChar w:fldCharType="separate"/>
      </w:r>
      <w:r w:rsidR="00B772CA">
        <w:rPr>
          <w:lang w:val="en-GB"/>
        </w:rPr>
        <w:t>[84]</w:t>
      </w:r>
      <w:r w:rsidR="009E768B" w:rsidRPr="00842116">
        <w:rPr>
          <w:lang w:val="en-GB"/>
        </w:rPr>
        <w:fldChar w:fldCharType="end"/>
      </w:r>
      <w:r w:rsidRPr="00842116">
        <w:rPr>
          <w:lang w:val="en-GB"/>
        </w:rPr>
        <w:t xml:space="preserve">. Moreover, the observations on the aggregation of risk from different sources </w:t>
      </w:r>
      <w:r w:rsidR="004E7337" w:rsidRPr="00842116">
        <w:rPr>
          <w:lang w:val="en-GB"/>
        </w:rPr>
        <w:t xml:space="preserve">discussed previously </w:t>
      </w:r>
      <w:r w:rsidRPr="00842116">
        <w:rPr>
          <w:lang w:val="en-GB"/>
        </w:rPr>
        <w:t xml:space="preserve">are also applicable. </w:t>
      </w:r>
    </w:p>
    <w:p w:rsidR="00BA1B40" w:rsidRPr="00842116" w:rsidRDefault="00BA1B40" w:rsidP="00BA1B40">
      <w:pPr>
        <w:numPr>
          <w:ilvl w:val="0"/>
          <w:numId w:val="63"/>
        </w:numPr>
        <w:rPr>
          <w:lang w:val="en-GB"/>
        </w:rPr>
      </w:pPr>
      <w:r w:rsidRPr="00842116">
        <w:rPr>
          <w:lang w:val="en-GB"/>
        </w:rPr>
        <w:t xml:space="preserve">PSA analysts should check if there are any indications that the reliability of safety functions could be reduced. Possible indications include: </w:t>
      </w:r>
    </w:p>
    <w:p w:rsidR="00BA1B40" w:rsidRPr="00842116" w:rsidRDefault="00BA1B40" w:rsidP="00BA1B40">
      <w:pPr>
        <w:numPr>
          <w:ilvl w:val="1"/>
          <w:numId w:val="63"/>
        </w:numPr>
        <w:rPr>
          <w:lang w:val="en-GB"/>
        </w:rPr>
      </w:pPr>
      <w:r w:rsidRPr="00842116">
        <w:rPr>
          <w:lang w:val="en-GB"/>
        </w:rPr>
        <w:t xml:space="preserve">safety functions rely on the same (trains of) safety systems, </w:t>
      </w:r>
    </w:p>
    <w:p w:rsidR="00BA1B40" w:rsidRPr="00842116" w:rsidRDefault="00BA1B40" w:rsidP="00BA1B40">
      <w:pPr>
        <w:numPr>
          <w:ilvl w:val="1"/>
          <w:numId w:val="63"/>
        </w:numPr>
        <w:rPr>
          <w:lang w:val="en-GB"/>
        </w:rPr>
      </w:pPr>
      <w:r w:rsidRPr="00842116">
        <w:rPr>
          <w:lang w:val="en-GB"/>
        </w:rPr>
        <w:t xml:space="preserve">the same (trains of) supply or support systems have to be operable, </w:t>
      </w:r>
    </w:p>
    <w:p w:rsidR="00BA1B40" w:rsidRPr="00842116" w:rsidRDefault="00BA1B40" w:rsidP="00BA1B40">
      <w:pPr>
        <w:numPr>
          <w:ilvl w:val="1"/>
          <w:numId w:val="63"/>
        </w:numPr>
        <w:rPr>
          <w:lang w:val="en-GB"/>
        </w:rPr>
      </w:pPr>
      <w:r w:rsidRPr="00842116">
        <w:rPr>
          <w:lang w:val="en-GB"/>
        </w:rPr>
        <w:t>controlling the event depends on using the same, limited resources,</w:t>
      </w:r>
    </w:p>
    <w:p w:rsidR="00BA1B40" w:rsidRPr="00842116" w:rsidRDefault="00BA1B40" w:rsidP="00BA1B40">
      <w:pPr>
        <w:numPr>
          <w:ilvl w:val="1"/>
          <w:numId w:val="63"/>
        </w:numPr>
        <w:rPr>
          <w:lang w:val="en-GB"/>
        </w:rPr>
      </w:pPr>
      <w:r w:rsidRPr="00842116">
        <w:rPr>
          <w:lang w:val="en-GB"/>
        </w:rPr>
        <w:t>challenges to barriers or the integrity of the containment are elevated by (simultaneous) accidental states in multiple locations,</w:t>
      </w:r>
    </w:p>
    <w:p w:rsidR="00BA1B40" w:rsidRPr="00842116" w:rsidRDefault="00BA1B40" w:rsidP="00BA1B40">
      <w:pPr>
        <w:numPr>
          <w:ilvl w:val="1"/>
          <w:numId w:val="63"/>
        </w:numPr>
        <w:rPr>
          <w:lang w:val="en-GB"/>
        </w:rPr>
      </w:pPr>
      <w:r w:rsidRPr="00842116">
        <w:rPr>
          <w:lang w:val="en-GB"/>
        </w:rPr>
        <w:t xml:space="preserve">operator or crisis centre actions or decisions are less reliable (or no longer feasible) due to accidental scenarios in multiple locations. </w:t>
      </w:r>
    </w:p>
    <w:p w:rsidR="00BA1B40" w:rsidRPr="00842116" w:rsidRDefault="00BA1B40" w:rsidP="00BA1B40">
      <w:pPr>
        <w:ind w:left="720"/>
        <w:rPr>
          <w:lang w:val="en-GB"/>
        </w:rPr>
      </w:pPr>
      <w:r w:rsidRPr="00842116">
        <w:rPr>
          <w:lang w:val="en-GB"/>
        </w:rPr>
        <w:lastRenderedPageBreak/>
        <w:t xml:space="preserve">In these cases, </w:t>
      </w:r>
      <w:r w:rsidR="003651CB" w:rsidRPr="00842116">
        <w:rPr>
          <w:lang w:val="en-GB"/>
        </w:rPr>
        <w:t>it is</w:t>
      </w:r>
      <w:r w:rsidRPr="00842116">
        <w:rPr>
          <w:lang w:val="en-GB"/>
        </w:rPr>
        <w:t xml:space="preserve"> recommend</w:t>
      </w:r>
      <w:r w:rsidR="003651CB" w:rsidRPr="00842116">
        <w:rPr>
          <w:lang w:val="en-GB"/>
        </w:rPr>
        <w:t>ed</w:t>
      </w:r>
      <w:r w:rsidRPr="00842116">
        <w:rPr>
          <w:lang w:val="en-GB"/>
        </w:rPr>
        <w:t xml:space="preserve"> making a direct claim on the respective conditional probabilities. For the example of FDF, the claim should be made as</w:t>
      </w:r>
      <w:r w:rsidRPr="00842116">
        <w:rPr>
          <w:lang w:val="en-GB"/>
        </w:rPr>
        <w:tab/>
      </w:r>
      <w:r w:rsidRPr="00842116">
        <w:rPr>
          <w:lang w:val="en-GB"/>
        </w:rPr>
        <w:br/>
      </w:r>
      <m:oMathPara>
        <m:oMath>
          <m:sSub>
            <m:sSubPr>
              <m:ctrlPr>
                <w:rPr>
                  <w:rFonts w:ascii="Cambria Math" w:hAnsi="Cambria Math"/>
                  <w:lang w:val="en-GB"/>
                </w:rPr>
              </m:ctrlPr>
            </m:sSubPr>
            <m:e>
              <m:r>
                <m:rPr>
                  <m:sty m:val="p"/>
                </m:rPr>
                <w:rPr>
                  <w:rFonts w:ascii="Cambria Math" w:hAnsi="Cambria Math"/>
                  <w:lang w:val="en-GB"/>
                </w:rPr>
                <m:t>FDF</m:t>
              </m:r>
            </m:e>
            <m:sub>
              <m:r>
                <m:rPr>
                  <m:nor/>
                </m:rPr>
                <w:rPr>
                  <w:lang w:val="en-GB"/>
                </w:rPr>
                <m:t>event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f</m:t>
              </m:r>
            </m:e>
            <m:sub>
              <m:r>
                <m:rPr>
                  <m:nor/>
                </m:rPr>
                <w:rPr>
                  <w:lang w:val="en-GB"/>
                </w:rPr>
                <m:t>event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rFonts w:ascii="Cambria Math" w:hAnsi="Cambria Math"/>
                  <w:lang w:val="en-GB"/>
                </w:rPr>
                <m:t>event</m:t>
              </m:r>
            </m:sub>
          </m:sSub>
          <m:r>
            <w:rPr>
              <w:rFonts w:ascii="Cambria Math" w:hAnsi="Cambria Math"/>
              <w:lang w:val="en-GB"/>
            </w:rPr>
            <m:t>.</m:t>
          </m:r>
        </m:oMath>
      </m:oMathPara>
    </w:p>
    <w:p w:rsidR="00BA1B40" w:rsidRPr="00842116" w:rsidRDefault="00BA1B40" w:rsidP="00BA1B40">
      <w:pPr>
        <w:ind w:left="720"/>
        <w:rPr>
          <w:lang w:val="en-GB"/>
        </w:rPr>
      </w:pPr>
      <w:r w:rsidRPr="00842116">
        <w:rPr>
          <w:lang w:val="en-GB"/>
        </w:rPr>
        <w:t xml:space="preserve">For screening purposes, it should be checked that bounding assessment claims on conditional probabilities for the event are larger than the sum of claims, which would have been made on single sources, i.e. e.g. </w:t>
      </w:r>
      <m:oMath>
        <m:sSub>
          <m:sSubPr>
            <m:ctrlPr>
              <w:rPr>
                <w:rFonts w:ascii="Cambria Math" w:hAnsi="Cambria Math"/>
                <w:lang w:val="en-GB"/>
              </w:rPr>
            </m:ctrlPr>
          </m:sSubPr>
          <m:e>
            <m:r>
              <m:rPr>
                <m:sty m:val="p"/>
              </m:rPr>
              <w:rPr>
                <w:rFonts w:ascii="Cambria Math" w:hAnsi="Cambria Math"/>
                <w:lang w:val="en-GB"/>
              </w:rPr>
              <m:t>CFDP</m:t>
            </m:r>
          </m:e>
          <m:sub>
            <m:r>
              <m:rPr>
                <m:nor/>
              </m:rPr>
              <w:rPr>
                <w:rFonts w:ascii="Cambria Math" w:hAnsi="Cambria Math"/>
                <w:lang w:val="en-GB"/>
              </w:rPr>
              <m:t>event</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lang w:val="en-GB"/>
              </w:rPr>
              <m:t>core</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CFDP</m:t>
            </m:r>
          </m:e>
          <m:sub>
            <m:r>
              <m:rPr>
                <m:nor/>
              </m:rPr>
              <w:rPr>
                <w:lang w:val="en-GB"/>
              </w:rPr>
              <m:t>SFP</m:t>
            </m:r>
          </m:sub>
        </m:sSub>
        <m:r>
          <m:rPr>
            <m:sty m:val="p"/>
          </m:rPr>
          <w:rPr>
            <w:rFonts w:ascii="Cambria Math" w:hAnsi="Cambria Math"/>
            <w:lang w:val="en-GB"/>
          </w:rPr>
          <m:t>+…</m:t>
        </m:r>
      </m:oMath>
    </w:p>
    <w:p w:rsidR="00BA1B40" w:rsidRPr="00842116" w:rsidRDefault="00BA1B40" w:rsidP="00BA1B40">
      <w:pPr>
        <w:numPr>
          <w:ilvl w:val="0"/>
          <w:numId w:val="63"/>
        </w:numPr>
        <w:rPr>
          <w:lang w:val="en-GB"/>
        </w:rPr>
      </w:pPr>
      <w:r w:rsidRPr="00842116">
        <w:rPr>
          <w:lang w:val="en-GB"/>
        </w:rPr>
        <w:t xml:space="preserve">If decision makers, important stakeholders or PSA analysts want to cover the issue of multiple sources in screening more explicitly, there are several possibilities. </w:t>
      </w:r>
      <w:r w:rsidRPr="00842116">
        <w:rPr>
          <w:lang w:val="en-GB"/>
        </w:rPr>
        <w:tab/>
      </w:r>
      <w:r w:rsidRPr="00842116">
        <w:rPr>
          <w:lang w:val="en-GB"/>
        </w:rPr>
        <w:br/>
        <w:t xml:space="preserve">Scenarios, which potentially affect multiple locations could be retained at lower screening thresholds for the respective risk measures (a factor of 10 would seem sensible). Screening could be performed against risk measures specifically tailored for multiple locations, i.e. by using risk measures conditional on accident scenarios for multiple sources. </w:t>
      </w:r>
      <w:r w:rsidR="003651CB" w:rsidRPr="00842116">
        <w:rPr>
          <w:lang w:val="en-GB"/>
        </w:rPr>
        <w:t xml:space="preserve">However, </w:t>
      </w:r>
      <w:r w:rsidRPr="00842116">
        <w:rPr>
          <w:lang w:val="en-GB"/>
        </w:rPr>
        <w:t xml:space="preserve">this is </w:t>
      </w:r>
      <w:r w:rsidR="003651CB" w:rsidRPr="00842116">
        <w:rPr>
          <w:lang w:val="en-GB"/>
        </w:rPr>
        <w:t xml:space="preserve">may not be </w:t>
      </w:r>
      <w:r w:rsidRPr="00842116">
        <w:rPr>
          <w:lang w:val="en-GB"/>
        </w:rPr>
        <w:t>necessary for screening. It might, however, be necessary to structure the detailed PSA analysis for the unit in such a way.</w:t>
      </w:r>
    </w:p>
    <w:p w:rsidR="00BA1B40" w:rsidRPr="003D2614" w:rsidRDefault="00BA1B40" w:rsidP="00C94556">
      <w:pPr>
        <w:rPr>
          <w:lang w:val="en-GB"/>
        </w:rPr>
      </w:pPr>
    </w:p>
    <w:p w:rsidR="00A46C00" w:rsidRDefault="005B4E9E" w:rsidP="00A46C00">
      <w:pPr>
        <w:rPr>
          <w:lang w:val="en-GB"/>
        </w:rPr>
      </w:pPr>
      <w:r>
        <w:rPr>
          <w:lang w:val="en-GB"/>
        </w:rPr>
        <w:t xml:space="preserve">Based on this discussion, we arrive at the following conclusion with regard to site-level risk measures. Direct risk measures for PSA Level 1 and Level 2 can be extended to a site-level risk measure in a straight forward and well-defined way. Given the definition of the unit-specific risk metric, the </w:t>
      </w:r>
      <w:r w:rsidR="00C45254">
        <w:rPr>
          <w:lang w:val="en-GB"/>
        </w:rPr>
        <w:t xml:space="preserve">respective </w:t>
      </w:r>
      <w:r>
        <w:rPr>
          <w:lang w:val="en-GB"/>
        </w:rPr>
        <w:t xml:space="preserve">site-level metric is </w:t>
      </w:r>
      <w:r w:rsidR="00C45254">
        <w:rPr>
          <w:lang w:val="en-GB"/>
        </w:rPr>
        <w:t xml:space="preserve">also defined (and vice-versa). </w:t>
      </w:r>
    </w:p>
    <w:p w:rsidR="003766BA" w:rsidRDefault="003766BA">
      <w:pPr>
        <w:rPr>
          <w:rFonts w:eastAsia="Batang"/>
          <w:lang w:val="en-GB"/>
        </w:rPr>
      </w:pPr>
      <w:r>
        <w:rPr>
          <w:rFonts w:eastAsia="Batang"/>
          <w:lang w:val="en-GB"/>
        </w:rPr>
        <w:t>Furthermore, we point out the following</w:t>
      </w:r>
      <w:r w:rsidR="00BE6ACE">
        <w:rPr>
          <w:rFonts w:eastAsia="Batang"/>
          <w:lang w:val="en-GB"/>
        </w:rPr>
        <w:t>:</w:t>
      </w:r>
    </w:p>
    <w:p w:rsidR="003766BA" w:rsidRDefault="001F4519" w:rsidP="00C94556">
      <w:pPr>
        <w:pStyle w:val="Paragraphedeliste"/>
        <w:numPr>
          <w:ilvl w:val="0"/>
          <w:numId w:val="72"/>
        </w:numPr>
        <w:rPr>
          <w:rFonts w:eastAsia="Batang"/>
          <w:lang w:val="en-GB"/>
        </w:rPr>
      </w:pPr>
      <w:r>
        <w:rPr>
          <w:rFonts w:eastAsia="Batang"/>
          <w:lang w:val="en-GB"/>
        </w:rPr>
        <w:t>T</w:t>
      </w:r>
      <w:r w:rsidR="00BE6ACE">
        <w:rPr>
          <w:rFonts w:eastAsia="Batang"/>
          <w:lang w:val="en-GB"/>
        </w:rPr>
        <w:t xml:space="preserve">he </w:t>
      </w:r>
      <w:r w:rsidR="003766BA">
        <w:rPr>
          <w:rFonts w:eastAsia="Batang"/>
          <w:lang w:val="en-GB"/>
        </w:rPr>
        <w:t>construction of a site-level risk model (i.e. multi-unit and multi-source) requires care. Commonly used SSC, other provisions as well as resources, including human resources, have to be identified and included adequately in the risk model. This, however, is not directly related to the site-level risk measures. Importantly, binary type risk measures make for an easier building of the site-level risk model.</w:t>
      </w:r>
    </w:p>
    <w:p w:rsidR="003766BA" w:rsidRDefault="001F4519" w:rsidP="00C94556">
      <w:pPr>
        <w:pStyle w:val="Paragraphedeliste"/>
        <w:numPr>
          <w:ilvl w:val="0"/>
          <w:numId w:val="72"/>
        </w:numPr>
        <w:rPr>
          <w:rFonts w:eastAsia="Batang"/>
          <w:lang w:val="en-GB"/>
        </w:rPr>
      </w:pPr>
      <w:r>
        <w:rPr>
          <w:rFonts w:eastAsia="Batang"/>
          <w:lang w:val="en-GB"/>
        </w:rPr>
        <w:t>T</w:t>
      </w:r>
      <w:r w:rsidR="00BE6ACE">
        <w:rPr>
          <w:rFonts w:eastAsia="Batang"/>
          <w:lang w:val="en-GB"/>
        </w:rPr>
        <w:t xml:space="preserve">he </w:t>
      </w:r>
      <w:r w:rsidR="003766BA">
        <w:rPr>
          <w:rFonts w:eastAsia="Batang"/>
          <w:lang w:val="en-GB"/>
        </w:rPr>
        <w:t xml:space="preserve">selection of the appropriate risk measures for a site-level model depends on a lot of factors, which specifically include the objectives of the PSA and the resulting scope of the model. </w:t>
      </w:r>
    </w:p>
    <w:p w:rsidR="003766BA" w:rsidRPr="00C94556" w:rsidRDefault="001F4519" w:rsidP="00C94556">
      <w:pPr>
        <w:pStyle w:val="Paragraphedeliste"/>
        <w:numPr>
          <w:ilvl w:val="0"/>
          <w:numId w:val="72"/>
        </w:numPr>
        <w:rPr>
          <w:rFonts w:eastAsia="Batang"/>
          <w:lang w:val="en-GB"/>
        </w:rPr>
      </w:pPr>
      <w:r>
        <w:rPr>
          <w:rFonts w:eastAsia="Batang"/>
          <w:lang w:val="en-GB"/>
        </w:rPr>
        <w:t>W</w:t>
      </w:r>
      <w:r w:rsidR="00BE6ACE">
        <w:rPr>
          <w:rFonts w:eastAsia="Batang"/>
          <w:lang w:val="en-GB"/>
        </w:rPr>
        <w:t xml:space="preserve">ith </w:t>
      </w:r>
      <w:r w:rsidR="00733B26">
        <w:rPr>
          <w:rFonts w:eastAsia="Batang"/>
          <w:lang w:val="en-GB"/>
        </w:rPr>
        <w:t>regard to secondary risk measures, these depend only on the underlying direct site-level risk measure. Therefore, no fundamentally different approaches need to be defined. One obvious addition the derived risk measures discussed above is the contribution of a certain source to the site-level risk. This is conceptually the same as computing the results for a group of e.g. components for a single-source model. Thus, e.g. an importance measure is also naturally extended to the site-level.</w:t>
      </w:r>
    </w:p>
    <w:p w:rsidR="00A46C00" w:rsidRPr="00793385" w:rsidRDefault="00A46C00" w:rsidP="0076680B">
      <w:pPr>
        <w:rPr>
          <w:rFonts w:eastAsia="Batang"/>
          <w:lang w:val="en-GB"/>
        </w:rPr>
      </w:pPr>
    </w:p>
    <w:p w:rsidR="007D4D38" w:rsidRDefault="005C2DB7" w:rsidP="00552F4E">
      <w:pPr>
        <w:pStyle w:val="Titre1"/>
        <w:keepLines/>
        <w:rPr>
          <w:lang w:val="en-US"/>
        </w:rPr>
      </w:pPr>
      <w:bookmarkStart w:id="410" w:name="_Ref413933830"/>
      <w:bookmarkStart w:id="411" w:name="_Toc474430235"/>
      <w:r w:rsidRPr="00313E82">
        <w:rPr>
          <w:lang w:val="en-US"/>
        </w:rPr>
        <w:lastRenderedPageBreak/>
        <w:t xml:space="preserve">Recommendations </w:t>
      </w:r>
      <w:r w:rsidR="00343541" w:rsidRPr="00313E82">
        <w:rPr>
          <w:lang w:val="en-US"/>
        </w:rPr>
        <w:t xml:space="preserve">on </w:t>
      </w:r>
      <w:r w:rsidR="007D4D38" w:rsidRPr="00313E82">
        <w:rPr>
          <w:lang w:val="en-US"/>
        </w:rPr>
        <w:t>Risk Metrics for an extended PSA</w:t>
      </w:r>
      <w:bookmarkEnd w:id="410"/>
      <w:bookmarkEnd w:id="411"/>
    </w:p>
    <w:p w:rsidR="00FD3934" w:rsidRPr="00793385" w:rsidRDefault="00245AA5" w:rsidP="00552F4E">
      <w:pPr>
        <w:keepNext/>
        <w:keepLines/>
        <w:rPr>
          <w:rFonts w:eastAsia="Batang"/>
          <w:lang w:val="en-US"/>
        </w:rPr>
      </w:pPr>
      <w:r w:rsidRPr="00BF36DA">
        <w:rPr>
          <w:rFonts w:eastAsia="Batang"/>
          <w:lang w:val="en-GB"/>
        </w:rPr>
        <w:t>Many risk measures have been discussed in the previou</w:t>
      </w:r>
      <w:r w:rsidR="00E30B73">
        <w:rPr>
          <w:rFonts w:eastAsia="Batang"/>
          <w:lang w:val="en-GB"/>
        </w:rPr>
        <w:t>s</w:t>
      </w:r>
      <w:r w:rsidRPr="00BF36DA">
        <w:rPr>
          <w:rFonts w:eastAsia="Batang"/>
          <w:lang w:val="en-GB"/>
        </w:rPr>
        <w:t xml:space="preserve"> sections</w:t>
      </w:r>
      <w:r w:rsidR="00E30B73">
        <w:rPr>
          <w:rFonts w:eastAsia="Batang"/>
          <w:lang w:val="en-GB"/>
        </w:rPr>
        <w:t xml:space="preserve"> with the aim of being complete and well founded. However</w:t>
      </w:r>
      <w:r w:rsidR="00E30B73" w:rsidRPr="00793385">
        <w:rPr>
          <w:rFonts w:eastAsia="Batang"/>
          <w:lang w:val="en-US"/>
        </w:rPr>
        <w:t xml:space="preserve">, in practice there is no lack in availability of risk metrics, but in the harmonized selection of such metrics. Therefore, to be practical and in order to contribute to harmonization of PSA application, just four risk metrics are recommended in the present section: Two for PSA level 1 and level 2 each. </w:t>
      </w:r>
    </w:p>
    <w:p w:rsidR="005B6DCA" w:rsidRPr="00793385" w:rsidRDefault="005B6DCA" w:rsidP="00552F4E">
      <w:pPr>
        <w:keepNext/>
        <w:keepLines/>
        <w:rPr>
          <w:rFonts w:eastAsia="Batang"/>
          <w:lang w:val="en-US"/>
        </w:rPr>
      </w:pPr>
      <w:r w:rsidRPr="00793385">
        <w:rPr>
          <w:rFonts w:eastAsia="Batang"/>
          <w:lang w:val="en-US"/>
        </w:rPr>
        <w:t>In general</w:t>
      </w:r>
      <w:r w:rsidR="00793385" w:rsidRPr="00793385">
        <w:rPr>
          <w:rFonts w:eastAsia="Batang"/>
          <w:lang w:val="en-US"/>
        </w:rPr>
        <w:t>,</w:t>
      </w:r>
      <w:r w:rsidRPr="00793385">
        <w:rPr>
          <w:rFonts w:eastAsia="Batang"/>
          <w:lang w:val="en-US"/>
        </w:rPr>
        <w:t xml:space="preserve"> L1 PSA risk metrics assess the risk </w:t>
      </w:r>
      <w:r w:rsidR="00793385">
        <w:rPr>
          <w:rFonts w:eastAsia="Batang"/>
          <w:lang w:val="en-US"/>
        </w:rPr>
        <w:t>within</w:t>
      </w:r>
      <w:r w:rsidR="00793385" w:rsidRPr="00793385">
        <w:rPr>
          <w:rFonts w:eastAsia="Batang"/>
          <w:lang w:val="en-US"/>
        </w:rPr>
        <w:t xml:space="preserve"> </w:t>
      </w:r>
      <w:r w:rsidRPr="00793385">
        <w:rPr>
          <w:rFonts w:eastAsia="Batang"/>
          <w:lang w:val="en-US"/>
        </w:rPr>
        <w:t xml:space="preserve">a plant, whereas L2 PSA risk metrics are related to risks of </w:t>
      </w:r>
      <w:r w:rsidR="00793385" w:rsidRPr="00793385">
        <w:rPr>
          <w:rFonts w:eastAsia="Batang"/>
          <w:lang w:val="en-US"/>
        </w:rPr>
        <w:t>releases, which</w:t>
      </w:r>
      <w:r w:rsidRPr="00793385">
        <w:rPr>
          <w:rFonts w:eastAsia="Batang"/>
          <w:lang w:val="en-US"/>
        </w:rPr>
        <w:t xml:space="preserve"> reflect the requirement of fundamental safety objective - to protect </w:t>
      </w:r>
      <w:r w:rsidRPr="00793385">
        <w:rPr>
          <w:lang w:val="en-US"/>
        </w:rPr>
        <w:t>people and the environment from harmful effects of ionizing radiation applying to all circumstances that give rise to radiation risks.</w:t>
      </w:r>
    </w:p>
    <w:p w:rsidR="002432EC" w:rsidRDefault="002432EC" w:rsidP="002432EC">
      <w:pPr>
        <w:pStyle w:val="Titre2"/>
        <w:rPr>
          <w:lang w:val="en-US"/>
        </w:rPr>
      </w:pPr>
      <w:bookmarkStart w:id="412" w:name="_Toc452560491"/>
      <w:bookmarkStart w:id="413" w:name="_Toc452561432"/>
      <w:bookmarkStart w:id="414" w:name="_Toc452561648"/>
      <w:bookmarkStart w:id="415" w:name="_Toc474430236"/>
      <w:bookmarkEnd w:id="412"/>
      <w:bookmarkEnd w:id="413"/>
      <w:bookmarkEnd w:id="414"/>
      <w:r w:rsidRPr="00C94556">
        <w:rPr>
          <w:lang w:val="en-US"/>
        </w:rPr>
        <w:t>Risk Metrics for an extended Level 1 PSA</w:t>
      </w:r>
      <w:bookmarkEnd w:id="415"/>
    </w:p>
    <w:p w:rsidR="00E812E8" w:rsidRDefault="00F10EA4" w:rsidP="00F10EA4">
      <w:pPr>
        <w:rPr>
          <w:rFonts w:eastAsia="Batang"/>
          <w:lang w:val="en-US"/>
        </w:rPr>
      </w:pPr>
      <w:r w:rsidRPr="00313E82">
        <w:rPr>
          <w:rFonts w:eastAsia="Batang"/>
          <w:lang w:val="en-US"/>
        </w:rPr>
        <w:t xml:space="preserve">The Level 1 risk metric has to be defined as those end states of the PSA Level 1 model that are </w:t>
      </w:r>
      <w:r w:rsidRPr="00EC3CFD">
        <w:rPr>
          <w:rFonts w:eastAsia="Batang"/>
          <w:lang w:val="en-US"/>
        </w:rPr>
        <w:t xml:space="preserve">classified as accidental. In that sense, the risk metric aggregates over the plant damage state metric(s), which are assigned to the accidental end-states of the PSA Level 1. </w:t>
      </w:r>
    </w:p>
    <w:p w:rsidR="00820C74" w:rsidRDefault="00DE56F1" w:rsidP="00CD2145">
      <w:pPr>
        <w:rPr>
          <w:rFonts w:eastAsia="Batang"/>
          <w:lang w:val="en-US"/>
        </w:rPr>
      </w:pPr>
      <w:r>
        <w:rPr>
          <w:rFonts w:eastAsia="Batang"/>
          <w:lang w:val="en-US"/>
        </w:rPr>
        <w:t xml:space="preserve">From the review of widely used risk measures, </w:t>
      </w:r>
      <w:r w:rsidR="00CD2145" w:rsidRPr="00A47F09">
        <w:rPr>
          <w:rFonts w:eastAsia="Batang"/>
          <w:lang w:val="en-US"/>
        </w:rPr>
        <w:t>FDF measure</w:t>
      </w:r>
      <w:r>
        <w:rPr>
          <w:rFonts w:eastAsia="Batang"/>
          <w:lang w:val="en-US"/>
        </w:rPr>
        <w:t xml:space="preserve">, defined as a </w:t>
      </w:r>
      <w:r w:rsidRPr="00313E82">
        <w:rPr>
          <w:rFonts w:eastAsia="Batang"/>
          <w:lang w:val="en-US"/>
        </w:rPr>
        <w:t>loss of integrity of fuel elements on the site, which has the potential for a</w:t>
      </w:r>
      <w:r>
        <w:rPr>
          <w:rFonts w:eastAsia="Batang"/>
          <w:lang w:val="en-US"/>
        </w:rPr>
        <w:t>n accident-level</w:t>
      </w:r>
      <w:r w:rsidRPr="00313E82">
        <w:rPr>
          <w:rFonts w:eastAsia="Batang"/>
          <w:lang w:val="en-US"/>
        </w:rPr>
        <w:t xml:space="preserve"> release</w:t>
      </w:r>
      <w:r>
        <w:rPr>
          <w:rFonts w:eastAsia="Batang"/>
          <w:lang w:val="en-US"/>
        </w:rPr>
        <w:t>,</w:t>
      </w:r>
      <w:r w:rsidR="00CD2145" w:rsidRPr="00A47F09">
        <w:rPr>
          <w:rFonts w:eastAsia="Batang"/>
          <w:lang w:val="en-US"/>
        </w:rPr>
        <w:t xml:space="preserve"> provides a more general notion of a PSA Level 1 end state than</w:t>
      </w:r>
      <w:r w:rsidR="00CD2145">
        <w:rPr>
          <w:rFonts w:eastAsia="Batang"/>
          <w:lang w:val="en-US"/>
        </w:rPr>
        <w:t xml:space="preserve"> other direct risk measures as CDF</w:t>
      </w:r>
      <w:r>
        <w:rPr>
          <w:rFonts w:eastAsia="Batang"/>
          <w:lang w:val="en-US"/>
        </w:rPr>
        <w:t xml:space="preserve">. </w:t>
      </w:r>
      <w:r w:rsidRPr="00A47F09">
        <w:rPr>
          <w:rFonts w:eastAsia="Batang"/>
          <w:lang w:val="en-US"/>
        </w:rPr>
        <w:t xml:space="preserve">CDF </w:t>
      </w:r>
      <w:r>
        <w:rPr>
          <w:rFonts w:eastAsia="Batang"/>
          <w:lang w:val="en-US"/>
        </w:rPr>
        <w:t xml:space="preserve">that </w:t>
      </w:r>
      <w:r w:rsidRPr="00A47F09">
        <w:rPr>
          <w:rFonts w:eastAsia="Batang"/>
          <w:lang w:val="en-US"/>
        </w:rPr>
        <w:t>should be</w:t>
      </w:r>
      <w:r w:rsidRPr="00313E82">
        <w:rPr>
          <w:rFonts w:eastAsia="Batang"/>
          <w:lang w:val="en-US"/>
        </w:rPr>
        <w:t xml:space="preserve"> understood as a fuel damage state affecting fuel elements located in the reactor core</w:t>
      </w:r>
      <w:r w:rsidR="00CD2145">
        <w:rPr>
          <w:rFonts w:eastAsia="Batang"/>
          <w:lang w:val="en-US"/>
        </w:rPr>
        <w:t xml:space="preserve">, </w:t>
      </w:r>
      <w:r>
        <w:rPr>
          <w:rFonts w:eastAsia="Batang"/>
          <w:lang w:val="en-US"/>
        </w:rPr>
        <w:t>is</w:t>
      </w:r>
      <w:r w:rsidR="00CD2145">
        <w:rPr>
          <w:rFonts w:eastAsia="Batang"/>
          <w:lang w:val="en-US"/>
        </w:rPr>
        <w:t xml:space="preserve"> considered as a subset</w:t>
      </w:r>
      <w:r>
        <w:rPr>
          <w:rFonts w:eastAsia="Batang"/>
          <w:lang w:val="en-US"/>
        </w:rPr>
        <w:t xml:space="preserve"> of FDF</w:t>
      </w:r>
      <w:r w:rsidR="00CD2145">
        <w:rPr>
          <w:rFonts w:eastAsia="Batang"/>
          <w:lang w:val="en-US"/>
        </w:rPr>
        <w:t xml:space="preserve">. </w:t>
      </w:r>
      <w:r>
        <w:rPr>
          <w:rFonts w:eastAsia="Batang"/>
          <w:lang w:val="en-US"/>
        </w:rPr>
        <w:t>Similarly</w:t>
      </w:r>
      <w:r w:rsidR="00CD2145">
        <w:rPr>
          <w:rFonts w:eastAsia="Batang"/>
          <w:lang w:val="en-US"/>
        </w:rPr>
        <w:t>, risk measures related to other locations th</w:t>
      </w:r>
      <w:r w:rsidR="00B35661">
        <w:rPr>
          <w:rFonts w:eastAsia="Batang"/>
          <w:lang w:val="en-US"/>
        </w:rPr>
        <w:t>a</w:t>
      </w:r>
      <w:r w:rsidR="00CD2145">
        <w:rPr>
          <w:rFonts w:eastAsia="Batang"/>
          <w:lang w:val="en-US"/>
        </w:rPr>
        <w:t xml:space="preserve">n the core as SFPDF </w:t>
      </w:r>
      <w:r>
        <w:rPr>
          <w:rFonts w:eastAsia="Batang"/>
          <w:lang w:val="en-US"/>
        </w:rPr>
        <w:t xml:space="preserve">are also </w:t>
      </w:r>
      <w:r w:rsidR="00820C74">
        <w:rPr>
          <w:rFonts w:eastAsia="Batang"/>
          <w:lang w:val="en-US"/>
        </w:rPr>
        <w:t>subset of the FDF risk measure</w:t>
      </w:r>
      <w:r>
        <w:rPr>
          <w:rFonts w:eastAsia="Batang"/>
          <w:lang w:val="en-US"/>
        </w:rPr>
        <w:t xml:space="preserve">. FDF is a direct risk measure that encompasses all these secondary risk measures. </w:t>
      </w:r>
      <w:r w:rsidR="00F52C34" w:rsidRPr="00E376E2">
        <w:rPr>
          <w:rFonts w:eastAsia="Batang"/>
          <w:lang w:val="en-US"/>
        </w:rPr>
        <w:t>Moreover, the FDF measure needs to be consistent with the plant damage state measure(s) (PDSF) it shall aggregate</w:t>
      </w:r>
      <w:r w:rsidR="00F52C34">
        <w:rPr>
          <w:rFonts w:eastAsia="Batang"/>
          <w:lang w:val="en-US"/>
        </w:rPr>
        <w:t>.</w:t>
      </w:r>
    </w:p>
    <w:p w:rsidR="00820C74" w:rsidRPr="00EC3CFD" w:rsidRDefault="00820C74" w:rsidP="00F10EA4">
      <w:pPr>
        <w:rPr>
          <w:rFonts w:eastAsia="Batang"/>
          <w:lang w:val="en-US"/>
        </w:rPr>
      </w:pPr>
    </w:p>
    <w:p w:rsidR="00F52C34" w:rsidRPr="00313E82" w:rsidRDefault="00F52C34" w:rsidP="00F52C34">
      <w:pPr>
        <w:rPr>
          <w:rFonts w:eastAsia="Batang"/>
          <w:lang w:val="en-US"/>
        </w:rPr>
      </w:pPr>
      <w:r>
        <w:rPr>
          <w:rFonts w:eastAsia="Batang"/>
          <w:lang w:val="en-US"/>
        </w:rPr>
        <w:t xml:space="preserve">FDF risk measure has the following limitations. It </w:t>
      </w:r>
      <w:r w:rsidRPr="00313E82">
        <w:rPr>
          <w:rFonts w:eastAsia="Batang"/>
          <w:lang w:val="en-US"/>
        </w:rPr>
        <w:t>does not distinguish between severity of core damage (extent of damage to fuel rods) beyond the defining threshold for fuel damage</w:t>
      </w:r>
      <w:r>
        <w:rPr>
          <w:rFonts w:eastAsia="Batang"/>
          <w:lang w:val="en-US"/>
        </w:rPr>
        <w:t xml:space="preserve"> and it </w:t>
      </w:r>
      <w:r w:rsidRPr="00313E82">
        <w:rPr>
          <w:rFonts w:eastAsia="Batang"/>
          <w:lang w:val="en-US"/>
        </w:rPr>
        <w:t xml:space="preserve">does not preserve (or provide) information on fuel damage characteristics in light of expected releases (e.g. time of fuel damage onset, extent of fuel damage, status of barriers and safety systems, etc.). </w:t>
      </w:r>
    </w:p>
    <w:p w:rsidR="00DE56F1" w:rsidRDefault="00DE56F1" w:rsidP="00F10EA4">
      <w:pPr>
        <w:rPr>
          <w:rFonts w:eastAsia="Batang"/>
          <w:lang w:val="en-US"/>
        </w:rPr>
      </w:pPr>
    </w:p>
    <w:p w:rsidR="00EC3CFD" w:rsidRDefault="00F52C34" w:rsidP="00F10EA4">
      <w:pPr>
        <w:rPr>
          <w:rFonts w:eastAsia="Batang"/>
          <w:lang w:val="en-US"/>
        </w:rPr>
      </w:pPr>
      <w:r>
        <w:rPr>
          <w:rFonts w:eastAsia="Batang"/>
          <w:lang w:val="en-US"/>
        </w:rPr>
        <w:t xml:space="preserve">Because </w:t>
      </w:r>
      <w:r w:rsidRPr="00557A1D">
        <w:rPr>
          <w:rFonts w:eastAsia="Batang"/>
          <w:lang w:val="en-US"/>
        </w:rPr>
        <w:t>the main risk measures for PSA Level 1 like e.g. core damage frequency or fuel damage frequency are not well suited for describing several scenarios which might lead to a significant release of radionuclides into the plant as a starting point for a PSA Level 2, a</w:t>
      </w:r>
      <w:r w:rsidR="00E812E8" w:rsidRPr="00EC3CFD">
        <w:rPr>
          <w:rFonts w:eastAsia="Batang"/>
          <w:lang w:val="en-US"/>
        </w:rPr>
        <w:t xml:space="preserve"> new metric, “Radionuclide Mobilization Frequency, RMF”</w:t>
      </w:r>
      <w:r w:rsidR="00EC3CFD">
        <w:rPr>
          <w:rFonts w:eastAsia="Batang"/>
          <w:lang w:val="en-US"/>
        </w:rPr>
        <w:t xml:space="preserve"> (Section </w:t>
      </w:r>
      <w:r w:rsidR="009E768B">
        <w:rPr>
          <w:rFonts w:eastAsia="Batang"/>
          <w:lang w:val="en-US"/>
        </w:rPr>
        <w:fldChar w:fldCharType="begin"/>
      </w:r>
      <w:r w:rsidR="00EC3CFD">
        <w:rPr>
          <w:rFonts w:eastAsia="Batang"/>
          <w:lang w:val="en-US"/>
        </w:rPr>
        <w:instrText xml:space="preserve"> REF _Ref319310307 \r \h </w:instrText>
      </w:r>
      <w:r w:rsidR="009E768B">
        <w:rPr>
          <w:rFonts w:eastAsia="Batang"/>
          <w:lang w:val="en-US"/>
        </w:rPr>
      </w:r>
      <w:r w:rsidR="009E768B">
        <w:rPr>
          <w:rFonts w:eastAsia="Batang"/>
          <w:lang w:val="en-US"/>
        </w:rPr>
        <w:fldChar w:fldCharType="separate"/>
      </w:r>
      <w:r w:rsidR="00B772CA">
        <w:rPr>
          <w:rFonts w:eastAsia="Batang"/>
          <w:lang w:val="en-US"/>
        </w:rPr>
        <w:t>2.17</w:t>
      </w:r>
      <w:r w:rsidR="009E768B">
        <w:rPr>
          <w:rFonts w:eastAsia="Batang"/>
          <w:lang w:val="en-US"/>
        </w:rPr>
        <w:fldChar w:fldCharType="end"/>
      </w:r>
      <w:r w:rsidR="00EC3CFD">
        <w:rPr>
          <w:rFonts w:eastAsia="Batang"/>
          <w:lang w:val="en-US"/>
        </w:rPr>
        <w:t>)</w:t>
      </w:r>
      <w:r w:rsidR="00EC3CFD" w:rsidRPr="00EC3CFD">
        <w:rPr>
          <w:rFonts w:eastAsia="Batang"/>
          <w:lang w:val="en-US"/>
        </w:rPr>
        <w:t>,</w:t>
      </w:r>
      <w:r w:rsidR="00E812E8" w:rsidRPr="00EC3CFD">
        <w:rPr>
          <w:rFonts w:eastAsia="Batang"/>
          <w:lang w:val="en-US"/>
        </w:rPr>
        <w:t xml:space="preserve"> addresses these issues. This risk metric is defined as a loss of the design basis confinement for a source of radionuclides, leading to an unintended mobilization of a significant amount of radionuclides with the potential for internal or external release, e.g. more than 1 TBq I-131 </w:t>
      </w:r>
      <w:r w:rsidR="005B6DCA">
        <w:rPr>
          <w:rFonts w:eastAsia="Batang"/>
          <w:lang w:val="en-US"/>
        </w:rPr>
        <w:t>E</w:t>
      </w:r>
      <w:r w:rsidR="00E812E8" w:rsidRPr="00EC3CFD">
        <w:rPr>
          <w:rFonts w:eastAsia="Batang"/>
          <w:lang w:val="en-US"/>
        </w:rPr>
        <w:t>quivalent</w:t>
      </w:r>
      <w:r w:rsidR="00E812E8" w:rsidRPr="00EC3CFD">
        <w:rPr>
          <w:rStyle w:val="Appelnotedebasdep"/>
          <w:rFonts w:eastAsia="Batang"/>
          <w:lang w:val="en-US"/>
        </w:rPr>
        <w:footnoteReference w:id="17"/>
      </w:r>
      <w:r w:rsidR="00E812E8" w:rsidRPr="00EC3CFD">
        <w:rPr>
          <w:rFonts w:eastAsia="Batang"/>
          <w:lang w:val="en-US"/>
        </w:rPr>
        <w:t>. The threshold value and its reference rad</w:t>
      </w:r>
      <w:r w:rsidR="00EC3CFD" w:rsidRPr="00EC3CFD">
        <w:rPr>
          <w:rFonts w:eastAsia="Batang"/>
          <w:lang w:val="en-US"/>
        </w:rPr>
        <w:t>ionuclide (or radionuclides) have</w:t>
      </w:r>
      <w:r w:rsidR="00E812E8" w:rsidRPr="00EC3CFD">
        <w:rPr>
          <w:rFonts w:eastAsia="Batang"/>
          <w:lang w:val="en-US"/>
        </w:rPr>
        <w:t xml:space="preserve"> to be adjusted to the facility under consideration and the objectives of the </w:t>
      </w:r>
      <w:r w:rsidR="00E812E8" w:rsidRPr="00EC3CFD">
        <w:rPr>
          <w:rFonts w:eastAsia="Batang"/>
          <w:lang w:val="en-US"/>
        </w:rPr>
        <w:lastRenderedPageBreak/>
        <w:t xml:space="preserve">study. </w:t>
      </w:r>
      <w:r w:rsidR="00EC3CFD" w:rsidRPr="00EC3CFD">
        <w:rPr>
          <w:rFonts w:eastAsia="Batang"/>
          <w:lang w:val="en-US"/>
        </w:rPr>
        <w:t>The RMF conceptually aggregates rather diverse sequences in terms of consequences into one common risk measures (figure of merit). While this is one of its advantages, it similarly limits its suitability for understanding the actual risk profile with regard to the fundamental safety objective.</w:t>
      </w:r>
      <w:r w:rsidR="00EC3CFD">
        <w:rPr>
          <w:rFonts w:eastAsia="Batang"/>
          <w:lang w:val="en-US"/>
        </w:rPr>
        <w:t xml:space="preserve"> </w:t>
      </w:r>
    </w:p>
    <w:p w:rsidR="008A0611" w:rsidRPr="00EC3CFD" w:rsidRDefault="008A0611" w:rsidP="00F10EA4">
      <w:pPr>
        <w:rPr>
          <w:rFonts w:eastAsia="Batang"/>
          <w:lang w:val="en-US"/>
        </w:rPr>
      </w:pPr>
    </w:p>
    <w:p w:rsidR="008A0611" w:rsidRPr="00313E82" w:rsidRDefault="00EC3CFD" w:rsidP="00EC3CFD">
      <w:pPr>
        <w:pStyle w:val="Corpsdetexte"/>
        <w:rPr>
          <w:rFonts w:eastAsia="Batang"/>
        </w:rPr>
      </w:pPr>
      <w:r w:rsidRPr="00313E82">
        <w:rPr>
          <w:rFonts w:eastAsia="Batang"/>
        </w:rPr>
        <w:t xml:space="preserve">The RMF was </w:t>
      </w:r>
      <w:r w:rsidR="00360DE5">
        <w:rPr>
          <w:rFonts w:eastAsia="Batang"/>
        </w:rPr>
        <w:t>proposed</w:t>
      </w:r>
      <w:r w:rsidR="00360DE5" w:rsidRPr="00313E82">
        <w:rPr>
          <w:rFonts w:eastAsia="Batang"/>
        </w:rPr>
        <w:t xml:space="preserve"> </w:t>
      </w:r>
      <w:r w:rsidRPr="00313E82">
        <w:rPr>
          <w:rFonts w:eastAsia="Batang"/>
        </w:rPr>
        <w:t>during the ASAMPSA_E project. The RMF risk measure is recommended to be used for an extension and generalization of the established CDF and FDF risk measures to a multi-source PSA</w:t>
      </w:r>
      <w:r>
        <w:rPr>
          <w:rFonts w:eastAsia="Batang"/>
        </w:rPr>
        <w:t xml:space="preserve"> (cf. section </w:t>
      </w:r>
      <w:r w:rsidR="009E768B">
        <w:rPr>
          <w:rFonts w:eastAsia="Batang"/>
        </w:rPr>
        <w:fldChar w:fldCharType="begin"/>
      </w:r>
      <w:r>
        <w:rPr>
          <w:rFonts w:eastAsia="Batang"/>
        </w:rPr>
        <w:instrText xml:space="preserve"> REF _Ref444100755 \r \h </w:instrText>
      </w:r>
      <w:r w:rsidR="009E768B">
        <w:rPr>
          <w:rFonts w:eastAsia="Batang"/>
        </w:rPr>
      </w:r>
      <w:r w:rsidR="009E768B">
        <w:rPr>
          <w:rFonts w:eastAsia="Batang"/>
        </w:rPr>
        <w:fldChar w:fldCharType="separate"/>
      </w:r>
      <w:r w:rsidR="00B772CA">
        <w:rPr>
          <w:rFonts w:eastAsia="Batang"/>
        </w:rPr>
        <w:t>4</w:t>
      </w:r>
      <w:r w:rsidR="009E768B">
        <w:rPr>
          <w:rFonts w:eastAsia="Batang"/>
        </w:rPr>
        <w:fldChar w:fldCharType="end"/>
      </w:r>
      <w:r>
        <w:rPr>
          <w:rFonts w:eastAsia="Batang"/>
        </w:rPr>
        <w:t>)</w:t>
      </w:r>
      <w:r w:rsidRPr="00313E82">
        <w:rPr>
          <w:rFonts w:eastAsia="Batang"/>
        </w:rPr>
        <w:t xml:space="preserve">. It is </w:t>
      </w:r>
      <w:r w:rsidR="00360DE5">
        <w:rPr>
          <w:rFonts w:eastAsia="Batang"/>
        </w:rPr>
        <w:t>a</w:t>
      </w:r>
      <w:r w:rsidRPr="00313E82">
        <w:rPr>
          <w:rFonts w:eastAsia="Batang"/>
        </w:rPr>
        <w:t xml:space="preserve"> complementary risk measure for an extended PSA that addresses potential sources on the site in addition to fuel in the reactor and spent fuel.</w:t>
      </w:r>
      <w:r w:rsidR="00CF4F0A">
        <w:rPr>
          <w:rFonts w:eastAsia="Batang"/>
        </w:rPr>
        <w:t xml:space="preserve"> </w:t>
      </w:r>
      <w:r w:rsidR="00245AA5" w:rsidRPr="00313E82">
        <w:rPr>
          <w:rFonts w:eastAsia="Batang"/>
        </w:rPr>
        <w:t>Currently, no applications</w:t>
      </w:r>
      <w:r w:rsidR="00245AA5">
        <w:rPr>
          <w:rFonts w:eastAsia="Batang"/>
        </w:rPr>
        <w:t xml:space="preserve"> of RMF</w:t>
      </w:r>
      <w:r w:rsidR="00245AA5" w:rsidRPr="00313E82">
        <w:rPr>
          <w:rFonts w:eastAsia="Batang"/>
        </w:rPr>
        <w:t xml:space="preserve"> are known</w:t>
      </w:r>
      <w:r w:rsidR="00245AA5">
        <w:rPr>
          <w:rFonts w:eastAsia="Batang"/>
        </w:rPr>
        <w:t>, and there is no consensus on the</w:t>
      </w:r>
      <w:r w:rsidR="00245AA5" w:rsidRPr="00EC3CFD">
        <w:rPr>
          <w:rFonts w:eastAsia="Batang"/>
        </w:rPr>
        <w:t xml:space="preserve"> threshold value and its reference</w:t>
      </w:r>
      <w:r w:rsidR="00245AA5">
        <w:rPr>
          <w:rFonts w:eastAsia="Batang"/>
        </w:rPr>
        <w:t xml:space="preserve"> isotopes. </w:t>
      </w:r>
      <w:r w:rsidR="00245AA5" w:rsidRPr="00313E82">
        <w:rPr>
          <w:rFonts w:eastAsia="Batang"/>
        </w:rPr>
        <w:t>However, the RMF generalizes the CDF and FDF risk measures to a comprehensive PSA Level 1 risk measure for a multi-source PSA.</w:t>
      </w:r>
      <w:r w:rsidR="00245AA5">
        <w:rPr>
          <w:rFonts w:eastAsia="Batang"/>
        </w:rPr>
        <w:t xml:space="preserve"> This risk measure can also contribute to the verification of the low probability of events that would induce off-site protective measure without core melt. </w:t>
      </w:r>
    </w:p>
    <w:p w:rsidR="00F10EA4" w:rsidRPr="00C513E2" w:rsidRDefault="00EC3CFD" w:rsidP="00B76953">
      <w:pPr>
        <w:pStyle w:val="Corpsdetexte"/>
        <w:rPr>
          <w:rFonts w:eastAsia="Batang"/>
        </w:rPr>
      </w:pPr>
      <w:r>
        <w:rPr>
          <w:rFonts w:eastAsia="Batang"/>
        </w:rPr>
        <w:t xml:space="preserve">It must be </w:t>
      </w:r>
      <w:r w:rsidRPr="00313E82">
        <w:rPr>
          <w:rFonts w:eastAsia="Batang"/>
        </w:rPr>
        <w:t>point</w:t>
      </w:r>
      <w:r>
        <w:rPr>
          <w:rFonts w:eastAsia="Batang"/>
        </w:rPr>
        <w:t>ed</w:t>
      </w:r>
      <w:r w:rsidRPr="00313E82">
        <w:rPr>
          <w:rFonts w:eastAsia="Batang"/>
        </w:rPr>
        <w:t xml:space="preserve"> out, though, that the RMF risk measure is not well suited for understanding the risk profile of e.g. an NPP in operation. It should be complemented by e.g. CFD/FDF as a PSA Level 1 risk measure.</w:t>
      </w:r>
      <w:r w:rsidR="00C817AD">
        <w:rPr>
          <w:rFonts w:eastAsia="Batang"/>
        </w:rPr>
        <w:t xml:space="preserve"> FDF would be the recommended metric in this case.  </w:t>
      </w:r>
    </w:p>
    <w:p w:rsidR="005A140E" w:rsidRPr="00C94556" w:rsidRDefault="007D4D38" w:rsidP="00265466">
      <w:pPr>
        <w:pStyle w:val="Titre2"/>
        <w:rPr>
          <w:lang w:val="en-US"/>
        </w:rPr>
      </w:pPr>
      <w:bookmarkStart w:id="416" w:name="_Toc474430237"/>
      <w:r w:rsidRPr="00C94556">
        <w:rPr>
          <w:lang w:val="en-US"/>
        </w:rPr>
        <w:t>Risk Metrics for an extended Level 2 PSA</w:t>
      </w:r>
      <w:bookmarkEnd w:id="416"/>
      <w:r w:rsidR="00130234" w:rsidRPr="00C94556">
        <w:rPr>
          <w:lang w:val="en-US"/>
        </w:rPr>
        <w:t xml:space="preserve"> </w:t>
      </w:r>
    </w:p>
    <w:p w:rsidR="005A140E" w:rsidRPr="00313E82" w:rsidRDefault="005A140E" w:rsidP="00265466">
      <w:pPr>
        <w:rPr>
          <w:rFonts w:eastAsia="Batang"/>
          <w:lang w:val="en-US"/>
        </w:rPr>
      </w:pPr>
      <w:r w:rsidRPr="00313E82">
        <w:rPr>
          <w:rFonts w:eastAsia="Batang"/>
          <w:lang w:val="en-US"/>
        </w:rPr>
        <w:t>The above sections on possible risk metrics for level 2 PSA provide a comprehensive summary on this topic. Although existing PSA at maximum only partly apply the many options for</w:t>
      </w:r>
      <w:r w:rsidR="00006C47" w:rsidRPr="00313E82">
        <w:rPr>
          <w:rFonts w:eastAsia="Batang"/>
          <w:lang w:val="en-US"/>
        </w:rPr>
        <w:t xml:space="preserve"> different</w:t>
      </w:r>
      <w:r w:rsidRPr="00313E82">
        <w:rPr>
          <w:rFonts w:eastAsia="Batang"/>
          <w:lang w:val="en-US"/>
        </w:rPr>
        <w:t xml:space="preserve"> risk metrics, there is a large choice of metrics available. </w:t>
      </w:r>
      <w:r w:rsidR="00245AA5">
        <w:rPr>
          <w:rFonts w:eastAsia="Batang"/>
          <w:lang w:val="en-US"/>
        </w:rPr>
        <w:t>T</w:t>
      </w:r>
      <w:r w:rsidRPr="00313E82">
        <w:rPr>
          <w:rFonts w:eastAsia="Batang"/>
          <w:lang w:val="en-US"/>
        </w:rPr>
        <w:t>his wide selection of risk metrics is also applicable for extended PSA</w:t>
      </w:r>
      <w:r w:rsidR="00F066CF">
        <w:rPr>
          <w:rFonts w:eastAsia="Batang"/>
          <w:lang w:val="en-US"/>
        </w:rPr>
        <w:t>.</w:t>
      </w:r>
    </w:p>
    <w:p w:rsidR="00C86ADC" w:rsidRPr="00313E82" w:rsidRDefault="00C86ADC" w:rsidP="00265466">
      <w:pPr>
        <w:rPr>
          <w:rFonts w:eastAsia="Batang"/>
          <w:lang w:val="en-US"/>
        </w:rPr>
      </w:pPr>
    </w:p>
    <w:p w:rsidR="00C86ADC" w:rsidRPr="00313E82" w:rsidRDefault="00C86ADC" w:rsidP="00265466">
      <w:pPr>
        <w:rPr>
          <w:rFonts w:eastAsia="Batang"/>
          <w:lang w:val="en-US"/>
        </w:rPr>
      </w:pPr>
      <w:r w:rsidRPr="00313E82">
        <w:rPr>
          <w:rFonts w:eastAsia="Batang"/>
          <w:lang w:val="en-US"/>
        </w:rPr>
        <w:t>Nevertheless, the following remarks are due:</w:t>
      </w:r>
    </w:p>
    <w:p w:rsidR="005A140E" w:rsidRPr="00313E82" w:rsidRDefault="005A140E" w:rsidP="00265466">
      <w:pPr>
        <w:rPr>
          <w:rFonts w:eastAsia="Batang"/>
          <w:lang w:val="en-US"/>
        </w:rPr>
      </w:pPr>
    </w:p>
    <w:p w:rsidR="00B82133" w:rsidRPr="00313E82" w:rsidRDefault="005A140E" w:rsidP="00265466">
      <w:pPr>
        <w:rPr>
          <w:rFonts w:eastAsia="Batang"/>
          <w:lang w:val="en-US"/>
        </w:rPr>
      </w:pPr>
      <w:r w:rsidRPr="00313E82">
        <w:rPr>
          <w:rFonts w:eastAsia="Batang"/>
          <w:lang w:val="en-US"/>
        </w:rPr>
        <w:t xml:space="preserve">It is of interest to have not only a single </w:t>
      </w:r>
      <w:r w:rsidR="00B82133" w:rsidRPr="00313E82">
        <w:rPr>
          <w:rFonts w:eastAsia="Batang"/>
          <w:lang w:val="en-US"/>
        </w:rPr>
        <w:t>value</w:t>
      </w:r>
      <w:r w:rsidRPr="00313E82">
        <w:rPr>
          <w:rFonts w:eastAsia="Batang"/>
          <w:lang w:val="en-US"/>
        </w:rPr>
        <w:t xml:space="preserve"> presenting the </w:t>
      </w:r>
      <w:r w:rsidR="00B82133" w:rsidRPr="00313E82">
        <w:rPr>
          <w:rFonts w:eastAsia="Batang"/>
          <w:lang w:val="en-US"/>
        </w:rPr>
        <w:t xml:space="preserve">total </w:t>
      </w:r>
      <w:r w:rsidRPr="00313E82">
        <w:rPr>
          <w:rFonts w:eastAsia="Batang"/>
          <w:lang w:val="en-US"/>
        </w:rPr>
        <w:t>risk (</w:t>
      </w:r>
      <w:r w:rsidR="00B82133" w:rsidRPr="00313E82">
        <w:rPr>
          <w:rFonts w:eastAsia="Batang"/>
          <w:lang w:val="en-US"/>
        </w:rPr>
        <w:t>whatever that may be</w:t>
      </w:r>
      <w:r w:rsidR="00F066CF">
        <w:rPr>
          <w:rFonts w:eastAsia="Batang"/>
          <w:lang w:val="en-US"/>
        </w:rPr>
        <w:t>)</w:t>
      </w:r>
      <w:r w:rsidR="008F3998">
        <w:rPr>
          <w:rFonts w:eastAsia="Batang"/>
          <w:lang w:val="en-US"/>
        </w:rPr>
        <w:t xml:space="preserve"> from the set of units on the site</w:t>
      </w:r>
      <w:r w:rsidR="00B82133" w:rsidRPr="00313E82">
        <w:rPr>
          <w:rFonts w:eastAsia="Batang"/>
          <w:lang w:val="en-US"/>
        </w:rPr>
        <w:t xml:space="preserve">, but to be able to determine the contribution of initiating events (e.g. external hazards) and </w:t>
      </w:r>
      <w:r w:rsidR="00C86ADC" w:rsidRPr="00313E82">
        <w:rPr>
          <w:rFonts w:eastAsia="Batang"/>
          <w:lang w:val="en-US"/>
        </w:rPr>
        <w:t xml:space="preserve">different </w:t>
      </w:r>
      <w:r w:rsidR="00B82133" w:rsidRPr="00313E82">
        <w:rPr>
          <w:rFonts w:eastAsia="Batang"/>
          <w:lang w:val="en-US"/>
        </w:rPr>
        <w:t>plant operation states</w:t>
      </w:r>
      <w:r w:rsidR="00E30B73">
        <w:rPr>
          <w:rFonts w:eastAsia="Batang"/>
          <w:lang w:val="en-US"/>
        </w:rPr>
        <w:t xml:space="preserve"> and particular SSCs</w:t>
      </w:r>
      <w:r w:rsidR="00B82133" w:rsidRPr="00313E82">
        <w:rPr>
          <w:rFonts w:eastAsia="Batang"/>
          <w:lang w:val="en-US"/>
        </w:rPr>
        <w:t xml:space="preserve">. This requirement is not at all specific for extended PSA; it is comparable to providing the risk contributions from different </w:t>
      </w:r>
      <w:r w:rsidR="00E30B73">
        <w:rPr>
          <w:rFonts w:eastAsia="Batang"/>
          <w:lang w:val="en-US"/>
        </w:rPr>
        <w:t>issues</w:t>
      </w:r>
      <w:r w:rsidR="00B82133" w:rsidRPr="00313E82">
        <w:rPr>
          <w:rFonts w:eastAsia="Batang"/>
          <w:lang w:val="en-US"/>
        </w:rPr>
        <w:t xml:space="preserve"> in traditional PSA.</w:t>
      </w:r>
    </w:p>
    <w:p w:rsidR="00B82133" w:rsidRPr="00313E82" w:rsidRDefault="00B82133" w:rsidP="00265466">
      <w:pPr>
        <w:rPr>
          <w:rFonts w:eastAsia="Batang"/>
          <w:lang w:val="en-US"/>
        </w:rPr>
      </w:pPr>
    </w:p>
    <w:p w:rsidR="007D3462" w:rsidRDefault="00C86ADC" w:rsidP="00265466">
      <w:pPr>
        <w:rPr>
          <w:rFonts w:eastAsia="Batang"/>
          <w:lang w:val="en-US"/>
        </w:rPr>
      </w:pPr>
      <w:r w:rsidRPr="00313E82">
        <w:rPr>
          <w:rFonts w:eastAsia="Batang"/>
          <w:lang w:val="en-US"/>
        </w:rPr>
        <w:t>The risk metrics</w:t>
      </w:r>
      <w:r w:rsidR="007D3462" w:rsidRPr="00313E82">
        <w:rPr>
          <w:rFonts w:eastAsia="Batang"/>
          <w:lang w:val="en-US"/>
        </w:rPr>
        <w:t xml:space="preserve"> applied</w:t>
      </w:r>
      <w:r w:rsidRPr="00313E82">
        <w:rPr>
          <w:rFonts w:eastAsia="Batang"/>
          <w:lang w:val="en-US"/>
        </w:rPr>
        <w:t xml:space="preserve"> </w:t>
      </w:r>
      <w:r w:rsidR="007D3462" w:rsidRPr="00313E82">
        <w:rPr>
          <w:rFonts w:eastAsia="Batang"/>
          <w:lang w:val="en-US"/>
        </w:rPr>
        <w:t>in</w:t>
      </w:r>
      <w:r w:rsidRPr="00313E82">
        <w:rPr>
          <w:rFonts w:eastAsia="Batang"/>
          <w:lang w:val="en-US"/>
        </w:rPr>
        <w:t xml:space="preserve"> an extended PSA for a multi-unit site </w:t>
      </w:r>
      <w:r w:rsidR="007D3462" w:rsidRPr="00313E82">
        <w:rPr>
          <w:rFonts w:eastAsia="Batang"/>
          <w:lang w:val="en-US"/>
        </w:rPr>
        <w:t>should</w:t>
      </w:r>
      <w:r w:rsidRPr="00313E82">
        <w:rPr>
          <w:rFonts w:eastAsia="Batang"/>
          <w:lang w:val="en-US"/>
        </w:rPr>
        <w:t xml:space="preserve"> be identical with the risk metrics provided </w:t>
      </w:r>
      <w:r w:rsidR="008F3998">
        <w:rPr>
          <w:rFonts w:eastAsia="Batang"/>
          <w:lang w:val="en-US"/>
        </w:rPr>
        <w:t>for individual units</w:t>
      </w:r>
      <w:r w:rsidRPr="00313E82">
        <w:rPr>
          <w:rFonts w:eastAsia="Batang"/>
          <w:lang w:val="en-US"/>
        </w:rPr>
        <w:t xml:space="preserve">. </w:t>
      </w:r>
      <w:r w:rsidR="007D3462" w:rsidRPr="00313E82">
        <w:rPr>
          <w:rFonts w:eastAsia="Batang"/>
          <w:lang w:val="en-US"/>
        </w:rPr>
        <w:t xml:space="preserve">The risk of each individual </w:t>
      </w:r>
      <w:r w:rsidR="00F52B99">
        <w:rPr>
          <w:rFonts w:eastAsia="Batang"/>
          <w:lang w:val="en-US"/>
        </w:rPr>
        <w:t>unit</w:t>
      </w:r>
      <w:r w:rsidR="00F52B99" w:rsidRPr="00313E82">
        <w:rPr>
          <w:rFonts w:eastAsia="Batang"/>
          <w:lang w:val="en-US"/>
        </w:rPr>
        <w:t xml:space="preserve"> </w:t>
      </w:r>
      <w:r w:rsidR="007D3462" w:rsidRPr="00313E82">
        <w:rPr>
          <w:rFonts w:eastAsia="Batang"/>
          <w:lang w:val="en-US"/>
        </w:rPr>
        <w:t xml:space="preserve">at a particular site should be given, and also the cumulative risk for all </w:t>
      </w:r>
      <w:r w:rsidR="00F52B99">
        <w:rPr>
          <w:rFonts w:eastAsia="Batang"/>
          <w:lang w:val="en-US"/>
        </w:rPr>
        <w:t>units</w:t>
      </w:r>
      <w:r w:rsidR="00F52B99" w:rsidRPr="00313E82">
        <w:rPr>
          <w:rFonts w:eastAsia="Batang"/>
          <w:lang w:val="en-US"/>
        </w:rPr>
        <w:t xml:space="preserve"> </w:t>
      </w:r>
      <w:r w:rsidR="007D3462" w:rsidRPr="00313E82">
        <w:rPr>
          <w:rFonts w:eastAsia="Batang"/>
          <w:lang w:val="en-US"/>
        </w:rPr>
        <w:t xml:space="preserve">on a site. </w:t>
      </w:r>
      <w:r w:rsidR="005E17FA" w:rsidRPr="00313E82">
        <w:rPr>
          <w:rFonts w:eastAsia="Batang"/>
          <w:lang w:val="en-US"/>
        </w:rPr>
        <w:t>Of course one could imagine complicated risk patterns from multi-unit sites. The accidents in Fukushima Dai-ichi are a striking example for different accident evolutions initiated by the same</w:t>
      </w:r>
      <w:r w:rsidR="00006C47" w:rsidRPr="00313E82">
        <w:rPr>
          <w:rFonts w:eastAsia="Batang"/>
          <w:lang w:val="en-US"/>
        </w:rPr>
        <w:t xml:space="preserve"> external</w:t>
      </w:r>
      <w:r w:rsidR="005E17FA" w:rsidRPr="00313E82">
        <w:rPr>
          <w:rFonts w:eastAsia="Batang"/>
          <w:lang w:val="en-US"/>
        </w:rPr>
        <w:t xml:space="preserve"> hazard in different reactor blocks on the same site. But again, this does not necessarily call for additional or modified risk metrics. In principle, the different release histories from different reactor blocks are comparable to a sequence of release episodes from a single reactor. </w:t>
      </w:r>
      <w:r w:rsidR="00E30B73">
        <w:rPr>
          <w:rFonts w:eastAsia="Batang"/>
          <w:lang w:val="en-US"/>
        </w:rPr>
        <w:t>I</w:t>
      </w:r>
      <w:r w:rsidR="005E17FA" w:rsidRPr="00313E82">
        <w:rPr>
          <w:rFonts w:eastAsia="Batang"/>
          <w:lang w:val="en-US"/>
        </w:rPr>
        <w:t xml:space="preserve">t has to be conceded that calculating these risks from multi-unit sites </w:t>
      </w:r>
      <w:r w:rsidR="004863D4">
        <w:rPr>
          <w:rFonts w:eastAsia="Batang"/>
          <w:lang w:val="en-US"/>
        </w:rPr>
        <w:t>is</w:t>
      </w:r>
      <w:r w:rsidR="004863D4" w:rsidRPr="00313E82">
        <w:rPr>
          <w:rFonts w:eastAsia="Batang"/>
          <w:lang w:val="en-US"/>
        </w:rPr>
        <w:t xml:space="preserve"> </w:t>
      </w:r>
      <w:r w:rsidR="005E17FA" w:rsidRPr="00313E82">
        <w:rPr>
          <w:rFonts w:eastAsia="Batang"/>
          <w:lang w:val="en-US"/>
        </w:rPr>
        <w:t xml:space="preserve">really challenging, but there is no reason for introducing additional risk metrics or dismissing other metrics which have been proposed for </w:t>
      </w:r>
      <w:r w:rsidR="00BD3B36">
        <w:rPr>
          <w:rFonts w:eastAsia="Batang"/>
          <w:lang w:val="en-US"/>
        </w:rPr>
        <w:t>single unit</w:t>
      </w:r>
      <w:r w:rsidR="00BD3B36" w:rsidRPr="00313E82">
        <w:rPr>
          <w:rFonts w:eastAsia="Batang"/>
          <w:lang w:val="en-US"/>
        </w:rPr>
        <w:t xml:space="preserve"> </w:t>
      </w:r>
      <w:r w:rsidR="005E17FA" w:rsidRPr="00313E82">
        <w:rPr>
          <w:rFonts w:eastAsia="Batang"/>
          <w:lang w:val="en-US"/>
        </w:rPr>
        <w:t>PSA.</w:t>
      </w:r>
    </w:p>
    <w:p w:rsidR="00502BB3" w:rsidRDefault="00502BB3" w:rsidP="00265466">
      <w:pPr>
        <w:rPr>
          <w:rFonts w:eastAsia="Batang"/>
          <w:lang w:val="en-US"/>
        </w:rPr>
      </w:pPr>
    </w:p>
    <w:p w:rsidR="00502BB3" w:rsidRDefault="00502BB3" w:rsidP="00265466">
      <w:pPr>
        <w:rPr>
          <w:rFonts w:eastAsia="Batang"/>
          <w:lang w:val="en-US"/>
        </w:rPr>
      </w:pPr>
      <w:r>
        <w:rPr>
          <w:rFonts w:eastAsia="Batang"/>
          <w:lang w:val="en-US"/>
        </w:rPr>
        <w:t xml:space="preserve">From the various metrics discussed above, the following are recommended as particularly suited for characterizing PSA level 2 results. </w:t>
      </w:r>
    </w:p>
    <w:p w:rsidR="00502BB3" w:rsidRDefault="00502BB3" w:rsidP="00265466">
      <w:pPr>
        <w:rPr>
          <w:rFonts w:eastAsia="Batang"/>
          <w:lang w:val="en-US"/>
        </w:rPr>
      </w:pPr>
    </w:p>
    <w:p w:rsidR="00770D5C" w:rsidRPr="00313E82" w:rsidRDefault="00F066CF" w:rsidP="00770D5C">
      <w:pPr>
        <w:pStyle w:val="Titre3"/>
        <w:rPr>
          <w:rFonts w:eastAsia="Batang"/>
          <w:lang w:val="en-US"/>
        </w:rPr>
      </w:pPr>
      <w:bookmarkStart w:id="417" w:name="_Toc474430238"/>
      <w:r>
        <w:rPr>
          <w:rFonts w:eastAsia="Batang"/>
          <w:lang w:val="en-US"/>
        </w:rPr>
        <w:t>M</w:t>
      </w:r>
      <w:r w:rsidR="00770D5C">
        <w:rPr>
          <w:rFonts w:eastAsia="Batang"/>
          <w:lang w:val="en-US"/>
        </w:rPr>
        <w:t xml:space="preserve">easure for loss of </w:t>
      </w:r>
      <w:r w:rsidR="00770D5C" w:rsidRPr="00BF36DA">
        <w:rPr>
          <w:lang w:val="en-US"/>
        </w:rPr>
        <w:t>containment</w:t>
      </w:r>
      <w:r w:rsidR="00770D5C">
        <w:rPr>
          <w:rFonts w:eastAsia="Batang"/>
          <w:lang w:val="en-US"/>
        </w:rPr>
        <w:t xml:space="preserve"> function</w:t>
      </w:r>
      <w:bookmarkEnd w:id="417"/>
      <w:r w:rsidR="00770D5C" w:rsidRPr="00313E82">
        <w:rPr>
          <w:rFonts w:eastAsia="Batang"/>
          <w:lang w:val="en-US"/>
        </w:rPr>
        <w:t xml:space="preserve"> </w:t>
      </w:r>
    </w:p>
    <w:p w:rsidR="00770D5C" w:rsidRDefault="00770D5C" w:rsidP="00770D5C">
      <w:pPr>
        <w:rPr>
          <w:lang w:val="en-US"/>
        </w:rPr>
      </w:pPr>
      <w:r>
        <w:rPr>
          <w:lang w:val="en-US"/>
        </w:rPr>
        <w:t>There is already a widespread good practice in L2 PSA to identify the frequency of the loss of containment functions. The application of this measure is further encouraged, with the following comment:</w:t>
      </w:r>
    </w:p>
    <w:p w:rsidR="00770D5C" w:rsidRDefault="00770D5C" w:rsidP="00770D5C">
      <w:pPr>
        <w:rPr>
          <w:lang w:val="en-US"/>
        </w:rPr>
      </w:pPr>
      <w:r>
        <w:rPr>
          <w:lang w:val="en-US"/>
        </w:rPr>
        <w:t>It is recommended to</w:t>
      </w:r>
      <w:r w:rsidR="00F066CF">
        <w:rPr>
          <w:lang w:val="en-US"/>
        </w:rPr>
        <w:t xml:space="preserve"> at least</w:t>
      </w:r>
      <w:r>
        <w:rPr>
          <w:lang w:val="en-US"/>
        </w:rPr>
        <w:t xml:space="preserve"> distinguish</w:t>
      </w:r>
      <w:r w:rsidR="006C495C">
        <w:rPr>
          <w:lang w:val="en-US"/>
        </w:rPr>
        <w:t xml:space="preserve"> for core melt sequences</w:t>
      </w:r>
      <w:r>
        <w:rPr>
          <w:lang w:val="en-US"/>
        </w:rPr>
        <w:t xml:space="preserve">: </w:t>
      </w:r>
    </w:p>
    <w:p w:rsidR="00770D5C" w:rsidRPr="00EF24F2" w:rsidRDefault="00770D5C" w:rsidP="00770D5C">
      <w:pPr>
        <w:pStyle w:val="Paragraphedeliste"/>
        <w:numPr>
          <w:ilvl w:val="0"/>
          <w:numId w:val="104"/>
        </w:numPr>
        <w:rPr>
          <w:lang w:val="en-US"/>
        </w:rPr>
      </w:pPr>
      <w:r w:rsidRPr="003849E8">
        <w:rPr>
          <w:lang w:val="en-US"/>
        </w:rPr>
        <w:t>Intact contain</w:t>
      </w:r>
      <w:r w:rsidRPr="00EF24F2">
        <w:rPr>
          <w:lang w:val="en-US"/>
        </w:rPr>
        <w:t>ment with design basis leakage</w:t>
      </w:r>
      <w:r w:rsidR="00B35661">
        <w:rPr>
          <w:lang w:val="en-US"/>
        </w:rPr>
        <w:t>,</w:t>
      </w:r>
    </w:p>
    <w:p w:rsidR="00770D5C" w:rsidRPr="009D3F6F" w:rsidRDefault="00770D5C" w:rsidP="00770D5C">
      <w:pPr>
        <w:pStyle w:val="Paragraphedeliste"/>
        <w:numPr>
          <w:ilvl w:val="0"/>
          <w:numId w:val="104"/>
        </w:numPr>
        <w:rPr>
          <w:lang w:val="en-US"/>
        </w:rPr>
      </w:pPr>
      <w:r w:rsidRPr="009D3F6F">
        <w:rPr>
          <w:lang w:val="en-US"/>
        </w:rPr>
        <w:t>Intact containment with filtered venting</w:t>
      </w:r>
      <w:r w:rsidR="00B35661">
        <w:rPr>
          <w:lang w:val="en-US"/>
        </w:rPr>
        <w:t>,</w:t>
      </w:r>
      <w:r w:rsidRPr="009D3F6F">
        <w:rPr>
          <w:lang w:val="en-US"/>
        </w:rPr>
        <w:t xml:space="preserve"> </w:t>
      </w:r>
    </w:p>
    <w:p w:rsidR="00770D5C" w:rsidRPr="003849E8" w:rsidRDefault="00770D5C" w:rsidP="00770D5C">
      <w:pPr>
        <w:pStyle w:val="Paragraphedeliste"/>
        <w:numPr>
          <w:ilvl w:val="0"/>
          <w:numId w:val="104"/>
        </w:numPr>
        <w:rPr>
          <w:lang w:val="en-US"/>
        </w:rPr>
      </w:pPr>
      <w:r w:rsidRPr="003849E8">
        <w:rPr>
          <w:lang w:val="en-US"/>
        </w:rPr>
        <w:t xml:space="preserve">Loss of containment function due to </w:t>
      </w:r>
      <w:r>
        <w:rPr>
          <w:lang w:val="en-US"/>
        </w:rPr>
        <w:t xml:space="preserve">a </w:t>
      </w:r>
      <w:r w:rsidRPr="003849E8">
        <w:rPr>
          <w:lang w:val="en-US"/>
        </w:rPr>
        <w:t xml:space="preserve">leak or rupture of </w:t>
      </w:r>
      <w:r>
        <w:rPr>
          <w:lang w:val="en-US"/>
        </w:rPr>
        <w:t xml:space="preserve">the </w:t>
      </w:r>
      <w:r w:rsidRPr="003849E8">
        <w:rPr>
          <w:lang w:val="en-US"/>
        </w:rPr>
        <w:t>containment structure</w:t>
      </w:r>
      <w:r w:rsidR="00B35661">
        <w:rPr>
          <w:lang w:val="en-US"/>
        </w:rPr>
        <w:t>,</w:t>
      </w:r>
    </w:p>
    <w:p w:rsidR="00770D5C" w:rsidRPr="003849E8" w:rsidRDefault="00770D5C" w:rsidP="00770D5C">
      <w:pPr>
        <w:pStyle w:val="Paragraphedeliste"/>
        <w:numPr>
          <w:ilvl w:val="0"/>
          <w:numId w:val="104"/>
        </w:numPr>
        <w:rPr>
          <w:lang w:val="en-US"/>
        </w:rPr>
      </w:pPr>
      <w:r w:rsidRPr="003849E8">
        <w:rPr>
          <w:lang w:val="en-US"/>
        </w:rPr>
        <w:t xml:space="preserve">Loss of containment function due to failure of containment </w:t>
      </w:r>
      <w:r w:rsidR="00F066CF">
        <w:rPr>
          <w:lang w:val="en-US"/>
        </w:rPr>
        <w:t>systems (e.g. open ventilation systems, open hatches)</w:t>
      </w:r>
      <w:r w:rsidR="00B35661">
        <w:rPr>
          <w:lang w:val="en-US"/>
        </w:rPr>
        <w:t>,</w:t>
      </w:r>
    </w:p>
    <w:p w:rsidR="00770D5C" w:rsidRPr="003849E8" w:rsidRDefault="00770D5C" w:rsidP="00770D5C">
      <w:pPr>
        <w:pStyle w:val="Paragraphedeliste"/>
        <w:numPr>
          <w:ilvl w:val="0"/>
          <w:numId w:val="104"/>
        </w:numPr>
        <w:rPr>
          <w:lang w:val="en-US"/>
        </w:rPr>
      </w:pPr>
      <w:r w:rsidRPr="003849E8">
        <w:rPr>
          <w:lang w:val="en-US"/>
        </w:rPr>
        <w:t>Loss of containment function due to bypass through interfacing systems (for BWR including non-isolated break of feedwater or steam lines outside of the containment)</w:t>
      </w:r>
      <w:r w:rsidR="00B35661">
        <w:rPr>
          <w:lang w:val="en-US"/>
        </w:rPr>
        <w:t>,</w:t>
      </w:r>
    </w:p>
    <w:p w:rsidR="00770D5C" w:rsidRPr="003849E8" w:rsidRDefault="00770D5C" w:rsidP="00770D5C">
      <w:pPr>
        <w:pStyle w:val="Paragraphedeliste"/>
        <w:numPr>
          <w:ilvl w:val="0"/>
          <w:numId w:val="104"/>
        </w:numPr>
        <w:rPr>
          <w:lang w:val="en-US"/>
        </w:rPr>
      </w:pPr>
      <w:r w:rsidRPr="003849E8">
        <w:rPr>
          <w:lang w:val="en-US"/>
        </w:rPr>
        <w:t>Loss of containment function due</w:t>
      </w:r>
      <w:r w:rsidR="00F066CF">
        <w:rPr>
          <w:lang w:val="en-US"/>
        </w:rPr>
        <w:t xml:space="preserve"> to</w:t>
      </w:r>
      <w:r w:rsidRPr="003849E8">
        <w:rPr>
          <w:lang w:val="en-US"/>
        </w:rPr>
        <w:t xml:space="preserve"> bypass through steam generator tube leak (PWR only)</w:t>
      </w:r>
      <w:r w:rsidR="00B35661">
        <w:rPr>
          <w:lang w:val="en-US"/>
        </w:rPr>
        <w:t>.</w:t>
      </w:r>
    </w:p>
    <w:p w:rsidR="00770D5C" w:rsidRDefault="00770D5C" w:rsidP="00770D5C">
      <w:pPr>
        <w:rPr>
          <w:lang w:val="en-US"/>
        </w:rPr>
      </w:pPr>
    </w:p>
    <w:p w:rsidR="00245AA5" w:rsidRPr="00AA7A27" w:rsidRDefault="00770D5C" w:rsidP="00770D5C">
      <w:pPr>
        <w:rPr>
          <w:lang w:val="en-US"/>
        </w:rPr>
      </w:pPr>
      <w:r>
        <w:rPr>
          <w:lang w:val="en-US"/>
        </w:rPr>
        <w:t xml:space="preserve">It may be interesting to introduce an </w:t>
      </w:r>
      <w:r w:rsidR="00E30B73">
        <w:rPr>
          <w:lang w:val="en-US"/>
        </w:rPr>
        <w:t>additional metric</w:t>
      </w:r>
      <w:r>
        <w:rPr>
          <w:lang w:val="en-US"/>
        </w:rPr>
        <w:t xml:space="preserve">, which has similarity to the well-known core damage </w:t>
      </w:r>
      <w:r w:rsidRPr="00AA7A27">
        <w:rPr>
          <w:lang w:val="en-US"/>
        </w:rPr>
        <w:t>frequency (CDF) concept of L1 PSA</w:t>
      </w:r>
      <w:r w:rsidR="006C495C" w:rsidRPr="00AA7A27">
        <w:rPr>
          <w:lang w:val="en-US"/>
        </w:rPr>
        <w:t xml:space="preserve">, </w:t>
      </w:r>
      <w:r w:rsidRPr="00AA7A27">
        <w:rPr>
          <w:lang w:val="en-US"/>
        </w:rPr>
        <w:t>“Containment Failure Frequency” (CFF). The CFF would comprise all sequences where the containment function is lost</w:t>
      </w:r>
      <w:r w:rsidR="00E30B73" w:rsidRPr="00AA7A27">
        <w:rPr>
          <w:lang w:val="en-US"/>
        </w:rPr>
        <w:t xml:space="preserve"> – whatever the reason</w:t>
      </w:r>
      <w:r w:rsidR="00553987" w:rsidRPr="00AA7A27">
        <w:rPr>
          <w:lang w:val="en-US"/>
        </w:rPr>
        <w:t xml:space="preserve"> (See Section </w:t>
      </w:r>
      <w:r w:rsidR="00CD0CBE">
        <w:fldChar w:fldCharType="begin"/>
      </w:r>
      <w:r w:rsidR="00CD0CBE">
        <w:instrText xml:space="preserve"> REF _Ref339008039 \r \h  \* MERGEFORMAT </w:instrText>
      </w:r>
      <w:r w:rsidR="00CD0CBE">
        <w:fldChar w:fldCharType="separate"/>
      </w:r>
      <w:r w:rsidR="00B772CA" w:rsidRPr="00B772CA">
        <w:rPr>
          <w:lang w:val="en-US"/>
        </w:rPr>
        <w:t>3.5.3</w:t>
      </w:r>
      <w:r w:rsidR="00CD0CBE">
        <w:fldChar w:fldCharType="end"/>
      </w:r>
      <w:r w:rsidR="00553987" w:rsidRPr="00AA7A27">
        <w:rPr>
          <w:lang w:val="en-US"/>
        </w:rPr>
        <w:t>)</w:t>
      </w:r>
      <w:r w:rsidRPr="00AA7A27">
        <w:rPr>
          <w:lang w:val="en-US"/>
        </w:rPr>
        <w:t xml:space="preserve">. </w:t>
      </w:r>
    </w:p>
    <w:p w:rsidR="00770D5C" w:rsidRPr="00AA7A27" w:rsidRDefault="009807D5" w:rsidP="00770D5C">
      <w:pPr>
        <w:pStyle w:val="Titre3"/>
        <w:rPr>
          <w:rFonts w:eastAsia="Batang"/>
          <w:lang w:val="en-US"/>
        </w:rPr>
      </w:pPr>
      <w:bookmarkStart w:id="418" w:name="_Toc474430239"/>
      <w:r w:rsidRPr="00AA7A27">
        <w:rPr>
          <w:rFonts w:eastAsia="Batang"/>
          <w:lang w:val="en-US"/>
        </w:rPr>
        <w:t xml:space="preserve">PSA Level 2 total </w:t>
      </w:r>
      <w:r w:rsidR="00770D5C" w:rsidRPr="00AA7A27">
        <w:rPr>
          <w:rFonts w:eastAsia="Batang"/>
          <w:lang w:val="en-US"/>
        </w:rPr>
        <w:t>risk measure</w:t>
      </w:r>
      <w:bookmarkEnd w:id="418"/>
      <w:r w:rsidR="00770D5C" w:rsidRPr="00AA7A27">
        <w:rPr>
          <w:rFonts w:eastAsia="Batang"/>
          <w:lang w:val="en-US"/>
        </w:rPr>
        <w:t xml:space="preserve"> </w:t>
      </w:r>
    </w:p>
    <w:p w:rsidR="009807D5" w:rsidRPr="00AA7A27" w:rsidRDefault="006B438E" w:rsidP="00770D5C">
      <w:pPr>
        <w:rPr>
          <w:bCs/>
          <w:lang w:val="en-US"/>
        </w:rPr>
      </w:pPr>
      <w:r w:rsidRPr="00AA7A27">
        <w:rPr>
          <w:bCs/>
          <w:lang w:val="en-US"/>
        </w:rPr>
        <w:t xml:space="preserve">Depending on </w:t>
      </w:r>
      <w:r w:rsidR="00F076BF" w:rsidRPr="00AA7A27">
        <w:rPr>
          <w:bCs/>
          <w:lang w:val="en-US"/>
        </w:rPr>
        <w:t>judgments</w:t>
      </w:r>
      <w:r w:rsidRPr="00AA7A27">
        <w:rPr>
          <w:bCs/>
          <w:lang w:val="en-US"/>
        </w:rPr>
        <w:t xml:space="preserve"> involving also non-scientific considerations</w:t>
      </w:r>
      <w:r w:rsidR="009807D5" w:rsidRPr="00AA7A27">
        <w:rPr>
          <w:bCs/>
          <w:lang w:val="en-US"/>
        </w:rPr>
        <w:t>,</w:t>
      </w:r>
      <w:r w:rsidRPr="00AA7A27">
        <w:rPr>
          <w:bCs/>
          <w:lang w:val="en-US"/>
        </w:rPr>
        <w:t xml:space="preserve"> the “total risk” of any installation can be defined in very different ways, e.g. in loss of value (of the plant and for the environment), or in health effects</w:t>
      </w:r>
      <w:r w:rsidR="009807D5" w:rsidRPr="00AA7A27">
        <w:rPr>
          <w:bCs/>
          <w:lang w:val="en-US"/>
        </w:rPr>
        <w:t xml:space="preserve"> - </w:t>
      </w:r>
      <w:r w:rsidRPr="00AA7A27">
        <w:rPr>
          <w:bCs/>
          <w:lang w:val="en-US"/>
        </w:rPr>
        <w:t>which are far from being a</w:t>
      </w:r>
      <w:r w:rsidR="009807D5" w:rsidRPr="00AA7A27">
        <w:rPr>
          <w:bCs/>
          <w:lang w:val="en-US"/>
        </w:rPr>
        <w:t xml:space="preserve"> precise category (e.g. distinguish long-term health effects from short-term health effects). The present document is about PSA level 2, and therefore the “total risk” which is proposed here is related to PSA level 2 issues. </w:t>
      </w:r>
    </w:p>
    <w:p w:rsidR="00227519" w:rsidRPr="00AA7A27" w:rsidRDefault="00573BF2" w:rsidP="00770D5C">
      <w:pPr>
        <w:rPr>
          <w:bCs/>
          <w:lang w:val="en-US"/>
        </w:rPr>
      </w:pPr>
      <w:r w:rsidRPr="00AA7A27">
        <w:rPr>
          <w:bCs/>
          <w:lang w:val="en-US"/>
        </w:rPr>
        <w:t xml:space="preserve">The </w:t>
      </w:r>
      <w:r w:rsidR="00770D5C" w:rsidRPr="00AA7A27">
        <w:rPr>
          <w:bCs/>
          <w:lang w:val="en-US"/>
        </w:rPr>
        <w:t xml:space="preserve">total risk measure </w:t>
      </w:r>
      <w:r w:rsidRPr="00AA7A27">
        <w:rPr>
          <w:bCs/>
          <w:lang w:val="en-US"/>
        </w:rPr>
        <w:t xml:space="preserve">should be seen as an optional </w:t>
      </w:r>
      <w:r w:rsidR="00770D5C" w:rsidRPr="00AA7A27">
        <w:rPr>
          <w:bCs/>
          <w:lang w:val="en-US"/>
        </w:rPr>
        <w:t xml:space="preserve">complement to the many other risk measures under consideration. This can be done by integrating the risk due to all event sequences into a single metric by summing up all activity releases multiplied by their respective frequencies. Technically, this is </w:t>
      </w:r>
      <w:r w:rsidR="00DD46F9" w:rsidRPr="00AA7A27">
        <w:rPr>
          <w:bCs/>
          <w:lang w:val="en-US"/>
        </w:rPr>
        <w:t xml:space="preserve">could be </w:t>
      </w:r>
      <w:r w:rsidR="00770D5C" w:rsidRPr="00AA7A27">
        <w:rPr>
          <w:bCs/>
          <w:lang w:val="en-US"/>
        </w:rPr>
        <w:t xml:space="preserve">an easy task </w:t>
      </w:r>
      <w:r w:rsidR="00DD46F9" w:rsidRPr="00AA7A27">
        <w:rPr>
          <w:bCs/>
          <w:lang w:val="en-US"/>
        </w:rPr>
        <w:t xml:space="preserve">if </w:t>
      </w:r>
      <w:r w:rsidR="00770D5C" w:rsidRPr="00AA7A27">
        <w:rPr>
          <w:bCs/>
          <w:lang w:val="en-US"/>
        </w:rPr>
        <w:t>L2 PSA</w:t>
      </w:r>
      <w:r w:rsidR="00DD46F9" w:rsidRPr="00AA7A27">
        <w:rPr>
          <w:bCs/>
          <w:lang w:val="en-US"/>
        </w:rPr>
        <w:t>s</w:t>
      </w:r>
      <w:r w:rsidR="00770D5C" w:rsidRPr="00AA7A27">
        <w:rPr>
          <w:bCs/>
          <w:lang w:val="en-US"/>
        </w:rPr>
        <w:t xml:space="preserve"> ha</w:t>
      </w:r>
      <w:r w:rsidR="00DD46F9" w:rsidRPr="00AA7A27">
        <w:rPr>
          <w:bCs/>
          <w:lang w:val="en-US"/>
        </w:rPr>
        <w:t>ve</w:t>
      </w:r>
      <w:r w:rsidR="00770D5C" w:rsidRPr="00AA7A27">
        <w:rPr>
          <w:bCs/>
          <w:lang w:val="en-US"/>
        </w:rPr>
        <w:t xml:space="preserve"> all accident sequences and release categories with their respective source terms available.</w:t>
      </w:r>
      <w:r w:rsidR="00227519" w:rsidRPr="00AA7A27">
        <w:rPr>
          <w:bCs/>
          <w:lang w:val="en-US"/>
        </w:rPr>
        <w:t xml:space="preserve"> When documenting the PSA, the contributions of interest to the total risk measure (e.g. specific initiating events, failure of particular SSCs, and potential of SAMs for reducing the total risk) should be indicated. Based on this information, it is possible to assess whether the design is well balanced, or whether particular improvements should be considered. </w:t>
      </w:r>
    </w:p>
    <w:p w:rsidR="00360DE5" w:rsidRPr="00AA7A27" w:rsidRDefault="00360DE5" w:rsidP="00770D5C">
      <w:pPr>
        <w:rPr>
          <w:bCs/>
          <w:lang w:val="en-US"/>
        </w:rPr>
      </w:pPr>
      <w:r w:rsidRPr="00AA7A27">
        <w:rPr>
          <w:bCs/>
          <w:lang w:val="en-US"/>
        </w:rPr>
        <w:t xml:space="preserve">The parameter Common Risk Target (presented in Section </w:t>
      </w:r>
      <w:r w:rsidR="00CD0CBE">
        <w:fldChar w:fldCharType="begin"/>
      </w:r>
      <w:r w:rsidR="00CD0CBE">
        <w:instrText xml:space="preserve"> REF _Ref342665548 \r \h  \* MERGEFORMAT </w:instrText>
      </w:r>
      <w:r w:rsidR="00CD0CBE">
        <w:fldChar w:fldCharType="separate"/>
      </w:r>
      <w:r w:rsidR="00B772CA" w:rsidRPr="00B772CA">
        <w:rPr>
          <w:bCs/>
          <w:lang w:val="en-US"/>
        </w:rPr>
        <w:t>3.10.2</w:t>
      </w:r>
      <w:r w:rsidR="00CD0CBE">
        <w:fldChar w:fldCharType="end"/>
      </w:r>
      <w:r w:rsidRPr="00AA7A27">
        <w:rPr>
          <w:bCs/>
          <w:lang w:val="en-US"/>
        </w:rPr>
        <w:t xml:space="preserve">) is an example </w:t>
      </w:r>
      <w:r w:rsidR="00CC0483" w:rsidRPr="00AA7A27">
        <w:rPr>
          <w:bCs/>
          <w:lang w:val="en-US"/>
        </w:rPr>
        <w:t>application of</w:t>
      </w:r>
      <w:r w:rsidRPr="00AA7A27">
        <w:rPr>
          <w:bCs/>
          <w:lang w:val="en-US"/>
        </w:rPr>
        <w:t xml:space="preserve"> “total risk”. It is the risk of releases expressed in Bq which is possible to convert to absolute consequences to be comparable to other industrial risks.</w:t>
      </w:r>
    </w:p>
    <w:p w:rsidR="00360DE5" w:rsidRPr="00AA7A27" w:rsidRDefault="00360DE5" w:rsidP="00770D5C">
      <w:pPr>
        <w:rPr>
          <w:bCs/>
          <w:lang w:val="en-US"/>
        </w:rPr>
      </w:pPr>
    </w:p>
    <w:p w:rsidR="00DD46F9" w:rsidRPr="00AA7A27" w:rsidRDefault="001C1710" w:rsidP="00770D5C">
      <w:pPr>
        <w:rPr>
          <w:bCs/>
          <w:lang w:val="en-US"/>
        </w:rPr>
      </w:pPr>
      <w:r w:rsidRPr="00AA7A27">
        <w:rPr>
          <w:bCs/>
          <w:lang w:val="en-US"/>
        </w:rPr>
        <w:lastRenderedPageBreak/>
        <w:t>Note that</w:t>
      </w:r>
      <w:r w:rsidR="00DD46F9" w:rsidRPr="00AA7A27">
        <w:rPr>
          <w:bCs/>
          <w:lang w:val="en-US"/>
        </w:rPr>
        <w:t>, as the sum will add a lot of assumptions with different level of conservatism, it may be hard to get conclusive insights from this metric. Considering that</w:t>
      </w:r>
      <w:r w:rsidR="00CC0483" w:rsidRPr="00AA7A27">
        <w:rPr>
          <w:bCs/>
          <w:lang w:val="en-US"/>
        </w:rPr>
        <w:t>,</w:t>
      </w:r>
      <w:r w:rsidR="00DD46F9" w:rsidRPr="00AA7A27">
        <w:rPr>
          <w:bCs/>
          <w:lang w:val="en-US"/>
        </w:rPr>
        <w:t xml:space="preserve"> it is presented here as an optional metric to be discussed with the country's safety regulator. </w:t>
      </w:r>
    </w:p>
    <w:p w:rsidR="00B011F7" w:rsidRPr="00AA7A27" w:rsidRDefault="00B011F7" w:rsidP="00770D5C">
      <w:pPr>
        <w:rPr>
          <w:bCs/>
          <w:lang w:val="en-US"/>
        </w:rPr>
      </w:pPr>
    </w:p>
    <w:p w:rsidR="00770D5C" w:rsidRPr="00AA7A27" w:rsidRDefault="00DD46F9" w:rsidP="00BF36DA">
      <w:pPr>
        <w:rPr>
          <w:bCs/>
          <w:lang w:val="en-US"/>
        </w:rPr>
      </w:pPr>
      <w:r w:rsidRPr="00AA7A27">
        <w:rPr>
          <w:bCs/>
          <w:lang w:val="en-US"/>
        </w:rPr>
        <w:t>Nevertheless, t</w:t>
      </w:r>
      <w:r w:rsidR="00573BF2" w:rsidRPr="00AA7A27">
        <w:rPr>
          <w:bCs/>
          <w:lang w:val="en-US"/>
        </w:rPr>
        <w:t xml:space="preserve">he </w:t>
      </w:r>
      <w:r w:rsidR="00770D5C" w:rsidRPr="00AA7A27">
        <w:rPr>
          <w:bCs/>
          <w:lang w:val="en-US"/>
        </w:rPr>
        <w:t xml:space="preserve">attractive feature which comes with a single value for the integral risk is the possibility to compare it to a risk target. </w:t>
      </w:r>
      <w:r w:rsidR="002E078C">
        <w:rPr>
          <w:bCs/>
          <w:lang w:val="en-US"/>
        </w:rPr>
        <w:t xml:space="preserve">It </w:t>
      </w:r>
      <w:r w:rsidR="0038056B">
        <w:rPr>
          <w:bCs/>
          <w:lang w:val="en-US"/>
        </w:rPr>
        <w:t>allows for</w:t>
      </w:r>
      <w:r w:rsidR="002E078C">
        <w:rPr>
          <w:bCs/>
          <w:lang w:val="en-US"/>
        </w:rPr>
        <w:t xml:space="preserve"> </w:t>
      </w:r>
      <w:r w:rsidR="0038056B">
        <w:rPr>
          <w:bCs/>
          <w:lang w:val="en-US"/>
        </w:rPr>
        <w:t xml:space="preserve">“rational” decision making and for </w:t>
      </w:r>
      <w:r w:rsidR="002E078C">
        <w:rPr>
          <w:bCs/>
          <w:lang w:val="en-US"/>
        </w:rPr>
        <w:t xml:space="preserve">the identification of an “optimal decision” in principle. </w:t>
      </w:r>
      <w:r w:rsidR="00770D5C" w:rsidRPr="00AA7A27">
        <w:rPr>
          <w:bCs/>
          <w:lang w:val="en-US"/>
        </w:rPr>
        <w:t xml:space="preserve">Without such a single value, having just a set of several </w:t>
      </w:r>
      <w:r w:rsidR="00227519" w:rsidRPr="00AA7A27">
        <w:rPr>
          <w:bCs/>
          <w:lang w:val="en-US"/>
        </w:rPr>
        <w:t xml:space="preserve">different </w:t>
      </w:r>
      <w:r w:rsidR="00770D5C" w:rsidRPr="00AA7A27">
        <w:rPr>
          <w:bCs/>
          <w:lang w:val="en-US"/>
        </w:rPr>
        <w:t xml:space="preserve">L2 PSA result characteristics, it is difficult to define a consistent set of various targets for the different result characteristics. </w:t>
      </w:r>
      <w:r w:rsidR="00227519" w:rsidRPr="00AA7A27">
        <w:rPr>
          <w:bCs/>
          <w:lang w:val="en-US"/>
        </w:rPr>
        <w:t xml:space="preserve">Unfortunately, the PSA community is far from having consensus on what might be the proper harmonized risk measure. </w:t>
      </w:r>
      <w:r w:rsidR="00770D5C" w:rsidRPr="00AA7A27">
        <w:rPr>
          <w:bCs/>
          <w:lang w:val="en-US"/>
        </w:rPr>
        <w:t xml:space="preserve">It is recommended that pertinent </w:t>
      </w:r>
      <w:r w:rsidR="00CC0483" w:rsidRPr="00AA7A27">
        <w:rPr>
          <w:bCs/>
          <w:lang w:val="en-US"/>
        </w:rPr>
        <w:t xml:space="preserve">working </w:t>
      </w:r>
      <w:r w:rsidR="00770D5C" w:rsidRPr="00AA7A27">
        <w:rPr>
          <w:bCs/>
          <w:lang w:val="en-US"/>
        </w:rPr>
        <w:t>groups precisely define the appropriate metrics (e.g. the isotopes to be considered, or the introduction of a parameter representing health effects</w:t>
      </w:r>
      <w:r w:rsidR="006B438E" w:rsidRPr="00AA7A27">
        <w:rPr>
          <w:bCs/>
          <w:lang w:val="en-US"/>
        </w:rPr>
        <w:t xml:space="preserve"> for the individual isotopes</w:t>
      </w:r>
      <w:r w:rsidR="00770D5C" w:rsidRPr="00AA7A27">
        <w:rPr>
          <w:bCs/>
          <w:lang w:val="en-US"/>
        </w:rPr>
        <w:t xml:space="preserve">). Once such a metric is defined </w:t>
      </w:r>
      <w:r w:rsidR="0038056B">
        <w:rPr>
          <w:bCs/>
          <w:lang w:val="en-US"/>
        </w:rPr>
        <w:t xml:space="preserve">and accepted by decision makers </w:t>
      </w:r>
      <w:r w:rsidR="00770D5C" w:rsidRPr="00AA7A27">
        <w:rPr>
          <w:bCs/>
          <w:lang w:val="en-US"/>
        </w:rPr>
        <w:t xml:space="preserve">it can be completed by pertinent risk targets. </w:t>
      </w:r>
    </w:p>
    <w:p w:rsidR="00245AA5" w:rsidRPr="00AA7A27" w:rsidRDefault="00245AA5" w:rsidP="00E30B73">
      <w:pPr>
        <w:rPr>
          <w:rFonts w:eastAsia="Batang"/>
          <w:lang w:val="en-US"/>
        </w:rPr>
      </w:pPr>
    </w:p>
    <w:p w:rsidR="00F128AA" w:rsidRPr="00AA7A27" w:rsidRDefault="00343541" w:rsidP="00265466">
      <w:pPr>
        <w:pStyle w:val="Titre1"/>
        <w:rPr>
          <w:lang w:val="en-US"/>
        </w:rPr>
      </w:pPr>
      <w:bookmarkStart w:id="419" w:name="_Ref393116316"/>
      <w:bookmarkStart w:id="420" w:name="_Toc474430240"/>
      <w:r w:rsidRPr="00AA7A27">
        <w:rPr>
          <w:lang w:val="en-US"/>
        </w:rPr>
        <w:t>Conclusion</w:t>
      </w:r>
      <w:bookmarkEnd w:id="419"/>
      <w:r w:rsidR="007B4A25" w:rsidRPr="00AA7A27">
        <w:rPr>
          <w:lang w:val="en-US"/>
        </w:rPr>
        <w:t>s</w:t>
      </w:r>
      <w:bookmarkEnd w:id="420"/>
    </w:p>
    <w:p w:rsidR="00A80487" w:rsidRPr="00AA7A27" w:rsidRDefault="00A80487">
      <w:pPr>
        <w:rPr>
          <w:lang w:val="en-US"/>
        </w:rPr>
      </w:pPr>
      <w:r w:rsidRPr="00AA7A27">
        <w:rPr>
          <w:lang w:val="en-US"/>
        </w:rPr>
        <w:t xml:space="preserve">This report provides a review of the main used risk measures for Level 1 and Level 2 PSA. </w:t>
      </w:r>
      <w:r w:rsidR="00927D18" w:rsidRPr="00AA7A27">
        <w:rPr>
          <w:lang w:val="en-US"/>
        </w:rPr>
        <w:t xml:space="preserve">It depicts their </w:t>
      </w:r>
      <w:r w:rsidRPr="00AA7A27">
        <w:rPr>
          <w:lang w:val="en-US"/>
        </w:rPr>
        <w:t>advantage</w:t>
      </w:r>
      <w:r w:rsidR="00927D18" w:rsidRPr="00AA7A27">
        <w:rPr>
          <w:lang w:val="en-US"/>
        </w:rPr>
        <w:t>s</w:t>
      </w:r>
      <w:r w:rsidRPr="00AA7A27">
        <w:rPr>
          <w:lang w:val="en-US"/>
        </w:rPr>
        <w:t xml:space="preserve">, limitations and disadvantages </w:t>
      </w:r>
      <w:r w:rsidR="00927D18" w:rsidRPr="00AA7A27">
        <w:rPr>
          <w:lang w:val="en-US"/>
        </w:rPr>
        <w:t>and</w:t>
      </w:r>
      <w:r w:rsidRPr="00AA7A27">
        <w:rPr>
          <w:lang w:val="en-US"/>
        </w:rPr>
        <w:t xml:space="preserve"> develop</w:t>
      </w:r>
      <w:r w:rsidR="00927D18" w:rsidRPr="00AA7A27">
        <w:rPr>
          <w:lang w:val="en-US"/>
        </w:rPr>
        <w:t>s</w:t>
      </w:r>
      <w:r w:rsidRPr="00AA7A27">
        <w:rPr>
          <w:lang w:val="en-US"/>
        </w:rPr>
        <w:t xml:space="preserve"> some more precise risk measures relevant for extended PSAs and helpful for decision-making</w:t>
      </w:r>
      <w:r w:rsidR="00927D18" w:rsidRPr="00AA7A27">
        <w:rPr>
          <w:lang w:val="en-US"/>
        </w:rPr>
        <w:t xml:space="preserve">. This report does not recommend or suggest any quantitative value for the risk measures; this is part of </w:t>
      </w:r>
      <w:r w:rsidR="006D20B8" w:rsidRPr="00AA7A27">
        <w:rPr>
          <w:lang w:val="en-US"/>
        </w:rPr>
        <w:t xml:space="preserve">other </w:t>
      </w:r>
      <w:r w:rsidR="00927D18" w:rsidRPr="00AA7A27">
        <w:rPr>
          <w:lang w:val="en-US"/>
        </w:rPr>
        <w:t xml:space="preserve">ASAMPSA_E </w:t>
      </w:r>
      <w:r w:rsidR="006D20B8" w:rsidRPr="00AA7A27">
        <w:rPr>
          <w:lang w:val="en-US"/>
        </w:rPr>
        <w:t>deliverables</w:t>
      </w:r>
      <w:r w:rsidR="00927D18" w:rsidRPr="00AA7A27">
        <w:rPr>
          <w:lang w:val="en-US"/>
        </w:rPr>
        <w:t xml:space="preserve">. It does not also </w:t>
      </w:r>
      <w:r w:rsidR="008A0611" w:rsidRPr="00AA7A27">
        <w:rPr>
          <w:lang w:val="en-US"/>
        </w:rPr>
        <w:t>discuss decision-making</w:t>
      </w:r>
      <w:r w:rsidR="00CC0483" w:rsidRPr="00AA7A27">
        <w:rPr>
          <w:lang w:val="en-US"/>
        </w:rPr>
        <w:t xml:space="preserve"> in detail</w:t>
      </w:r>
      <w:r w:rsidR="008A0611" w:rsidRPr="00AA7A27">
        <w:rPr>
          <w:lang w:val="en-US"/>
        </w:rPr>
        <w:t>.</w:t>
      </w:r>
    </w:p>
    <w:p w:rsidR="008A0611" w:rsidRPr="00AA7A27" w:rsidRDefault="008A0611" w:rsidP="00552F4E">
      <w:pPr>
        <w:rPr>
          <w:lang w:val="en-US"/>
        </w:rPr>
      </w:pPr>
    </w:p>
    <w:p w:rsidR="008A0611" w:rsidRPr="00AA7A27" w:rsidRDefault="008A0611" w:rsidP="00552F4E">
      <w:pPr>
        <w:rPr>
          <w:lang w:val="en-US"/>
        </w:rPr>
      </w:pPr>
      <w:r w:rsidRPr="00AA7A27">
        <w:rPr>
          <w:lang w:val="en-US"/>
        </w:rPr>
        <w:t xml:space="preserve">The risk measures investigated in this report are related to the Level 1 and Level 2 PSA for NPP and the properties and characteristics of risk actually included into these models. Level 3 PSA risk measures and risk metrics are not discussed in this report but Level 2+ risk measures </w:t>
      </w:r>
      <w:r w:rsidR="006D20B8" w:rsidRPr="00AA7A27">
        <w:rPr>
          <w:lang w:val="en-US"/>
        </w:rPr>
        <w:t xml:space="preserve">are partly </w:t>
      </w:r>
      <w:r w:rsidRPr="00AA7A27">
        <w:rPr>
          <w:lang w:val="en-US"/>
        </w:rPr>
        <w:t xml:space="preserve">covered. Level 2+ PSA is understood as a Level 2 PSA with a simple model extension for releases to the environment of the plant (Level 3 PSA). </w:t>
      </w:r>
    </w:p>
    <w:p w:rsidR="008A0611" w:rsidRPr="00AA7A27" w:rsidRDefault="008A0611">
      <w:pPr>
        <w:rPr>
          <w:lang w:val="en-US"/>
        </w:rPr>
      </w:pPr>
    </w:p>
    <w:p w:rsidR="00BC1CAB" w:rsidRPr="00AA7A27" w:rsidRDefault="00927D18">
      <w:pPr>
        <w:rPr>
          <w:lang w:val="en-US"/>
        </w:rPr>
      </w:pPr>
      <w:r w:rsidRPr="00AA7A27">
        <w:rPr>
          <w:lang w:val="en-US"/>
        </w:rPr>
        <w:t xml:space="preserve">The choice of one appropriate risk measure or a set of risk measures depends on the decision making approach as well as on the issue to be decided. </w:t>
      </w:r>
      <w:r w:rsidR="00BC1CAB" w:rsidRPr="00AA7A27">
        <w:rPr>
          <w:lang w:val="en-US"/>
        </w:rPr>
        <w:t xml:space="preserve">The general approach </w:t>
      </w:r>
      <w:r w:rsidR="003503CC" w:rsidRPr="00AA7A27">
        <w:rPr>
          <w:lang w:val="en-US"/>
        </w:rPr>
        <w:t>for decision making</w:t>
      </w:r>
      <w:r w:rsidR="00BC1CAB" w:rsidRPr="00AA7A27">
        <w:rPr>
          <w:lang w:val="en-US"/>
        </w:rPr>
        <w:t xml:space="preserve">, as discussed in Section </w:t>
      </w:r>
      <w:r w:rsidR="00CD0CBE">
        <w:fldChar w:fldCharType="begin"/>
      </w:r>
      <w:r w:rsidR="00CD0CBE">
        <w:instrText xml:space="preserve"> REF _Ref323481363 \r \h  \* MERGEFORMAT </w:instrText>
      </w:r>
      <w:r w:rsidR="00CD0CBE">
        <w:fldChar w:fldCharType="separate"/>
      </w:r>
      <w:r w:rsidR="00B772CA" w:rsidRPr="00B772CA">
        <w:rPr>
          <w:lang w:val="en-US"/>
        </w:rPr>
        <w:t>1.5</w:t>
      </w:r>
      <w:r w:rsidR="00CD0CBE">
        <w:fldChar w:fldCharType="end"/>
      </w:r>
      <w:r w:rsidR="00BC1CAB" w:rsidRPr="00AA7A27">
        <w:rPr>
          <w:lang w:val="en-US"/>
        </w:rPr>
        <w:t xml:space="preserve">, aims at a multi-attribute decision making approach. This can include the use of several risk measures as appropriate. </w:t>
      </w:r>
    </w:p>
    <w:p w:rsidR="008551EE" w:rsidRPr="00AA7A27" w:rsidRDefault="008551EE">
      <w:pPr>
        <w:rPr>
          <w:lang w:val="en-US"/>
        </w:rPr>
      </w:pPr>
    </w:p>
    <w:p w:rsidR="00DD27B1" w:rsidRPr="00AA7A27" w:rsidRDefault="008551EE" w:rsidP="00DD27B1">
      <w:pPr>
        <w:rPr>
          <w:lang w:val="en-US"/>
        </w:rPr>
      </w:pPr>
      <w:r w:rsidRPr="00AA7A27">
        <w:rPr>
          <w:bCs/>
          <w:lang w:val="en-US"/>
        </w:rPr>
        <w:t>T</w:t>
      </w:r>
      <w:r w:rsidR="0052728A" w:rsidRPr="00AA7A27">
        <w:rPr>
          <w:bCs/>
          <w:lang w:val="en-US"/>
        </w:rPr>
        <w:t>here is a general trend for the safety goals to be developed in a hierarchical structure, from qualitative high levels, rooted in the legislation, to more quantitative, surrogate safety goals (e.g., CDF, LRF) at the bottom levels.</w:t>
      </w:r>
      <w:r w:rsidR="00DD27B1" w:rsidRPr="00AA7A27">
        <w:rPr>
          <w:bCs/>
          <w:lang w:val="en-US"/>
        </w:rPr>
        <w:t xml:space="preserve"> </w:t>
      </w:r>
      <w:r w:rsidR="00DD27B1" w:rsidRPr="00AA7A27">
        <w:rPr>
          <w:lang w:val="en-US"/>
        </w:rPr>
        <w:t xml:space="preserve">The demonstration of relationship between the surrogate metrics (e.g., CDF, LRF) to upper level objectives remains a subject that needs to be clearly defined. </w:t>
      </w:r>
    </w:p>
    <w:p w:rsidR="00261B66" w:rsidRPr="00AA7A27" w:rsidRDefault="00261B66">
      <w:pPr>
        <w:rPr>
          <w:lang w:val="en-US"/>
        </w:rPr>
      </w:pPr>
    </w:p>
    <w:p w:rsidR="008551EE" w:rsidRPr="00AA7A27" w:rsidRDefault="007062EF" w:rsidP="000B6728">
      <w:pPr>
        <w:rPr>
          <w:lang w:val="en-US"/>
        </w:rPr>
      </w:pPr>
      <w:r w:rsidRPr="00AA7A27">
        <w:rPr>
          <w:lang w:val="en-US"/>
        </w:rPr>
        <w:t xml:space="preserve">The report shows that many of currently used risk metrics provide useful information if several </w:t>
      </w:r>
      <w:r w:rsidR="000B6728" w:rsidRPr="00AA7A27">
        <w:rPr>
          <w:lang w:val="en-US"/>
        </w:rPr>
        <w:t xml:space="preserve">of them </w:t>
      </w:r>
      <w:r w:rsidRPr="00AA7A27">
        <w:rPr>
          <w:lang w:val="en-US"/>
        </w:rPr>
        <w:t xml:space="preserve">are used </w:t>
      </w:r>
      <w:r w:rsidR="000B6728" w:rsidRPr="00AA7A27">
        <w:rPr>
          <w:lang w:val="en-US"/>
        </w:rPr>
        <w:t xml:space="preserve">in combination </w:t>
      </w:r>
      <w:r w:rsidRPr="00AA7A27">
        <w:rPr>
          <w:lang w:val="en-US"/>
        </w:rPr>
        <w:t xml:space="preserve">appropriately. </w:t>
      </w:r>
    </w:p>
    <w:p w:rsidR="001C1710" w:rsidRPr="00AA7A27" w:rsidRDefault="001C1710" w:rsidP="000B6728">
      <w:pPr>
        <w:rPr>
          <w:lang w:val="en-US"/>
        </w:rPr>
      </w:pPr>
    </w:p>
    <w:p w:rsidR="00E60FF5" w:rsidRPr="00AA7A27" w:rsidRDefault="00E60FF5" w:rsidP="000B6728">
      <w:pPr>
        <w:rPr>
          <w:lang w:val="en-US"/>
        </w:rPr>
      </w:pPr>
      <w:r w:rsidRPr="00AA7A27">
        <w:rPr>
          <w:lang w:val="en-US"/>
        </w:rPr>
        <w:lastRenderedPageBreak/>
        <w:t xml:space="preserve">A throughout review of each currently used risk metric is provided in Section </w:t>
      </w:r>
      <w:r w:rsidR="00CD0CBE">
        <w:fldChar w:fldCharType="begin"/>
      </w:r>
      <w:r w:rsidR="00CD0CBE">
        <w:instrText xml:space="preserve"> REF _Ref293303431 \r \h  \* MERGEFORMAT </w:instrText>
      </w:r>
      <w:r w:rsidR="00CD0CBE">
        <w:fldChar w:fldCharType="separate"/>
      </w:r>
      <w:r w:rsidR="00B772CA">
        <w:t>2</w:t>
      </w:r>
      <w:r w:rsidR="00CD0CBE">
        <w:fldChar w:fldCharType="end"/>
      </w:r>
      <w:r w:rsidRPr="00AA7A27">
        <w:rPr>
          <w:lang w:val="en-US"/>
        </w:rPr>
        <w:t xml:space="preserve"> for Level 1 PSA and in Section </w:t>
      </w:r>
      <w:r w:rsidR="00CD0CBE">
        <w:fldChar w:fldCharType="begin"/>
      </w:r>
      <w:r w:rsidR="00CD0CBE">
        <w:instrText xml:space="preserve"> REF _Ref293303455 \r \h  \* MERGEFORMAT </w:instrText>
      </w:r>
      <w:r w:rsidR="00CD0CBE">
        <w:fldChar w:fldCharType="separate"/>
      </w:r>
      <w:r w:rsidR="00B772CA">
        <w:t>3</w:t>
      </w:r>
      <w:r w:rsidR="00CD0CBE">
        <w:fldChar w:fldCharType="end"/>
      </w:r>
      <w:r w:rsidRPr="00AA7A27">
        <w:rPr>
          <w:lang w:val="en-US"/>
        </w:rPr>
        <w:t xml:space="preserve"> for Level 2. Not all of them are widely used or agreed on</w:t>
      </w:r>
      <w:r w:rsidR="001C6572" w:rsidRPr="00AA7A27">
        <w:rPr>
          <w:lang w:val="en-US"/>
        </w:rPr>
        <w:t>.</w:t>
      </w:r>
    </w:p>
    <w:p w:rsidR="001A450D" w:rsidRPr="00AA7A27" w:rsidRDefault="00196765">
      <w:pPr>
        <w:rPr>
          <w:lang w:val="en-US"/>
        </w:rPr>
      </w:pPr>
      <w:r w:rsidRPr="00AA7A27">
        <w:rPr>
          <w:lang w:val="en-US"/>
        </w:rPr>
        <w:t xml:space="preserve">Section </w:t>
      </w:r>
      <w:r w:rsidR="00CD0CBE">
        <w:fldChar w:fldCharType="begin"/>
      </w:r>
      <w:r w:rsidR="00CD0CBE">
        <w:instrText xml:space="preserve"> REF _Ref413933830 \r \h  \* MERGEFORMAT </w:instrText>
      </w:r>
      <w:r w:rsidR="00CD0CBE">
        <w:fldChar w:fldCharType="separate"/>
      </w:r>
      <w:r w:rsidR="00B772CA">
        <w:t>5</w:t>
      </w:r>
      <w:r w:rsidR="00CD0CBE">
        <w:fldChar w:fldCharType="end"/>
      </w:r>
      <w:r w:rsidR="003503CC" w:rsidRPr="00AA7A27">
        <w:rPr>
          <w:lang w:val="en-US"/>
        </w:rPr>
        <w:t xml:space="preserve"> </w:t>
      </w:r>
      <w:r w:rsidR="00261B66" w:rsidRPr="00AA7A27">
        <w:rPr>
          <w:lang w:val="en-US"/>
        </w:rPr>
        <w:t xml:space="preserve">provides recommendation on risk metrics </w:t>
      </w:r>
      <w:r w:rsidR="006D20B8" w:rsidRPr="00AA7A27">
        <w:rPr>
          <w:lang w:val="en-US"/>
        </w:rPr>
        <w:t xml:space="preserve">to be used </w:t>
      </w:r>
      <w:r w:rsidR="00261B66" w:rsidRPr="00AA7A27">
        <w:rPr>
          <w:lang w:val="en-US"/>
        </w:rPr>
        <w:t xml:space="preserve">for an extended PSA. </w:t>
      </w:r>
      <w:r w:rsidR="006D20B8" w:rsidRPr="00AA7A27">
        <w:rPr>
          <w:lang w:val="en-US"/>
        </w:rPr>
        <w:t xml:space="preserve">For Level 1 PSA, Fuel Damage Frequency and Radionuclide Mobilization Frequency are recommended. For Level 2 PSA, the characterization of loss of containment function and a total risk measure based on the aggregated activity releases of all sequences </w:t>
      </w:r>
      <w:r w:rsidR="009807D5" w:rsidRPr="00AA7A27">
        <w:rPr>
          <w:lang w:val="en-US"/>
        </w:rPr>
        <w:t xml:space="preserve">rated by their frequencies </w:t>
      </w:r>
      <w:r w:rsidR="00F076BF" w:rsidRPr="00AA7A27">
        <w:rPr>
          <w:lang w:val="en-US"/>
        </w:rPr>
        <w:t xml:space="preserve">are </w:t>
      </w:r>
      <w:r w:rsidR="006D20B8" w:rsidRPr="00AA7A27">
        <w:rPr>
          <w:lang w:val="en-US"/>
        </w:rPr>
        <w:t>proposed.</w:t>
      </w:r>
    </w:p>
    <w:p w:rsidR="001C1710" w:rsidRPr="00AA7A27" w:rsidRDefault="001C1710">
      <w:pPr>
        <w:rPr>
          <w:lang w:val="en-US"/>
        </w:rPr>
      </w:pPr>
    </w:p>
    <w:p w:rsidR="0058315F" w:rsidRPr="00AA7A27" w:rsidRDefault="00DF7F8A">
      <w:pPr>
        <w:rPr>
          <w:lang w:val="en-US"/>
        </w:rPr>
      </w:pPr>
      <w:r w:rsidRPr="00AA7A27">
        <w:rPr>
          <w:lang w:val="en-US"/>
        </w:rPr>
        <w:t>It must be noted that</w:t>
      </w:r>
      <w:r w:rsidR="004D4695">
        <w:rPr>
          <w:rFonts w:eastAsia="Batang"/>
          <w:lang w:val="en-US"/>
        </w:rPr>
        <w:t xml:space="preserve"> there is</w:t>
      </w:r>
      <w:r w:rsidRPr="00AA7A27">
        <w:rPr>
          <w:lang w:val="en-US"/>
        </w:rPr>
        <w:t xml:space="preserve"> still a lot of work is ahead for the definition of site integrated risk metrics</w:t>
      </w:r>
      <w:r w:rsidR="00FC131A" w:rsidRPr="00AA7A27">
        <w:rPr>
          <w:lang w:val="en-US"/>
        </w:rPr>
        <w:t xml:space="preserve"> for extended PSA</w:t>
      </w:r>
      <w:r w:rsidRPr="00AA7A27">
        <w:rPr>
          <w:lang w:val="en-US"/>
        </w:rPr>
        <w:t xml:space="preserve">. </w:t>
      </w:r>
      <w:r w:rsidR="00567D02" w:rsidRPr="00AA7A27">
        <w:rPr>
          <w:lang w:val="en-US"/>
        </w:rPr>
        <w:t xml:space="preserve">There are many ongoing international efforts </w:t>
      </w:r>
      <w:r w:rsidR="00FC131A" w:rsidRPr="00AA7A27">
        <w:rPr>
          <w:lang w:val="en-US"/>
        </w:rPr>
        <w:t xml:space="preserve">to address some of the technical challenges as </w:t>
      </w:r>
      <w:r w:rsidRPr="00AA7A27">
        <w:rPr>
          <w:lang w:val="en-US"/>
        </w:rPr>
        <w:t xml:space="preserve">(e.g. </w:t>
      </w:r>
      <w:r w:rsidR="00C40A84" w:rsidRPr="00AA7A27">
        <w:rPr>
          <w:lang w:val="en-US"/>
        </w:rPr>
        <w:t xml:space="preserve">IAEA, </w:t>
      </w:r>
      <w:r w:rsidRPr="00AA7A27">
        <w:rPr>
          <w:lang w:val="en-US"/>
        </w:rPr>
        <w:t>USNRC</w:t>
      </w:r>
      <w:r w:rsidR="00C40A84" w:rsidRPr="00AA7A27">
        <w:rPr>
          <w:lang w:val="en-US"/>
        </w:rPr>
        <w:t>…</w:t>
      </w:r>
      <w:r w:rsidRPr="00AA7A27">
        <w:rPr>
          <w:lang w:val="en-US"/>
        </w:rPr>
        <w:t>):</w:t>
      </w:r>
    </w:p>
    <w:p w:rsidR="00DF7F8A" w:rsidRPr="00AA7A27" w:rsidRDefault="004D4695" w:rsidP="00DF7F8A">
      <w:pPr>
        <w:pStyle w:val="Paragraphedeliste"/>
        <w:numPr>
          <w:ilvl w:val="0"/>
          <w:numId w:val="134"/>
        </w:numPr>
        <w:rPr>
          <w:lang w:val="en-GB"/>
        </w:rPr>
      </w:pPr>
      <w:r>
        <w:rPr>
          <w:lang w:val="en-GB"/>
        </w:rPr>
        <w:t>i</w:t>
      </w:r>
      <w:r w:rsidR="00DF7F8A" w:rsidRPr="00AA7A27">
        <w:rPr>
          <w:lang w:val="en-GB"/>
        </w:rPr>
        <w:t>dentification and definition of integrated site risk metrics that measure multi-source effects.</w:t>
      </w:r>
    </w:p>
    <w:p w:rsidR="00DF7F8A" w:rsidRPr="00AA7A27" w:rsidRDefault="004D4695" w:rsidP="00DF7F8A">
      <w:pPr>
        <w:pStyle w:val="Paragraphedeliste"/>
        <w:numPr>
          <w:ilvl w:val="0"/>
          <w:numId w:val="134"/>
        </w:numPr>
        <w:rPr>
          <w:lang w:val="en-GB"/>
        </w:rPr>
      </w:pPr>
      <w:r>
        <w:rPr>
          <w:lang w:val="en-GB"/>
        </w:rPr>
        <w:t>i</w:t>
      </w:r>
      <w:r w:rsidR="00DF7F8A" w:rsidRPr="00AA7A27">
        <w:rPr>
          <w:lang w:val="en-GB"/>
        </w:rPr>
        <w:t>dentification and definition of comparable surrogate risk metrics for spent nuclear fuel sources.</w:t>
      </w:r>
    </w:p>
    <w:p w:rsidR="00FC131A" w:rsidRPr="00AA7A27" w:rsidRDefault="004D4695" w:rsidP="00DF7F8A">
      <w:pPr>
        <w:pStyle w:val="Paragraphedeliste"/>
        <w:numPr>
          <w:ilvl w:val="0"/>
          <w:numId w:val="134"/>
        </w:numPr>
        <w:rPr>
          <w:lang w:val="en-GB"/>
        </w:rPr>
      </w:pPr>
      <w:r>
        <w:rPr>
          <w:lang w:val="en-GB"/>
        </w:rPr>
        <w:t>q</w:t>
      </w:r>
      <w:r w:rsidR="00DF7F8A" w:rsidRPr="00AA7A27">
        <w:rPr>
          <w:lang w:val="en-GB"/>
        </w:rPr>
        <w:t>uantification of multi-source accident sequences involving success paths for one or more sources</w:t>
      </w:r>
      <w:r w:rsidR="00FC131A" w:rsidRPr="00AA7A27">
        <w:rPr>
          <w:lang w:val="en-GB"/>
        </w:rPr>
        <w:t>.</w:t>
      </w:r>
    </w:p>
    <w:p w:rsidR="00DF7F8A" w:rsidRPr="00AA7A27" w:rsidRDefault="00DF7F8A">
      <w:pPr>
        <w:rPr>
          <w:lang w:val="en-US"/>
        </w:rPr>
      </w:pPr>
    </w:p>
    <w:p w:rsidR="00F04A2A" w:rsidRPr="00AA7A27" w:rsidRDefault="00F04A2A" w:rsidP="00A72064">
      <w:pPr>
        <w:rPr>
          <w:lang w:val="en-US"/>
        </w:rPr>
      </w:pPr>
    </w:p>
    <w:p w:rsidR="007062EF" w:rsidRPr="00AA7A27" w:rsidRDefault="007062EF" w:rsidP="007062EF">
      <w:pPr>
        <w:rPr>
          <w:lang w:val="en-US"/>
        </w:rPr>
      </w:pPr>
    </w:p>
    <w:p w:rsidR="00F01E63" w:rsidRPr="00AA7A27" w:rsidRDefault="00F01E63">
      <w:pPr>
        <w:spacing w:line="240" w:lineRule="auto"/>
        <w:jc w:val="left"/>
        <w:rPr>
          <w:lang w:val="en-US"/>
        </w:rPr>
      </w:pPr>
      <w:r w:rsidRPr="00AA7A27">
        <w:rPr>
          <w:lang w:val="en-US"/>
        </w:rPr>
        <w:br w:type="page"/>
      </w:r>
    </w:p>
    <w:p w:rsidR="00F01E63" w:rsidRPr="00AA7A27" w:rsidRDefault="00F01E63">
      <w:pPr>
        <w:rPr>
          <w:lang w:val="en-US"/>
        </w:rPr>
      </w:pPr>
    </w:p>
    <w:p w:rsidR="00637779" w:rsidRPr="00AA7A27" w:rsidRDefault="00637779" w:rsidP="00637779">
      <w:pPr>
        <w:pStyle w:val="Titre1"/>
        <w:rPr>
          <w:lang w:val="en-US"/>
        </w:rPr>
      </w:pPr>
      <w:bookmarkStart w:id="421" w:name="_Toc366595184"/>
      <w:bookmarkStart w:id="422" w:name="_Toc474430241"/>
      <w:r w:rsidRPr="00AA7A27">
        <w:rPr>
          <w:lang w:val="en-US"/>
        </w:rPr>
        <w:t>References</w:t>
      </w:r>
      <w:bookmarkEnd w:id="421"/>
      <w:bookmarkEnd w:id="422"/>
    </w:p>
    <w:p w:rsidR="00A35240" w:rsidRPr="00AA7A27" w:rsidRDefault="00A35240" w:rsidP="003C4228">
      <w:pPr>
        <w:numPr>
          <w:ilvl w:val="0"/>
          <w:numId w:val="10"/>
        </w:numPr>
        <w:ind w:left="567" w:hanging="567"/>
        <w:rPr>
          <w:lang w:val="en-US"/>
        </w:rPr>
      </w:pPr>
      <w:bookmarkStart w:id="423" w:name="_Ref284236864"/>
      <w:bookmarkStart w:id="424" w:name="_Ref392691756"/>
      <w:bookmarkStart w:id="425" w:name="_Ref384386656"/>
      <w:r w:rsidRPr="00AA7A27">
        <w:rPr>
          <w:lang w:val="en-US"/>
        </w:rPr>
        <w:t>“Advanced Safety Assessment: Extended PSA”, ASAMPSA_E Description of Work, 2013.</w:t>
      </w:r>
      <w:bookmarkEnd w:id="423"/>
      <w:r w:rsidRPr="00AA7A27">
        <w:rPr>
          <w:lang w:val="en-US"/>
        </w:rPr>
        <w:t xml:space="preserve"> </w:t>
      </w:r>
    </w:p>
    <w:p w:rsidR="002B446B" w:rsidRPr="00AA7A27" w:rsidRDefault="00CD7161" w:rsidP="00C94556">
      <w:pPr>
        <w:numPr>
          <w:ilvl w:val="0"/>
          <w:numId w:val="10"/>
        </w:numPr>
        <w:ind w:left="567" w:hanging="567"/>
        <w:rPr>
          <w:lang w:val="en-US"/>
        </w:rPr>
      </w:pPr>
      <w:bookmarkStart w:id="426" w:name="_Ref284401542"/>
      <w:bookmarkStart w:id="427" w:name="_Ref306802100"/>
      <w:bookmarkStart w:id="428" w:name="_Ref319760151"/>
      <w:r w:rsidRPr="00AA7A27">
        <w:rPr>
          <w:lang w:val="en-US"/>
        </w:rPr>
        <w:t>“</w:t>
      </w:r>
      <w:r w:rsidRPr="00AA7A27">
        <w:rPr>
          <w:bCs/>
          <w:lang w:val="en-US"/>
        </w:rPr>
        <w:t>ASAMPSA2 Best-Practices Guidelines for L2PSA Development and Applications</w:t>
      </w:r>
      <w:r w:rsidR="005D635D" w:rsidRPr="00AA7A27">
        <w:rPr>
          <w:bCs/>
          <w:lang w:val="en-US"/>
        </w:rPr>
        <w:t>,</w:t>
      </w:r>
      <w:r w:rsidRPr="00AA7A27">
        <w:rPr>
          <w:lang w:val="en-US"/>
        </w:rPr>
        <w:t xml:space="preserve"> </w:t>
      </w:r>
      <w:r w:rsidR="00656EE9" w:rsidRPr="00AA7A27">
        <w:rPr>
          <w:lang w:val="en-US"/>
        </w:rPr>
        <w:t>ASAMPSA2</w:t>
      </w:r>
      <w:bookmarkEnd w:id="426"/>
      <w:bookmarkEnd w:id="427"/>
      <w:r w:rsidR="00361D3D" w:rsidRPr="00AA7A27">
        <w:rPr>
          <w:lang w:val="en-US"/>
        </w:rPr>
        <w:t>, Volume 1- G</w:t>
      </w:r>
      <w:r w:rsidR="005D635D" w:rsidRPr="00AA7A27">
        <w:rPr>
          <w:lang w:val="en-US"/>
        </w:rPr>
        <w:t xml:space="preserve">eneral, </w:t>
      </w:r>
      <w:r w:rsidR="00361D3D" w:rsidRPr="00AA7A27">
        <w:rPr>
          <w:lang w:val="en-US"/>
        </w:rPr>
        <w:t xml:space="preserve">Technical report ASAMPSA2/ WP2-3-4/D3.3/2013-35, </w:t>
      </w:r>
      <w:r w:rsidR="005D635D" w:rsidRPr="00AA7A27">
        <w:rPr>
          <w:bCs/>
          <w:lang w:val="en-US"/>
        </w:rPr>
        <w:t>IRSN-PSN/RES/SAG 2013-0177.</w:t>
      </w:r>
      <w:bookmarkEnd w:id="428"/>
      <w:r w:rsidR="005D635D" w:rsidRPr="00AA7A27">
        <w:rPr>
          <w:bCs/>
          <w:lang w:val="en-US"/>
        </w:rPr>
        <w:t xml:space="preserve"> </w:t>
      </w:r>
    </w:p>
    <w:p w:rsidR="009030DB" w:rsidRPr="00AA7A27" w:rsidRDefault="009030DB" w:rsidP="003C4228">
      <w:pPr>
        <w:numPr>
          <w:ilvl w:val="0"/>
          <w:numId w:val="10"/>
        </w:numPr>
        <w:ind w:left="567" w:hanging="567"/>
        <w:rPr>
          <w:lang w:val="en-US"/>
        </w:rPr>
      </w:pPr>
      <w:bookmarkStart w:id="429" w:name="_Ref288597447"/>
      <w:r w:rsidRPr="00AA7A27">
        <w:rPr>
          <w:lang w:val="en-US"/>
        </w:rPr>
        <w:t>International Atomic Energy Agency (IAEA), “Fundamental Safety Principles”, Safety Fundamentals No. SF-1, November 2006</w:t>
      </w:r>
      <w:bookmarkEnd w:id="424"/>
      <w:bookmarkEnd w:id="429"/>
    </w:p>
    <w:p w:rsidR="00A30D35" w:rsidRPr="00AA7A27" w:rsidRDefault="00A30D35" w:rsidP="003C4228">
      <w:pPr>
        <w:numPr>
          <w:ilvl w:val="0"/>
          <w:numId w:val="10"/>
        </w:numPr>
        <w:ind w:left="567" w:hanging="567"/>
        <w:rPr>
          <w:lang w:val="en-US"/>
        </w:rPr>
      </w:pPr>
      <w:bookmarkStart w:id="430" w:name="_Ref384386913"/>
      <w:bookmarkEnd w:id="425"/>
      <w:r w:rsidRPr="00AA7A27">
        <w:rPr>
          <w:lang w:val="en-US"/>
        </w:rPr>
        <w:t xml:space="preserve">International Atomic Energy Agency (IAEA), </w:t>
      </w:r>
      <w:r w:rsidR="008B0A69" w:rsidRPr="00AA7A27">
        <w:rPr>
          <w:lang w:val="en-US"/>
        </w:rPr>
        <w:t>“</w:t>
      </w:r>
      <w:r w:rsidRPr="00AA7A27">
        <w:rPr>
          <w:lang w:val="en-US"/>
        </w:rPr>
        <w:t>Development and Application of Level 1 Probabilistic Safety Assessment for Nuclear Power Plants</w:t>
      </w:r>
      <w:r w:rsidR="008B0A69" w:rsidRPr="00AA7A27">
        <w:rPr>
          <w:lang w:val="en-US"/>
        </w:rPr>
        <w:t>”</w:t>
      </w:r>
      <w:r w:rsidRPr="00AA7A27">
        <w:rPr>
          <w:lang w:val="en-US"/>
        </w:rPr>
        <w:t>, Specific Safety Guide No. SSG-3, April 2010</w:t>
      </w:r>
      <w:bookmarkEnd w:id="430"/>
    </w:p>
    <w:p w:rsidR="005B1C27" w:rsidRPr="00AA7A27" w:rsidRDefault="005B1C27" w:rsidP="003C4228">
      <w:pPr>
        <w:numPr>
          <w:ilvl w:val="0"/>
          <w:numId w:val="10"/>
        </w:numPr>
        <w:ind w:left="567" w:hanging="567"/>
        <w:rPr>
          <w:lang w:val="en-US"/>
        </w:rPr>
      </w:pPr>
      <w:bookmarkStart w:id="431" w:name="_Ref393115557"/>
      <w:bookmarkStart w:id="432" w:name="_Ref392691784"/>
      <w:r w:rsidRPr="00AA7A27">
        <w:rPr>
          <w:lang w:val="en-US"/>
        </w:rPr>
        <w:t xml:space="preserve">International Atomic Energy Agency (IAEA), “Development and Application of Level </w:t>
      </w:r>
      <w:r w:rsidR="00191F5A" w:rsidRPr="00AA7A27">
        <w:rPr>
          <w:lang w:val="en-US"/>
        </w:rPr>
        <w:t>2</w:t>
      </w:r>
      <w:r w:rsidRPr="00AA7A27">
        <w:rPr>
          <w:lang w:val="en-US"/>
        </w:rPr>
        <w:t xml:space="preserve"> Probabilistic Safety Assessment for Nuclear Power Plants”, Specific Safety Guide No. SSG-4, May 2010</w:t>
      </w:r>
      <w:bookmarkEnd w:id="431"/>
    </w:p>
    <w:p w:rsidR="00495872" w:rsidRPr="00313E82" w:rsidRDefault="00517B66" w:rsidP="003C4228">
      <w:pPr>
        <w:numPr>
          <w:ilvl w:val="0"/>
          <w:numId w:val="10"/>
        </w:numPr>
        <w:ind w:left="567" w:hanging="567"/>
        <w:rPr>
          <w:lang w:val="en-US"/>
        </w:rPr>
      </w:pPr>
      <w:bookmarkStart w:id="433" w:name="_Ref396309694"/>
      <w:r w:rsidRPr="00AA7A27">
        <w:rPr>
          <w:lang w:val="en-US"/>
        </w:rPr>
        <w:t>International Atomic Energy Agency (IAEA), “A Framework for an Integrated Ri</w:t>
      </w:r>
      <w:r w:rsidRPr="00520A83">
        <w:rPr>
          <w:lang w:val="en-US"/>
        </w:rPr>
        <w:t>sk Informed Decision Making</w:t>
      </w:r>
      <w:r w:rsidRPr="00313E82">
        <w:rPr>
          <w:lang w:val="en-US"/>
        </w:rPr>
        <w:t xml:space="preserve"> Process”, report by the International Nuclear Safety Group, INSAG-25, May 2011</w:t>
      </w:r>
      <w:bookmarkEnd w:id="433"/>
    </w:p>
    <w:p w:rsidR="007A516D" w:rsidRPr="00313E82" w:rsidRDefault="007A516D" w:rsidP="003C4228">
      <w:pPr>
        <w:numPr>
          <w:ilvl w:val="0"/>
          <w:numId w:val="10"/>
        </w:numPr>
        <w:ind w:left="567" w:hanging="567"/>
        <w:rPr>
          <w:lang w:val="en-US"/>
        </w:rPr>
      </w:pPr>
      <w:bookmarkStart w:id="434" w:name="_Ref396308540"/>
      <w:r w:rsidRPr="00313E82">
        <w:rPr>
          <w:lang w:val="en-US"/>
        </w:rPr>
        <w:t>International Atomic Energy Agency (IAEA), “Risk Informed Regulation of Nuclear Facilities: Overview of the Current Status”, IAEA-TECDOC-1436, February 2005</w:t>
      </w:r>
      <w:bookmarkEnd w:id="434"/>
    </w:p>
    <w:p w:rsidR="00A861B3" w:rsidRPr="00313E82" w:rsidRDefault="00A861B3" w:rsidP="003C4228">
      <w:pPr>
        <w:numPr>
          <w:ilvl w:val="0"/>
          <w:numId w:val="10"/>
        </w:numPr>
        <w:ind w:left="567" w:hanging="567"/>
        <w:rPr>
          <w:lang w:val="en-US"/>
        </w:rPr>
      </w:pPr>
      <w:bookmarkStart w:id="435" w:name="_Ref396310289"/>
      <w:r w:rsidRPr="00313E82">
        <w:rPr>
          <w:lang w:val="en-US"/>
        </w:rPr>
        <w:t>U.S. Nuclear Regulatory Commission, “A Proposed Risk Management Regulatory Framework”, NUREG-2150, April 2012</w:t>
      </w:r>
      <w:bookmarkEnd w:id="435"/>
    </w:p>
    <w:p w:rsidR="0061682E" w:rsidRPr="00313E82" w:rsidRDefault="0061682E" w:rsidP="003C4228">
      <w:pPr>
        <w:numPr>
          <w:ilvl w:val="0"/>
          <w:numId w:val="10"/>
        </w:numPr>
        <w:ind w:left="567" w:hanging="567"/>
        <w:rPr>
          <w:lang w:val="en-US"/>
        </w:rPr>
      </w:pPr>
      <w:r w:rsidRPr="00313E82">
        <w:rPr>
          <w:lang w:val="en-US"/>
        </w:rPr>
        <w:t>U.S. Nuclear Regulatory Commission, “Guidance on the Treatment of Uncertainties Associated with PRAs in Risk-informed Decisionmaking”, draft report for comment, NUREG-1855, Rev. 1, March 2013</w:t>
      </w:r>
    </w:p>
    <w:p w:rsidR="00423B57" w:rsidRPr="00313E82" w:rsidRDefault="00423B57" w:rsidP="003C4228">
      <w:pPr>
        <w:numPr>
          <w:ilvl w:val="0"/>
          <w:numId w:val="10"/>
        </w:numPr>
        <w:ind w:left="567" w:hanging="567"/>
        <w:rPr>
          <w:lang w:val="en-US"/>
        </w:rPr>
      </w:pPr>
      <w:bookmarkStart w:id="436" w:name="_Ref396310290"/>
      <w:r w:rsidRPr="00313E82">
        <w:rPr>
          <w:lang w:val="en-US"/>
        </w:rPr>
        <w:t>Himanen, R. et al., “Risk-informed Regulation and Safety Management of Nuclear Power Plants – on the Prevention of Severe Accidents”, Risk Analysis, Vol. 32, No. 11, 2012, p. 1978 - 1993</w:t>
      </w:r>
      <w:bookmarkEnd w:id="436"/>
    </w:p>
    <w:p w:rsidR="00280A6D" w:rsidRPr="00313E82" w:rsidRDefault="00280A6D" w:rsidP="003C4228">
      <w:pPr>
        <w:numPr>
          <w:ilvl w:val="0"/>
          <w:numId w:val="10"/>
        </w:numPr>
        <w:ind w:left="567" w:hanging="567"/>
        <w:rPr>
          <w:lang w:val="en-US"/>
        </w:rPr>
      </w:pPr>
      <w:bookmarkStart w:id="437" w:name="_Ref396310295"/>
      <w:r w:rsidRPr="00313E82">
        <w:rPr>
          <w:lang w:val="en-US"/>
        </w:rPr>
        <w:t>Kadak, A.C., T. Matsuo, “The Nuclear Industry’s Transition to Risk-informed Regulation and Operation in the United States”, Reliability Engineering and System Safety, Vol. 92, (2007), p. 609-618</w:t>
      </w:r>
      <w:bookmarkEnd w:id="437"/>
    </w:p>
    <w:p w:rsidR="002C3959" w:rsidRPr="00313E82" w:rsidRDefault="002C3959" w:rsidP="003C4228">
      <w:pPr>
        <w:numPr>
          <w:ilvl w:val="0"/>
          <w:numId w:val="10"/>
        </w:numPr>
        <w:ind w:left="567" w:hanging="567"/>
        <w:rPr>
          <w:lang w:val="en-US"/>
        </w:rPr>
      </w:pPr>
      <w:r w:rsidRPr="00313E82">
        <w:rPr>
          <w:lang w:val="en-US"/>
        </w:rPr>
        <w:t>Health and Safety Executive (HSE), “Reducing Risks, Protecting People, HSE’s Decision-Making Process”, HSEBooks, 2001</w:t>
      </w:r>
    </w:p>
    <w:p w:rsidR="00710FFF" w:rsidRPr="00313E82" w:rsidRDefault="00710FFF" w:rsidP="003C4228">
      <w:pPr>
        <w:numPr>
          <w:ilvl w:val="0"/>
          <w:numId w:val="10"/>
        </w:numPr>
        <w:ind w:left="567" w:hanging="567"/>
        <w:rPr>
          <w:lang w:val="en-US"/>
        </w:rPr>
      </w:pPr>
      <w:bookmarkStart w:id="438" w:name="_Ref396310330"/>
      <w:r w:rsidRPr="00313E82">
        <w:rPr>
          <w:lang w:val="en-US"/>
        </w:rPr>
        <w:t>OECD Nuclear Energy Agency, “Probabilistic Risk Criteria and Safety Goals”, NEA/CSNI/R(2009)16, December 2009</w:t>
      </w:r>
      <w:bookmarkEnd w:id="438"/>
    </w:p>
    <w:p w:rsidR="006B58DC" w:rsidRPr="00313E82" w:rsidRDefault="006B58DC" w:rsidP="003C4228">
      <w:pPr>
        <w:numPr>
          <w:ilvl w:val="0"/>
          <w:numId w:val="10"/>
        </w:numPr>
        <w:ind w:left="567" w:hanging="567"/>
        <w:rPr>
          <w:lang w:val="en-US"/>
        </w:rPr>
      </w:pPr>
      <w:bookmarkStart w:id="439" w:name="_Ref397529008"/>
      <w:r w:rsidRPr="00313E82">
        <w:rPr>
          <w:lang w:val="en-US"/>
        </w:rPr>
        <w:t>Abrahamsen, E.B., T. Aven, “On the Consistency of Risk Acceptance Criteria with Normative Theories for Decision-making”, Reliability Engineering and System Safety, Vol. 93, (2008), p. 1906-1910</w:t>
      </w:r>
      <w:bookmarkEnd w:id="439"/>
    </w:p>
    <w:p w:rsidR="006B58DC" w:rsidRPr="00313E82" w:rsidRDefault="006B58DC" w:rsidP="003C4228">
      <w:pPr>
        <w:numPr>
          <w:ilvl w:val="0"/>
          <w:numId w:val="10"/>
        </w:numPr>
        <w:ind w:left="567" w:hanging="567"/>
        <w:rPr>
          <w:lang w:val="en-US"/>
        </w:rPr>
      </w:pPr>
      <w:r w:rsidRPr="00313E82">
        <w:rPr>
          <w:lang w:val="en-US"/>
        </w:rPr>
        <w:t>Apostolakis, G., “Safety Goals and Risk-Informed Regulation at the U.S. NRC”, Presentation to Canadian Nuclear Safety Commission, Ottawa, Canada, January 2014</w:t>
      </w:r>
    </w:p>
    <w:p w:rsidR="002C60B4" w:rsidRPr="00313E82" w:rsidRDefault="002C60B4" w:rsidP="003C4228">
      <w:pPr>
        <w:numPr>
          <w:ilvl w:val="0"/>
          <w:numId w:val="10"/>
        </w:numPr>
        <w:ind w:left="567" w:hanging="567"/>
        <w:rPr>
          <w:lang w:val="en-US"/>
        </w:rPr>
      </w:pPr>
      <w:r w:rsidRPr="00313E82">
        <w:rPr>
          <w:lang w:val="en-US"/>
        </w:rPr>
        <w:t>Audoridad Regulatoria Nuclear, “Criterios Radiológicos Relativos a Accidentes en Reactores Nucleares de Potencia”, Revisión 2, AR 3.1.3, 2002</w:t>
      </w:r>
    </w:p>
    <w:p w:rsidR="00CF073F" w:rsidRPr="00313E82" w:rsidRDefault="00CF073F" w:rsidP="003C4228">
      <w:pPr>
        <w:numPr>
          <w:ilvl w:val="0"/>
          <w:numId w:val="10"/>
        </w:numPr>
        <w:ind w:left="567" w:hanging="567"/>
        <w:rPr>
          <w:lang w:val="en-US"/>
        </w:rPr>
      </w:pPr>
      <w:bookmarkStart w:id="440" w:name="_Ref396308135"/>
      <w:r w:rsidRPr="00313E82">
        <w:rPr>
          <w:lang w:val="en-US"/>
        </w:rPr>
        <w:t>A</w:t>
      </w:r>
      <w:r w:rsidR="00002F14" w:rsidRPr="00313E82">
        <w:rPr>
          <w:lang w:val="en-US"/>
        </w:rPr>
        <w:t>v</w:t>
      </w:r>
      <w:r w:rsidRPr="00313E82">
        <w:rPr>
          <w:lang w:val="en-US"/>
        </w:rPr>
        <w:t>en, T., “On the Ethical Justification for the Use of Risk Acceptance Criteria”, Risk Analysis, Vol. 27, Issue 2, (2007), p. 303-312</w:t>
      </w:r>
      <w:bookmarkEnd w:id="440"/>
    </w:p>
    <w:p w:rsidR="00A42BB0" w:rsidRPr="00313E82" w:rsidRDefault="00A42BB0" w:rsidP="003C4228">
      <w:pPr>
        <w:numPr>
          <w:ilvl w:val="0"/>
          <w:numId w:val="10"/>
        </w:numPr>
        <w:ind w:left="567" w:hanging="567"/>
        <w:rPr>
          <w:lang w:val="en-US"/>
        </w:rPr>
      </w:pPr>
      <w:bookmarkStart w:id="441" w:name="_Ref396210521"/>
      <w:r w:rsidRPr="00313E82">
        <w:rPr>
          <w:lang w:val="en-US"/>
        </w:rPr>
        <w:t>Aven, T., B. Heide, “Reliability and Validity of Risk Analysis”, Reliability Engineering and System Safety, Vol. 94, (2009), p. 1862-1868</w:t>
      </w:r>
      <w:bookmarkEnd w:id="441"/>
    </w:p>
    <w:p w:rsidR="00495872" w:rsidRPr="00313E82" w:rsidRDefault="00495872" w:rsidP="003C4228">
      <w:pPr>
        <w:numPr>
          <w:ilvl w:val="0"/>
          <w:numId w:val="10"/>
        </w:numPr>
        <w:ind w:left="567" w:hanging="567"/>
        <w:rPr>
          <w:lang w:val="en-US"/>
        </w:rPr>
      </w:pPr>
      <w:bookmarkStart w:id="442" w:name="_Ref396210522"/>
      <w:r w:rsidRPr="00313E82">
        <w:rPr>
          <w:lang w:val="en-US"/>
        </w:rPr>
        <w:lastRenderedPageBreak/>
        <w:t xml:space="preserve">Aven, T., “On How to Define, Understand and Describe Risk”, Reliability Engineering and </w:t>
      </w:r>
      <w:r w:rsidR="00C220BE" w:rsidRPr="00313E82">
        <w:rPr>
          <w:lang w:val="en-US"/>
        </w:rPr>
        <w:t>System Safety, Vol. 95, Issue 6 (</w:t>
      </w:r>
      <w:r w:rsidRPr="00313E82">
        <w:rPr>
          <w:lang w:val="en-US"/>
        </w:rPr>
        <w:t>2010</w:t>
      </w:r>
      <w:r w:rsidR="00C220BE" w:rsidRPr="00313E82">
        <w:rPr>
          <w:lang w:val="en-US"/>
        </w:rPr>
        <w:t>)</w:t>
      </w:r>
      <w:r w:rsidRPr="00313E82">
        <w:rPr>
          <w:lang w:val="en-US"/>
        </w:rPr>
        <w:t>, p. 623-631</w:t>
      </w:r>
      <w:bookmarkEnd w:id="442"/>
    </w:p>
    <w:p w:rsidR="005B1C27" w:rsidRPr="00313E82" w:rsidRDefault="005B1C27" w:rsidP="003C4228">
      <w:pPr>
        <w:numPr>
          <w:ilvl w:val="0"/>
          <w:numId w:val="10"/>
        </w:numPr>
        <w:ind w:left="567" w:hanging="567"/>
        <w:rPr>
          <w:lang w:val="en-US"/>
        </w:rPr>
      </w:pPr>
      <w:bookmarkStart w:id="443" w:name="_Ref396210525"/>
      <w:r w:rsidRPr="00313E82">
        <w:rPr>
          <w:lang w:val="en-US"/>
        </w:rPr>
        <w:t xml:space="preserve">Aven, T., ”The Risk Concept – Historical and Recent Development Trends”, Reliability Engineering and System Safety, Vol. 99, </w:t>
      </w:r>
      <w:r w:rsidR="00C220BE" w:rsidRPr="00313E82">
        <w:rPr>
          <w:lang w:val="en-US"/>
        </w:rPr>
        <w:t>(</w:t>
      </w:r>
      <w:r w:rsidRPr="00313E82">
        <w:rPr>
          <w:lang w:val="en-US"/>
        </w:rPr>
        <w:t>2012</w:t>
      </w:r>
      <w:r w:rsidR="00C220BE" w:rsidRPr="00313E82">
        <w:rPr>
          <w:lang w:val="en-US"/>
        </w:rPr>
        <w:t>)</w:t>
      </w:r>
      <w:r w:rsidRPr="00313E82">
        <w:rPr>
          <w:lang w:val="en-US"/>
        </w:rPr>
        <w:t>, p. 33-44</w:t>
      </w:r>
      <w:bookmarkEnd w:id="443"/>
    </w:p>
    <w:p w:rsidR="00920584" w:rsidRPr="00313E82" w:rsidRDefault="00920584" w:rsidP="003C4228">
      <w:pPr>
        <w:numPr>
          <w:ilvl w:val="0"/>
          <w:numId w:val="10"/>
        </w:numPr>
        <w:ind w:left="567" w:hanging="567"/>
        <w:rPr>
          <w:lang w:val="en-US"/>
        </w:rPr>
      </w:pPr>
      <w:bookmarkStart w:id="444" w:name="_Ref396210542"/>
      <w:r w:rsidRPr="00313E82">
        <w:rPr>
          <w:lang w:val="en-US"/>
        </w:rPr>
        <w:t>Aven, T., “Foundational Issues in Risk Assessment and Risk Management”, Risk Analysis Vol. 32, Number 10, 2012, p. 1647 - 1656</w:t>
      </w:r>
      <w:bookmarkEnd w:id="444"/>
    </w:p>
    <w:p w:rsidR="005B1C27" w:rsidRPr="00313E82" w:rsidRDefault="00495872" w:rsidP="003C4228">
      <w:pPr>
        <w:numPr>
          <w:ilvl w:val="0"/>
          <w:numId w:val="10"/>
        </w:numPr>
        <w:ind w:left="567" w:hanging="567"/>
        <w:rPr>
          <w:lang w:val="en-US"/>
        </w:rPr>
      </w:pPr>
      <w:bookmarkStart w:id="445" w:name="_Ref396210554"/>
      <w:r w:rsidRPr="00313E82">
        <w:rPr>
          <w:lang w:val="en-US"/>
        </w:rPr>
        <w:t xml:space="preserve">Aven, T. B.S. Krohn, “A New Perspective on How to Understand, Asses and Manage Risk and the Unforeseen”, Reliability Engineering and System Safety, Vol. 121, </w:t>
      </w:r>
      <w:r w:rsidR="00C220BE" w:rsidRPr="00313E82">
        <w:rPr>
          <w:lang w:val="en-US"/>
        </w:rPr>
        <w:t>(</w:t>
      </w:r>
      <w:r w:rsidRPr="00313E82">
        <w:rPr>
          <w:lang w:val="en-US"/>
        </w:rPr>
        <w:t>2014</w:t>
      </w:r>
      <w:r w:rsidR="00C220BE" w:rsidRPr="00313E82">
        <w:rPr>
          <w:lang w:val="en-US"/>
        </w:rPr>
        <w:t>)</w:t>
      </w:r>
      <w:r w:rsidRPr="00313E82">
        <w:rPr>
          <w:lang w:val="en-US"/>
        </w:rPr>
        <w:t>, p. 1-10</w:t>
      </w:r>
      <w:bookmarkEnd w:id="445"/>
      <w:r w:rsidR="005B1C27" w:rsidRPr="00313E82">
        <w:rPr>
          <w:lang w:val="en-US"/>
        </w:rPr>
        <w:t xml:space="preserve"> </w:t>
      </w:r>
    </w:p>
    <w:p w:rsidR="00BB538E" w:rsidRPr="00313E82" w:rsidRDefault="00BB538E" w:rsidP="003C4228">
      <w:pPr>
        <w:numPr>
          <w:ilvl w:val="0"/>
          <w:numId w:val="10"/>
        </w:numPr>
        <w:ind w:left="567" w:hanging="567"/>
        <w:rPr>
          <w:lang w:val="en-US"/>
        </w:rPr>
      </w:pPr>
      <w:bookmarkStart w:id="446" w:name="_Ref396318977"/>
      <w:r w:rsidRPr="00313E82">
        <w:rPr>
          <w:lang w:val="en-US"/>
        </w:rPr>
        <w:t>Ball, D.J., J. Watt, “Fu</w:t>
      </w:r>
      <w:r w:rsidR="00811AB0" w:rsidRPr="00313E82">
        <w:rPr>
          <w:lang w:val="en-US"/>
        </w:rPr>
        <w:t>r</w:t>
      </w:r>
      <w:r w:rsidRPr="00313E82">
        <w:rPr>
          <w:lang w:val="en-US"/>
        </w:rPr>
        <w:t xml:space="preserve">ther Thoughts on the Utility of Risk Matrices”, Risk Analysis, Vol. 33, No. 11 (2013), p. 2068 </w:t>
      </w:r>
      <w:r w:rsidR="004B1DAD" w:rsidRPr="00313E82">
        <w:rPr>
          <w:lang w:val="en-US"/>
        </w:rPr>
        <w:t>–</w:t>
      </w:r>
      <w:r w:rsidRPr="00313E82">
        <w:rPr>
          <w:lang w:val="en-US"/>
        </w:rPr>
        <w:t xml:space="preserve"> 2078</w:t>
      </w:r>
      <w:bookmarkEnd w:id="446"/>
    </w:p>
    <w:p w:rsidR="006B58DC" w:rsidRPr="00313E82" w:rsidRDefault="006B58DC" w:rsidP="003C4228">
      <w:pPr>
        <w:numPr>
          <w:ilvl w:val="0"/>
          <w:numId w:val="10"/>
        </w:numPr>
        <w:ind w:left="567" w:hanging="567"/>
        <w:rPr>
          <w:lang w:val="en-US"/>
        </w:rPr>
      </w:pPr>
      <w:bookmarkStart w:id="447" w:name="_Ref397352942"/>
      <w:r w:rsidRPr="00313E82">
        <w:rPr>
          <w:lang w:val="en-US"/>
        </w:rPr>
        <w:t>Borgonovo, E., G.E. Apostolakis, “A New Importance Measure for Risk-informed Decision Making”, Reliability Engineering and System Safety, Vol. 72, (2001), p. 193-212</w:t>
      </w:r>
      <w:bookmarkEnd w:id="447"/>
    </w:p>
    <w:p w:rsidR="00CF073F" w:rsidRPr="00313E82" w:rsidRDefault="00CF073F" w:rsidP="003C4228">
      <w:pPr>
        <w:numPr>
          <w:ilvl w:val="0"/>
          <w:numId w:val="10"/>
        </w:numPr>
        <w:ind w:left="567" w:hanging="567"/>
        <w:rPr>
          <w:lang w:val="en-US"/>
        </w:rPr>
      </w:pPr>
      <w:bookmarkStart w:id="448" w:name="_Ref396308351"/>
      <w:r w:rsidRPr="00313E82">
        <w:rPr>
          <w:lang w:val="en-US"/>
        </w:rPr>
        <w:t>Cox, L.A., “Does Concern-Driven Risk Management Provide a Viable Alternative to QRA?”, Risk Analysis, Vol. 27, Issue 1, (2007), p. 27-43</w:t>
      </w:r>
      <w:bookmarkEnd w:id="448"/>
    </w:p>
    <w:p w:rsidR="00CF073F" w:rsidRPr="00313E82" w:rsidRDefault="00CF073F" w:rsidP="003C4228">
      <w:pPr>
        <w:numPr>
          <w:ilvl w:val="0"/>
          <w:numId w:val="10"/>
        </w:numPr>
        <w:ind w:left="567" w:hanging="567"/>
        <w:rPr>
          <w:lang w:val="en-US"/>
        </w:rPr>
      </w:pPr>
      <w:r w:rsidRPr="00313E82">
        <w:rPr>
          <w:lang w:val="en-US"/>
        </w:rPr>
        <w:t>Cox, L.A., D.A. Popken, “Some Limitations of Aggregate Exposure Metrics”, Risk Analysis, Vol. 27, Issue 2, (2007), p. 439-</w:t>
      </w:r>
      <w:r w:rsidR="00CF2362" w:rsidRPr="00313E82">
        <w:rPr>
          <w:lang w:val="en-US"/>
        </w:rPr>
        <w:t>445</w:t>
      </w:r>
    </w:p>
    <w:p w:rsidR="004B1DAD" w:rsidRPr="00313E82" w:rsidRDefault="004B1DAD" w:rsidP="003C4228">
      <w:pPr>
        <w:numPr>
          <w:ilvl w:val="0"/>
          <w:numId w:val="10"/>
        </w:numPr>
        <w:ind w:left="567" w:hanging="567"/>
        <w:rPr>
          <w:lang w:val="en-US"/>
        </w:rPr>
      </w:pPr>
      <w:bookmarkStart w:id="449" w:name="_Ref396318946"/>
      <w:r w:rsidRPr="00313E82">
        <w:rPr>
          <w:lang w:val="en-US"/>
        </w:rPr>
        <w:t>Cox, L.A., “What’s Wrong with Risk Matrices”, Risk Analysis Vol. 28 No. 2 (2008), p. 497-512</w:t>
      </w:r>
      <w:bookmarkEnd w:id="449"/>
    </w:p>
    <w:p w:rsidR="004B1DAD" w:rsidRPr="00313E82" w:rsidRDefault="004B1DAD" w:rsidP="003C4228">
      <w:pPr>
        <w:numPr>
          <w:ilvl w:val="0"/>
          <w:numId w:val="10"/>
        </w:numPr>
        <w:ind w:left="567" w:hanging="567"/>
        <w:rPr>
          <w:lang w:val="en-US"/>
        </w:rPr>
      </w:pPr>
      <w:bookmarkStart w:id="450" w:name="_Ref397353034"/>
      <w:r w:rsidRPr="00313E82">
        <w:rPr>
          <w:lang w:val="en-US"/>
        </w:rPr>
        <w:t>Cheok, M.C., G.W. Parry, R.R. Sherry, “Use of Importance Measures in Risk-informed Regulatory Applications”, Reliability Engineering and System Safety, Vol. 60, (1998), p. 213-226</w:t>
      </w:r>
      <w:bookmarkEnd w:id="450"/>
      <w:r w:rsidRPr="00313E82">
        <w:rPr>
          <w:lang w:val="en-US"/>
        </w:rPr>
        <w:t xml:space="preserve"> </w:t>
      </w:r>
    </w:p>
    <w:p w:rsidR="00380E88" w:rsidRPr="00313E82" w:rsidRDefault="00380E88" w:rsidP="003C4228">
      <w:pPr>
        <w:numPr>
          <w:ilvl w:val="0"/>
          <w:numId w:val="10"/>
        </w:numPr>
        <w:ind w:left="567" w:hanging="567"/>
        <w:rPr>
          <w:lang w:val="en-US"/>
        </w:rPr>
      </w:pPr>
      <w:r w:rsidRPr="00313E82">
        <w:rPr>
          <w:lang w:val="en-US"/>
        </w:rPr>
        <w:t>Hirst, I.L., D.A. Carter, “A ‘Worst Case’ Methodology for Obtaining a Rough but Rapid Indication of the Societal Risk from a Major Accident Hazard Installation”, Journal of Hazardous Materials A92 (2002), p. 233-237</w:t>
      </w:r>
    </w:p>
    <w:p w:rsidR="0098270A" w:rsidRPr="00313E82" w:rsidRDefault="0098270A" w:rsidP="003C4228">
      <w:pPr>
        <w:numPr>
          <w:ilvl w:val="0"/>
          <w:numId w:val="10"/>
        </w:numPr>
        <w:ind w:left="567" w:hanging="567"/>
        <w:rPr>
          <w:lang w:val="en-US"/>
        </w:rPr>
      </w:pPr>
      <w:r w:rsidRPr="00313E82">
        <w:rPr>
          <w:lang w:val="en-US"/>
        </w:rPr>
        <w:t>Holmberg, J., M. Knochenhauer, “Probabilistic Safety Goals Phase 3 - Status Report”, NKS-195, July 2009</w:t>
      </w:r>
    </w:p>
    <w:p w:rsidR="00A42BB0" w:rsidRPr="00313E82" w:rsidRDefault="00A42BB0" w:rsidP="003C4228">
      <w:pPr>
        <w:numPr>
          <w:ilvl w:val="0"/>
          <w:numId w:val="10"/>
        </w:numPr>
        <w:ind w:left="567" w:hanging="567"/>
        <w:rPr>
          <w:lang w:val="en-US"/>
        </w:rPr>
      </w:pPr>
      <w:bookmarkStart w:id="451" w:name="_Ref397429868"/>
      <w:r w:rsidRPr="00313E82">
        <w:rPr>
          <w:lang w:val="en-US"/>
        </w:rPr>
        <w:t>Johansen, I.L., M. Rausand, “Risk Metrics: Interpretation and Choice”, in: IEEE International Conference on Industrial Engineering and Engineering Management (IEEM), Hong Kong, December 2012</w:t>
      </w:r>
      <w:bookmarkEnd w:id="451"/>
    </w:p>
    <w:p w:rsidR="002018ED" w:rsidRPr="00313E82" w:rsidRDefault="002018ED" w:rsidP="003C4228">
      <w:pPr>
        <w:numPr>
          <w:ilvl w:val="0"/>
          <w:numId w:val="10"/>
        </w:numPr>
        <w:ind w:left="567" w:hanging="567"/>
        <w:rPr>
          <w:lang w:val="en-US"/>
        </w:rPr>
      </w:pPr>
      <w:bookmarkStart w:id="452" w:name="_Ref396320286"/>
      <w:r w:rsidRPr="00313E82">
        <w:rPr>
          <w:lang w:val="en-US"/>
        </w:rPr>
        <w:t>Johansen, I.L., M. Rausand, “Foundations and Choice of Risk Metrics”, Safety Science, Vol. 62, (2014), p. 386-399</w:t>
      </w:r>
      <w:bookmarkEnd w:id="452"/>
    </w:p>
    <w:p w:rsidR="004B1DAD" w:rsidRPr="00313E82" w:rsidRDefault="004B1DAD" w:rsidP="003C4228">
      <w:pPr>
        <w:numPr>
          <w:ilvl w:val="0"/>
          <w:numId w:val="10"/>
        </w:numPr>
        <w:ind w:left="567" w:hanging="567"/>
        <w:rPr>
          <w:lang w:val="en-US"/>
        </w:rPr>
      </w:pPr>
      <w:bookmarkStart w:id="453" w:name="_Ref396318277"/>
      <w:r w:rsidRPr="00313E82">
        <w:rPr>
          <w:lang w:val="en-US"/>
        </w:rPr>
        <w:t>Jonkman, S.N., P.H.A.J.M. van Gelder, J.K. Vrijling, “An Overview of the Quantitative Risk Measure for Loss of Life and Economic Damage”, Journal of Hazardous Materials A99 (2003), p. 1-30</w:t>
      </w:r>
      <w:bookmarkEnd w:id="453"/>
    </w:p>
    <w:p w:rsidR="00AC2457" w:rsidRPr="00313E82" w:rsidRDefault="00AC2457" w:rsidP="003C4228">
      <w:pPr>
        <w:numPr>
          <w:ilvl w:val="0"/>
          <w:numId w:val="10"/>
        </w:numPr>
        <w:ind w:left="567" w:hanging="567"/>
        <w:rPr>
          <w:lang w:val="en-US"/>
        </w:rPr>
      </w:pPr>
      <w:bookmarkStart w:id="454" w:name="_Ref396318244"/>
      <w:r w:rsidRPr="00313E82">
        <w:rPr>
          <w:lang w:val="en-US"/>
        </w:rPr>
        <w:t>Jonkman, S.N., A. Lentz, J.K. Vrijling, “A General Approach for the Estimation of Loss of Life due to Natural and Technological Disasters”, Reliability Engineering and System Safety, Vol. 95, (2010), p. 1123-1133</w:t>
      </w:r>
      <w:bookmarkEnd w:id="454"/>
    </w:p>
    <w:p w:rsidR="007E3344" w:rsidRPr="00313E82" w:rsidRDefault="007E3344" w:rsidP="003C4228">
      <w:pPr>
        <w:numPr>
          <w:ilvl w:val="0"/>
          <w:numId w:val="10"/>
        </w:numPr>
        <w:ind w:left="567" w:hanging="567"/>
        <w:rPr>
          <w:lang w:val="en-US"/>
        </w:rPr>
      </w:pPr>
      <w:bookmarkStart w:id="455" w:name="_Ref396215454"/>
      <w:r w:rsidRPr="00313E82">
        <w:rPr>
          <w:lang w:val="en-US"/>
        </w:rPr>
        <w:t>Kaplan, S., B.J. Garrick, “On the Quantitative Definition of Risk”, Risk Analysis, Vol. 1 No. 1 (1981), p. 11-27</w:t>
      </w:r>
      <w:bookmarkEnd w:id="455"/>
    </w:p>
    <w:p w:rsidR="00932A47" w:rsidRPr="00313E82" w:rsidRDefault="00932A47" w:rsidP="003C4228">
      <w:pPr>
        <w:numPr>
          <w:ilvl w:val="0"/>
          <w:numId w:val="10"/>
        </w:numPr>
        <w:ind w:left="567" w:hanging="567"/>
        <w:rPr>
          <w:lang w:val="en-US"/>
        </w:rPr>
      </w:pPr>
      <w:r w:rsidRPr="00313E82">
        <w:rPr>
          <w:lang w:val="en-US"/>
        </w:rPr>
        <w:t xml:space="preserve">Paté-Cornell, M.E., “Uncertainties in Risk Analysis”, Reliability Engineering and System Safety, Vol. 54 Issue 2-3, </w:t>
      </w:r>
      <w:r w:rsidR="00D653B9" w:rsidRPr="00313E82">
        <w:rPr>
          <w:lang w:val="en-US"/>
        </w:rPr>
        <w:t xml:space="preserve">December </w:t>
      </w:r>
      <w:r w:rsidRPr="00313E82">
        <w:rPr>
          <w:lang w:val="en-US"/>
        </w:rPr>
        <w:t>1996, p. 95-111</w:t>
      </w:r>
    </w:p>
    <w:p w:rsidR="00746CC5" w:rsidRPr="00313E82" w:rsidRDefault="00746CC5" w:rsidP="003C4228">
      <w:pPr>
        <w:numPr>
          <w:ilvl w:val="0"/>
          <w:numId w:val="10"/>
        </w:numPr>
        <w:ind w:left="567" w:hanging="567"/>
        <w:rPr>
          <w:lang w:val="en-US"/>
        </w:rPr>
      </w:pPr>
      <w:r w:rsidRPr="00313E82">
        <w:rPr>
          <w:lang w:val="en-US"/>
        </w:rPr>
        <w:t xml:space="preserve">Paté-Cornell, E., “On ‘Black Swans’ and ‘Perfect Storm’: Risk Analysis and Management When Statistics are Not Enough”, Risk Analysis Vol. 32, No. 11, 2012, p. 1823 - 1833  </w:t>
      </w:r>
    </w:p>
    <w:p w:rsidR="00016626" w:rsidRPr="00313E82" w:rsidRDefault="00016626" w:rsidP="003C4228">
      <w:pPr>
        <w:numPr>
          <w:ilvl w:val="0"/>
          <w:numId w:val="10"/>
        </w:numPr>
        <w:ind w:left="567" w:hanging="567"/>
        <w:rPr>
          <w:lang w:val="en-US"/>
        </w:rPr>
      </w:pPr>
      <w:r w:rsidRPr="00313E82">
        <w:rPr>
          <w:lang w:val="en-US"/>
        </w:rPr>
        <w:lastRenderedPageBreak/>
        <w:t>Prem, K.P., D. Ng, H.J. Pasman, M. Sawyer, Y. Guo, M.S. Mannan, “Risk Measures Constituting a Risk Metrics which Enables Improved Decision Making: Value-at-Risk”, Journal of Loss Prevention in the Process Industries, Vol. 23 (2010), p. 211-219</w:t>
      </w:r>
    </w:p>
    <w:p w:rsidR="00E25A82" w:rsidRPr="00313E82" w:rsidRDefault="00E25A82" w:rsidP="003C4228">
      <w:pPr>
        <w:numPr>
          <w:ilvl w:val="0"/>
          <w:numId w:val="10"/>
        </w:numPr>
        <w:ind w:left="567" w:hanging="567"/>
        <w:rPr>
          <w:lang w:val="en-US"/>
        </w:rPr>
      </w:pPr>
      <w:r w:rsidRPr="00313E82">
        <w:rPr>
          <w:lang w:val="en-US"/>
        </w:rPr>
        <w:t>Sagi, G., “A new Approach to Reactor Safety Goals in the Framework of INES”, Reliability Engineering and System Safety, Vol. 80, Issue 2, (2002), p. 143 - 161</w:t>
      </w:r>
    </w:p>
    <w:p w:rsidR="00B97121" w:rsidRPr="00313E82" w:rsidRDefault="00B97121" w:rsidP="003C4228">
      <w:pPr>
        <w:numPr>
          <w:ilvl w:val="0"/>
          <w:numId w:val="10"/>
        </w:numPr>
        <w:ind w:left="567" w:hanging="567"/>
        <w:rPr>
          <w:lang w:val="en-US"/>
        </w:rPr>
      </w:pPr>
      <w:r w:rsidRPr="00313E82">
        <w:rPr>
          <w:lang w:val="en-US"/>
        </w:rPr>
        <w:t>Schroer, S., M. Modarres, “An Event Classification Schema for Evaluating Site Risk in a Multi-unit Nuclear Power Plant Probabilistic Risk Assessment”, Reliability Enginee</w:t>
      </w:r>
      <w:r w:rsidR="007042DF" w:rsidRPr="00313E82">
        <w:rPr>
          <w:lang w:val="en-US"/>
        </w:rPr>
        <w:t>ring and System Safety, Vol. 11</w:t>
      </w:r>
      <w:r w:rsidRPr="00313E82">
        <w:rPr>
          <w:lang w:val="en-US"/>
        </w:rPr>
        <w:t>7 (2013), p. 40-51</w:t>
      </w:r>
    </w:p>
    <w:p w:rsidR="00CA0DE1" w:rsidRPr="00313E82" w:rsidRDefault="007042DF" w:rsidP="003C4228">
      <w:pPr>
        <w:numPr>
          <w:ilvl w:val="0"/>
          <w:numId w:val="10"/>
        </w:numPr>
        <w:ind w:left="567" w:hanging="567"/>
        <w:rPr>
          <w:lang w:val="en-US"/>
        </w:rPr>
      </w:pPr>
      <w:bookmarkStart w:id="456" w:name="_Ref397354130"/>
      <w:r w:rsidRPr="00313E82">
        <w:rPr>
          <w:lang w:val="en-US"/>
        </w:rPr>
        <w:t>Van der Borst, M., H. Schoonakker, “An Overview of PSA Importance Measures”, Reliability Engineering and System Safety, Vol. 72 (2001), p. 241-245</w:t>
      </w:r>
      <w:bookmarkEnd w:id="456"/>
    </w:p>
    <w:p w:rsidR="005E17D3" w:rsidRPr="00313E82" w:rsidRDefault="005E17D3" w:rsidP="003C4228">
      <w:pPr>
        <w:numPr>
          <w:ilvl w:val="0"/>
          <w:numId w:val="10"/>
        </w:numPr>
        <w:ind w:left="567" w:hanging="567"/>
        <w:rPr>
          <w:lang w:val="en-US"/>
        </w:rPr>
      </w:pPr>
      <w:bookmarkStart w:id="457" w:name="_Ref414016465"/>
      <w:r w:rsidRPr="00313E82">
        <w:rPr>
          <w:lang w:val="en-US"/>
        </w:rPr>
        <w:t>Vasseur, D, M. Llory, “International Survey on PSA Figures of Merit”, Reliability Engineering and System Safety, Vol. 66, (1999), p. 261-274</w:t>
      </w:r>
      <w:bookmarkEnd w:id="457"/>
    </w:p>
    <w:p w:rsidR="00CA0DE1" w:rsidRPr="00313E82" w:rsidRDefault="00CA0DE1" w:rsidP="003C4228">
      <w:pPr>
        <w:numPr>
          <w:ilvl w:val="0"/>
          <w:numId w:val="10"/>
        </w:numPr>
        <w:ind w:left="567" w:hanging="567"/>
        <w:rPr>
          <w:lang w:val="en-US"/>
        </w:rPr>
      </w:pPr>
      <w:bookmarkStart w:id="458" w:name="_Ref467697147"/>
      <w:r w:rsidRPr="00313E82">
        <w:rPr>
          <w:lang w:val="en-US"/>
        </w:rPr>
        <w:t>Vitázkova, J., E. Cazzoli, “Common Risk Target for Severe Accidents of Nuclear Power Plants based on IAEA INES Scale”, Nuclear Engineering and Design, Vol. 262 (2013), p. 106-125</w:t>
      </w:r>
      <w:bookmarkEnd w:id="458"/>
    </w:p>
    <w:p w:rsidR="00CA0DE1" w:rsidRPr="00313E82" w:rsidRDefault="007042DF" w:rsidP="003C4228">
      <w:pPr>
        <w:numPr>
          <w:ilvl w:val="0"/>
          <w:numId w:val="10"/>
        </w:numPr>
        <w:ind w:left="567" w:hanging="567"/>
        <w:rPr>
          <w:lang w:val="en-US"/>
        </w:rPr>
      </w:pPr>
      <w:r w:rsidRPr="00313E82">
        <w:rPr>
          <w:lang w:val="en-US"/>
        </w:rPr>
        <w:t>Vrijling, J.K, W. van Hengel, R.J. Houben, “A Framework for Risk Evaluation”, Journal of Hazardous Materials, Vol. 43 (1995), p. 245-261</w:t>
      </w:r>
    </w:p>
    <w:p w:rsidR="00517B66" w:rsidRPr="00680B18" w:rsidRDefault="00517B66" w:rsidP="003C4228">
      <w:pPr>
        <w:numPr>
          <w:ilvl w:val="0"/>
          <w:numId w:val="10"/>
        </w:numPr>
        <w:ind w:left="567" w:hanging="567"/>
        <w:rPr>
          <w:lang w:val="de-DE"/>
        </w:rPr>
      </w:pPr>
      <w:bookmarkStart w:id="459" w:name="_Ref396320169"/>
      <w:r w:rsidRPr="00C96F34">
        <w:rPr>
          <w:lang w:val="de-DE"/>
        </w:rPr>
        <w:t xml:space="preserve">Einarsson, S., A. Wielenberg, “Vorschlag für eine bundeseinheitliche Anwendung von IRIDM-Verfahren bei sicherheitstechnischer </w:t>
      </w:r>
      <w:r w:rsidRPr="00680B18">
        <w:rPr>
          <w:lang w:val="de-DE"/>
        </w:rPr>
        <w:t>Entscheidungsfindung”, GRS-A-3666, Cologne, September 2012</w:t>
      </w:r>
      <w:bookmarkEnd w:id="459"/>
    </w:p>
    <w:p w:rsidR="0098445F" w:rsidRPr="00313E82" w:rsidRDefault="0098445F" w:rsidP="003C4228">
      <w:pPr>
        <w:numPr>
          <w:ilvl w:val="0"/>
          <w:numId w:val="10"/>
        </w:numPr>
        <w:ind w:left="567" w:hanging="567"/>
        <w:rPr>
          <w:lang w:val="en-US"/>
        </w:rPr>
      </w:pPr>
      <w:bookmarkStart w:id="460" w:name="_Ref396308481"/>
      <w:r w:rsidRPr="00313E82">
        <w:rPr>
          <w:lang w:val="en-US"/>
        </w:rPr>
        <w:t>NASA, “Risk Management Handbook”, Version 1.0, NASA/SP-2011-3422, November 2011</w:t>
      </w:r>
      <w:bookmarkEnd w:id="460"/>
    </w:p>
    <w:p w:rsidR="00083147" w:rsidRPr="00313E82" w:rsidRDefault="00AD23B5" w:rsidP="003C4228">
      <w:pPr>
        <w:numPr>
          <w:ilvl w:val="0"/>
          <w:numId w:val="10"/>
        </w:numPr>
        <w:ind w:left="567" w:hanging="567"/>
        <w:rPr>
          <w:lang w:val="en-US"/>
        </w:rPr>
      </w:pPr>
      <w:bookmarkStart w:id="461" w:name="_Ref396308491"/>
      <w:r w:rsidRPr="00313E82">
        <w:rPr>
          <w:lang w:val="en-US"/>
        </w:rPr>
        <w:t>Grechuk, B. M. Zabarankin, “Risk Averse Decision Making under Catastrophic Risk”, European Journal of Operational Research, Vol. 239 (2014), p. 166-176</w:t>
      </w:r>
      <w:bookmarkEnd w:id="461"/>
    </w:p>
    <w:p w:rsidR="00772962" w:rsidRPr="00313E82" w:rsidRDefault="00083147" w:rsidP="003C4228">
      <w:pPr>
        <w:numPr>
          <w:ilvl w:val="0"/>
          <w:numId w:val="10"/>
        </w:numPr>
        <w:ind w:left="567" w:hanging="567"/>
        <w:rPr>
          <w:lang w:val="en-US"/>
        </w:rPr>
      </w:pPr>
      <w:r w:rsidRPr="00313E82">
        <w:rPr>
          <w:lang w:val="en-US"/>
        </w:rPr>
        <w:t>Cha, E.J., B.R. Ellingwood, “Th</w:t>
      </w:r>
      <w:r w:rsidR="00811AB0" w:rsidRPr="00313E82">
        <w:rPr>
          <w:lang w:val="en-US"/>
        </w:rPr>
        <w:t>e</w:t>
      </w:r>
      <w:r w:rsidRPr="00313E82">
        <w:rPr>
          <w:lang w:val="en-US"/>
        </w:rPr>
        <w:t xml:space="preserve"> Role of Risk Aversion in Nuclear Plant Safety Decisions”, Structural Safety Vol. 44 (2013), p. 28-36</w:t>
      </w:r>
    </w:p>
    <w:p w:rsidR="00782B86" w:rsidRPr="00313E82" w:rsidRDefault="00782B86" w:rsidP="003C4228">
      <w:pPr>
        <w:numPr>
          <w:ilvl w:val="0"/>
          <w:numId w:val="10"/>
        </w:numPr>
        <w:ind w:left="567" w:hanging="567"/>
        <w:rPr>
          <w:lang w:val="en-US"/>
        </w:rPr>
      </w:pPr>
      <w:bookmarkStart w:id="462" w:name="_Ref396307881"/>
      <w:r w:rsidRPr="00313E82">
        <w:rPr>
          <w:lang w:val="en-US"/>
        </w:rPr>
        <w:t>Ersdal, G., T. Aven, “Risk Informed Decision-making and its Ethical Basis”, Reliability Engineering and System Safety, Vol. 93, (2008), p. 197-205</w:t>
      </w:r>
      <w:bookmarkEnd w:id="462"/>
    </w:p>
    <w:p w:rsidR="006B58DC" w:rsidRPr="00313E82" w:rsidRDefault="006B58DC" w:rsidP="003C4228">
      <w:pPr>
        <w:numPr>
          <w:ilvl w:val="0"/>
          <w:numId w:val="10"/>
        </w:numPr>
        <w:ind w:left="567" w:hanging="567"/>
        <w:rPr>
          <w:lang w:val="en-US"/>
        </w:rPr>
      </w:pPr>
      <w:bookmarkStart w:id="463" w:name="_Ref396307935"/>
      <w:r w:rsidRPr="00313E82">
        <w:rPr>
          <w:lang w:val="en-US"/>
        </w:rPr>
        <w:t>Hartford, D.N.D., “Legal Framework Considerations in the Development of Risk Acceptance Criteria”, Structural Safety, Vol. 31 (2009), p. 118-123</w:t>
      </w:r>
      <w:bookmarkEnd w:id="463"/>
    </w:p>
    <w:p w:rsidR="00AD23B5" w:rsidRPr="00313E82" w:rsidRDefault="00772962" w:rsidP="003C4228">
      <w:pPr>
        <w:numPr>
          <w:ilvl w:val="0"/>
          <w:numId w:val="10"/>
        </w:numPr>
        <w:ind w:left="567" w:hanging="567"/>
        <w:rPr>
          <w:lang w:val="en-US"/>
        </w:rPr>
      </w:pPr>
      <w:bookmarkStart w:id="464" w:name="_Ref396308664"/>
      <w:r w:rsidRPr="00313E82">
        <w:rPr>
          <w:lang w:val="en-US"/>
        </w:rPr>
        <w:t>Tversky, A., D. Kahneman, “Advances in Prospect Theory: Cumulative Representation of Uncertainty”, Journal of Risk and Uncertainty, Vol. 5 (1992), p. 297-323</w:t>
      </w:r>
      <w:bookmarkEnd w:id="464"/>
      <w:r w:rsidR="00AD23B5" w:rsidRPr="00313E82">
        <w:rPr>
          <w:lang w:val="en-US"/>
        </w:rPr>
        <w:t xml:space="preserve"> </w:t>
      </w:r>
    </w:p>
    <w:p w:rsidR="005B1C27" w:rsidRPr="00680B18" w:rsidRDefault="00C407F7" w:rsidP="003C4228">
      <w:pPr>
        <w:numPr>
          <w:ilvl w:val="0"/>
          <w:numId w:val="10"/>
        </w:numPr>
        <w:ind w:left="567" w:hanging="567"/>
        <w:rPr>
          <w:lang w:val="de-DE"/>
        </w:rPr>
      </w:pPr>
      <w:bookmarkStart w:id="465" w:name="_Ref396210584"/>
      <w:r w:rsidRPr="00C96F34">
        <w:rPr>
          <w:lang w:val="de-DE"/>
        </w:rPr>
        <w:t>Berg, M. et al., “Risikobewertung im Energiebereich”, Polyprojekt Risiko und Sicherheit Dokumente Nr. 7, Zürich, 1995</w:t>
      </w:r>
      <w:bookmarkEnd w:id="465"/>
    </w:p>
    <w:p w:rsidR="00D10783" w:rsidRPr="00313E82" w:rsidRDefault="00D10783" w:rsidP="003C4228">
      <w:pPr>
        <w:numPr>
          <w:ilvl w:val="0"/>
          <w:numId w:val="10"/>
        </w:numPr>
        <w:ind w:left="567" w:hanging="567"/>
        <w:rPr>
          <w:lang w:val="en-US"/>
        </w:rPr>
      </w:pPr>
      <w:r w:rsidRPr="00313E82">
        <w:rPr>
          <w:lang w:val="en-US"/>
        </w:rPr>
        <w:t>Lind, N.C</w:t>
      </w:r>
      <w:r w:rsidR="006B58DC" w:rsidRPr="00313E82">
        <w:rPr>
          <w:lang w:val="en-US"/>
        </w:rPr>
        <w:t>. (ed.), “Technological Risk”, Pr</w:t>
      </w:r>
      <w:r w:rsidRPr="00313E82">
        <w:rPr>
          <w:lang w:val="en-US"/>
        </w:rPr>
        <w:t>oceedings of a Symposium on Risk in New Technologies 15 December 1981, University of Waterloo, Waterloo, Ontario, 1982</w:t>
      </w:r>
    </w:p>
    <w:p w:rsidR="007A685F" w:rsidRPr="00313E82" w:rsidRDefault="007A685F" w:rsidP="003C4228">
      <w:pPr>
        <w:numPr>
          <w:ilvl w:val="0"/>
          <w:numId w:val="10"/>
        </w:numPr>
        <w:ind w:left="567" w:hanging="567"/>
        <w:rPr>
          <w:lang w:val="en-US"/>
        </w:rPr>
      </w:pPr>
      <w:bookmarkStart w:id="466" w:name="_Ref396308530"/>
      <w:r w:rsidRPr="00313E82">
        <w:rPr>
          <w:lang w:val="en-US"/>
        </w:rPr>
        <w:t>U.S. NRC, “White Paper on Risk-informed and Performance-based Regulation”, SECY-98-144, March 1999</w:t>
      </w:r>
      <w:bookmarkEnd w:id="466"/>
    </w:p>
    <w:p w:rsidR="005E05C7" w:rsidRPr="00680B18" w:rsidRDefault="005B3375" w:rsidP="003C4228">
      <w:pPr>
        <w:numPr>
          <w:ilvl w:val="0"/>
          <w:numId w:val="10"/>
        </w:numPr>
        <w:ind w:left="567" w:hanging="567"/>
        <w:rPr>
          <w:lang w:val="de-DE"/>
        </w:rPr>
      </w:pPr>
      <w:bookmarkStart w:id="467" w:name="_Ref396313022"/>
      <w:r w:rsidRPr="00C96F34">
        <w:rPr>
          <w:lang w:val="de-DE"/>
        </w:rPr>
        <w:t xml:space="preserve">Bundesministerium für </w:t>
      </w:r>
      <w:r w:rsidRPr="00680B18">
        <w:rPr>
          <w:lang w:val="de-DE"/>
        </w:rPr>
        <w:t>Umwelt und Naturschutz (BMU), “Sicherheitsanforderungen an Kernkraftwerke” of 22 November 2012 (BAnz AT 24.02.2013 B3)</w:t>
      </w:r>
      <w:bookmarkEnd w:id="467"/>
    </w:p>
    <w:p w:rsidR="005B3375" w:rsidRPr="00313E82" w:rsidRDefault="005B3375" w:rsidP="003C4228">
      <w:pPr>
        <w:numPr>
          <w:ilvl w:val="0"/>
          <w:numId w:val="10"/>
        </w:numPr>
        <w:ind w:left="567" w:hanging="567"/>
        <w:rPr>
          <w:lang w:val="en-US"/>
        </w:rPr>
      </w:pPr>
      <w:bookmarkStart w:id="468" w:name="_Ref396313233"/>
      <w:r w:rsidRPr="00313E82">
        <w:rPr>
          <w:lang w:val="en-US"/>
        </w:rPr>
        <w:t>International Atomic Energy Agency (IAEA), “Safety Assessment for Facilities and Activities”, General Safety Requirements Part 4, No. GSR Part 4, May 2009</w:t>
      </w:r>
      <w:bookmarkEnd w:id="468"/>
    </w:p>
    <w:p w:rsidR="00B96BD0" w:rsidRPr="00313E82" w:rsidRDefault="00B96BD0" w:rsidP="003C4228">
      <w:pPr>
        <w:numPr>
          <w:ilvl w:val="0"/>
          <w:numId w:val="10"/>
        </w:numPr>
        <w:ind w:left="567" w:hanging="567"/>
        <w:rPr>
          <w:lang w:val="en-US"/>
        </w:rPr>
      </w:pPr>
      <w:bookmarkStart w:id="469" w:name="_Ref396314739"/>
      <w:r w:rsidRPr="00313E82">
        <w:rPr>
          <w:lang w:val="en-US"/>
        </w:rPr>
        <w:lastRenderedPageBreak/>
        <w:t>ISO, “ISO 9000 Introduction and Support Package: Guidance on the Concept and Use of the Process Approach for Management Systems”, ISO/TC 176/SC 2/N 544R3, 2008</w:t>
      </w:r>
      <w:bookmarkEnd w:id="469"/>
    </w:p>
    <w:p w:rsidR="00970DDD" w:rsidRPr="00313E82" w:rsidRDefault="00970DDD" w:rsidP="003C4228">
      <w:pPr>
        <w:numPr>
          <w:ilvl w:val="0"/>
          <w:numId w:val="10"/>
        </w:numPr>
        <w:ind w:left="567" w:hanging="567"/>
        <w:rPr>
          <w:lang w:val="en-US"/>
        </w:rPr>
      </w:pPr>
      <w:bookmarkStart w:id="470" w:name="_Ref396317988"/>
      <w:r w:rsidRPr="00313E82">
        <w:rPr>
          <w:lang w:val="en-US"/>
        </w:rPr>
        <w:t>Wint, S.M.E., “An Overview of Risk”, RSA Risk Commission, ca. 2006</w:t>
      </w:r>
      <w:bookmarkEnd w:id="470"/>
    </w:p>
    <w:p w:rsidR="00AF3A1E" w:rsidRPr="00313E82" w:rsidRDefault="00AF3A1E" w:rsidP="003C4228">
      <w:pPr>
        <w:numPr>
          <w:ilvl w:val="0"/>
          <w:numId w:val="10"/>
        </w:numPr>
        <w:ind w:left="567" w:hanging="567"/>
        <w:rPr>
          <w:lang w:val="en-US"/>
        </w:rPr>
      </w:pPr>
      <w:bookmarkStart w:id="471" w:name="_Ref396320164"/>
      <w:r w:rsidRPr="00313E82">
        <w:rPr>
          <w:lang w:val="en-US"/>
        </w:rPr>
        <w:t>Kim, S.K., Song, O., “A MAUT Approa</w:t>
      </w:r>
      <w:r w:rsidR="00C96247" w:rsidRPr="00313E82">
        <w:rPr>
          <w:lang w:val="en-US"/>
        </w:rPr>
        <w:t>c</w:t>
      </w:r>
      <w:r w:rsidRPr="00313E82">
        <w:rPr>
          <w:lang w:val="en-US"/>
        </w:rPr>
        <w:t>h for Selecting a Dismantling Scenario for the Thermal Column in KKR-1”, Annals of Nuclear Energy, Vol. 36 (2009), p. 145-150</w:t>
      </w:r>
      <w:bookmarkEnd w:id="471"/>
    </w:p>
    <w:p w:rsidR="00C96247" w:rsidRPr="00313E82" w:rsidRDefault="00C96247" w:rsidP="003C4228">
      <w:pPr>
        <w:numPr>
          <w:ilvl w:val="0"/>
          <w:numId w:val="10"/>
        </w:numPr>
        <w:ind w:left="567" w:hanging="567"/>
        <w:rPr>
          <w:lang w:val="en-US"/>
        </w:rPr>
      </w:pPr>
      <w:bookmarkStart w:id="472" w:name="_Ref397345889"/>
      <w:r w:rsidRPr="00313E82">
        <w:rPr>
          <w:lang w:val="en-US"/>
        </w:rPr>
        <w:t>Artzner, P., J. Eber, D. Heath, “Coherent Measures of Risk”, Mathematical Finance, Vol. 9, No. 3 (1999), p. 203-228</w:t>
      </w:r>
      <w:bookmarkEnd w:id="472"/>
    </w:p>
    <w:p w:rsidR="00C4542F" w:rsidRPr="00313E82" w:rsidRDefault="00C4542F" w:rsidP="003C4228">
      <w:pPr>
        <w:numPr>
          <w:ilvl w:val="0"/>
          <w:numId w:val="10"/>
        </w:numPr>
        <w:ind w:left="567" w:hanging="567"/>
        <w:rPr>
          <w:lang w:val="en-US"/>
        </w:rPr>
      </w:pPr>
      <w:bookmarkStart w:id="473" w:name="_Ref397348012"/>
      <w:r w:rsidRPr="00313E82">
        <w:rPr>
          <w:lang w:val="en-US"/>
        </w:rPr>
        <w:t>Frittelli, M., E.R. Gianin, “Putting Order in Risk Measures”, Journal of Banking and Finance 26 (2002), p. 1473-1486</w:t>
      </w:r>
      <w:bookmarkEnd w:id="473"/>
    </w:p>
    <w:p w:rsidR="00947E2D" w:rsidRPr="00313E82" w:rsidRDefault="00947E2D" w:rsidP="003C4228">
      <w:pPr>
        <w:numPr>
          <w:ilvl w:val="0"/>
          <w:numId w:val="10"/>
        </w:numPr>
        <w:ind w:left="567" w:hanging="567"/>
        <w:rPr>
          <w:lang w:val="en-US"/>
        </w:rPr>
      </w:pPr>
      <w:r w:rsidRPr="00313E82">
        <w:rPr>
          <w:lang w:val="en-US"/>
        </w:rPr>
        <w:t>Cox, L.A., “Why Risk is Not Variance: An Expository Note”, Risk Analysis, Vol 28 (2008), p. 925-928</w:t>
      </w:r>
    </w:p>
    <w:p w:rsidR="0059559B" w:rsidRPr="00313E82" w:rsidRDefault="0059559B" w:rsidP="003C4228">
      <w:pPr>
        <w:numPr>
          <w:ilvl w:val="0"/>
          <w:numId w:val="10"/>
        </w:numPr>
        <w:ind w:left="567" w:hanging="567"/>
        <w:rPr>
          <w:lang w:val="en-US"/>
        </w:rPr>
      </w:pPr>
      <w:bookmarkStart w:id="474" w:name="_Ref399673357"/>
      <w:bookmarkEnd w:id="432"/>
      <w:r w:rsidRPr="00313E82">
        <w:rPr>
          <w:lang w:val="en-US"/>
        </w:rPr>
        <w:t>International Atomic Energy Agency (IAEA), “Applications of probabilistic safety assessment (PSA) for nuclear power plants”, IAEA-TECDOC-1200, February 2001.</w:t>
      </w:r>
      <w:bookmarkEnd w:id="474"/>
    </w:p>
    <w:p w:rsidR="0059559B" w:rsidRPr="00313E82" w:rsidRDefault="0059559B" w:rsidP="003C4228">
      <w:pPr>
        <w:numPr>
          <w:ilvl w:val="0"/>
          <w:numId w:val="10"/>
        </w:numPr>
        <w:ind w:left="567" w:hanging="567"/>
        <w:rPr>
          <w:lang w:val="en-US"/>
        </w:rPr>
      </w:pPr>
      <w:bookmarkStart w:id="475" w:name="_Ref399674470"/>
      <w:r w:rsidRPr="00313E82">
        <w:rPr>
          <w:lang w:val="en-US"/>
        </w:rPr>
        <w:t>International Atomic Energy Agency (IAEA), “Procedures for Conducting Probabilistic Safety Assessments of Nuclear Power Plants (Level 1)”, Safety Series No. 50-P-4, 1992.</w:t>
      </w:r>
      <w:bookmarkEnd w:id="475"/>
    </w:p>
    <w:p w:rsidR="0059559B" w:rsidRPr="00313E82" w:rsidRDefault="0059559B" w:rsidP="003C4228">
      <w:pPr>
        <w:numPr>
          <w:ilvl w:val="0"/>
          <w:numId w:val="10"/>
        </w:numPr>
        <w:ind w:left="567" w:hanging="567"/>
        <w:rPr>
          <w:lang w:val="en-US"/>
        </w:rPr>
      </w:pPr>
      <w:bookmarkStart w:id="476" w:name="_Ref399743302"/>
      <w:r w:rsidRPr="00313E82">
        <w:rPr>
          <w:lang w:val="en-US"/>
        </w:rPr>
        <w:t>International Atomic Energy Agency (IAEA), “Determining the quality of probabilistic safety assessment (PSA) for applications in nuclear power plants”, IAEA-TECDOC-1511, July 2006.</w:t>
      </w:r>
      <w:bookmarkEnd w:id="476"/>
    </w:p>
    <w:p w:rsidR="00581ECF" w:rsidRPr="00313E82" w:rsidRDefault="00581ECF" w:rsidP="003C4228">
      <w:pPr>
        <w:numPr>
          <w:ilvl w:val="0"/>
          <w:numId w:val="10"/>
        </w:numPr>
        <w:ind w:left="567" w:hanging="567"/>
        <w:rPr>
          <w:lang w:val="en-US"/>
        </w:rPr>
      </w:pPr>
      <w:bookmarkStart w:id="477" w:name="_Ref413857632"/>
      <w:r w:rsidRPr="00313E82">
        <w:rPr>
          <w:lang w:val="en-US"/>
        </w:rPr>
        <w:t>Holmberg, J., M. Knochenhauer, “Probabilistic Safety Goals. Phase 1 – Status and Experience in Sweden and Finland</w:t>
      </w:r>
      <w:r w:rsidR="008F6648">
        <w:rPr>
          <w:lang w:val="en-US"/>
        </w:rPr>
        <w:t>”</w:t>
      </w:r>
      <w:r w:rsidRPr="00313E82">
        <w:rPr>
          <w:lang w:val="en-US"/>
        </w:rPr>
        <w:t>, NKS-152, March 2007</w:t>
      </w:r>
      <w:bookmarkEnd w:id="477"/>
    </w:p>
    <w:p w:rsidR="00C6342C" w:rsidRPr="00313E82" w:rsidRDefault="00C6342C" w:rsidP="003C4228">
      <w:pPr>
        <w:numPr>
          <w:ilvl w:val="0"/>
          <w:numId w:val="10"/>
        </w:numPr>
        <w:ind w:left="567" w:hanging="567"/>
        <w:rPr>
          <w:lang w:val="en-US"/>
        </w:rPr>
      </w:pPr>
      <w:r w:rsidRPr="00313E82">
        <w:rPr>
          <w:lang w:val="en-US"/>
        </w:rPr>
        <w:t>Holmberg, J., M. Knochenhauer</w:t>
      </w:r>
      <w:r w:rsidR="00A96DCC" w:rsidRPr="00313E82">
        <w:rPr>
          <w:lang w:val="en-US"/>
        </w:rPr>
        <w:t xml:space="preserve"> et al. </w:t>
      </w:r>
      <w:r w:rsidRPr="00313E82">
        <w:rPr>
          <w:lang w:val="en-US"/>
        </w:rPr>
        <w:t xml:space="preserve">, “Probabilistic Safety Goals. Phase </w:t>
      </w:r>
      <w:r w:rsidR="00A96DCC" w:rsidRPr="00313E82">
        <w:rPr>
          <w:lang w:val="en-US"/>
        </w:rPr>
        <w:t>2</w:t>
      </w:r>
      <w:r w:rsidRPr="00313E82">
        <w:rPr>
          <w:lang w:val="en-US"/>
        </w:rPr>
        <w:t xml:space="preserve"> – Status Report”, NKS-1</w:t>
      </w:r>
      <w:r w:rsidR="00A96DCC" w:rsidRPr="00313E82">
        <w:rPr>
          <w:lang w:val="en-US"/>
        </w:rPr>
        <w:t>72</w:t>
      </w:r>
      <w:r w:rsidRPr="00313E82">
        <w:rPr>
          <w:lang w:val="en-US"/>
        </w:rPr>
        <w:t>, July 200</w:t>
      </w:r>
      <w:r w:rsidR="00A96DCC" w:rsidRPr="00313E82">
        <w:rPr>
          <w:lang w:val="en-US"/>
        </w:rPr>
        <w:t>8</w:t>
      </w:r>
    </w:p>
    <w:p w:rsidR="00422BD7" w:rsidRPr="00313E82" w:rsidRDefault="00422BD7" w:rsidP="003C4228">
      <w:pPr>
        <w:numPr>
          <w:ilvl w:val="0"/>
          <w:numId w:val="10"/>
        </w:numPr>
        <w:ind w:left="567" w:hanging="567"/>
        <w:rPr>
          <w:lang w:val="en-US"/>
        </w:rPr>
      </w:pPr>
      <w:bookmarkStart w:id="478" w:name="_Ref413863269"/>
      <w:r w:rsidRPr="00313E82">
        <w:rPr>
          <w:lang w:val="en-US"/>
        </w:rPr>
        <w:t>Wikimedia Foundation, “Risk metric” , version 7 December 2014, http://en.wikipedia.org/wiki/Risk_metric</w:t>
      </w:r>
      <w:bookmarkEnd w:id="478"/>
    </w:p>
    <w:p w:rsidR="00DE4E08" w:rsidRPr="00313E82" w:rsidRDefault="00DE4E08" w:rsidP="003C4228">
      <w:pPr>
        <w:numPr>
          <w:ilvl w:val="0"/>
          <w:numId w:val="10"/>
        </w:numPr>
        <w:ind w:left="567" w:hanging="567"/>
        <w:rPr>
          <w:lang w:val="en-US"/>
        </w:rPr>
      </w:pPr>
      <w:bookmarkStart w:id="479" w:name="_Ref414016455"/>
      <w:r w:rsidRPr="00313E82">
        <w:rPr>
          <w:lang w:val="en-US"/>
        </w:rPr>
        <w:t>OECD/NEA, “Use and Development of Probabilistic Safety Assessment”, NEA/CSNI/R(2012)11, January 2013</w:t>
      </w:r>
      <w:bookmarkEnd w:id="479"/>
    </w:p>
    <w:p w:rsidR="001F05FC" w:rsidRPr="00313E82" w:rsidRDefault="001F05FC" w:rsidP="003C4228">
      <w:pPr>
        <w:numPr>
          <w:ilvl w:val="0"/>
          <w:numId w:val="10"/>
        </w:numPr>
        <w:ind w:left="567" w:hanging="567"/>
        <w:rPr>
          <w:lang w:val="en-US"/>
        </w:rPr>
      </w:pPr>
      <w:r w:rsidRPr="00313E82">
        <w:rPr>
          <w:lang w:val="en-US"/>
        </w:rPr>
        <w:t>Vesely, W.E., T.C. Davis, R. S. Denning, N. Saltos, “Measures of Risk Importance and Their Applications”, NUREG/CR-3385, May 1986</w:t>
      </w:r>
    </w:p>
    <w:p w:rsidR="001F05FC" w:rsidRPr="00313E82" w:rsidRDefault="001F05FC" w:rsidP="003C4228">
      <w:pPr>
        <w:numPr>
          <w:ilvl w:val="0"/>
          <w:numId w:val="10"/>
        </w:numPr>
        <w:ind w:left="567" w:hanging="567"/>
        <w:rPr>
          <w:lang w:val="en-US"/>
        </w:rPr>
      </w:pPr>
      <w:bookmarkStart w:id="480" w:name="_Ref414368201"/>
      <w:r w:rsidRPr="00313E82">
        <w:rPr>
          <w:lang w:val="en-US"/>
        </w:rPr>
        <w:t>INL, “Next Generation Nuclear Plant Probabilistic Risk Assessment White Paper”, INL/EXT-11-21270, September 2011</w:t>
      </w:r>
      <w:bookmarkEnd w:id="480"/>
    </w:p>
    <w:p w:rsidR="00DB29A8" w:rsidRPr="00313E82" w:rsidRDefault="00DB29A8" w:rsidP="003C4228">
      <w:pPr>
        <w:numPr>
          <w:ilvl w:val="0"/>
          <w:numId w:val="10"/>
        </w:numPr>
        <w:ind w:left="567" w:hanging="567"/>
        <w:rPr>
          <w:lang w:val="en-US"/>
        </w:rPr>
      </w:pPr>
      <w:bookmarkStart w:id="481" w:name="_Ref417475151"/>
      <w:r w:rsidRPr="00313E82">
        <w:rPr>
          <w:lang w:val="en-US"/>
        </w:rPr>
        <w:t>WENRA, “WENRA Safety Reference Levels for Existing Reactors”, September 2014</w:t>
      </w:r>
      <w:bookmarkEnd w:id="481"/>
      <w:r w:rsidRPr="00313E82">
        <w:rPr>
          <w:lang w:val="en-US"/>
        </w:rPr>
        <w:tab/>
      </w:r>
    </w:p>
    <w:p w:rsidR="00DB29A8" w:rsidRPr="00313E82" w:rsidRDefault="00DB29A8" w:rsidP="003C4228">
      <w:pPr>
        <w:numPr>
          <w:ilvl w:val="0"/>
          <w:numId w:val="10"/>
        </w:numPr>
        <w:ind w:left="567" w:hanging="567"/>
        <w:rPr>
          <w:lang w:val="en-US"/>
        </w:rPr>
      </w:pPr>
      <w:bookmarkStart w:id="482" w:name="_Ref417475152"/>
      <w:r w:rsidRPr="00313E82">
        <w:rPr>
          <w:lang w:val="en-US"/>
        </w:rPr>
        <w:t>WENRA, “PSA Explanatory Note”, March 2007</w:t>
      </w:r>
      <w:bookmarkEnd w:id="482"/>
      <w:r w:rsidRPr="00313E82">
        <w:rPr>
          <w:lang w:val="en-US"/>
        </w:rPr>
        <w:tab/>
      </w:r>
    </w:p>
    <w:p w:rsidR="00414E13" w:rsidRPr="00313E82" w:rsidRDefault="00414E13" w:rsidP="003C4228">
      <w:pPr>
        <w:numPr>
          <w:ilvl w:val="0"/>
          <w:numId w:val="10"/>
        </w:numPr>
        <w:ind w:left="567" w:hanging="567"/>
        <w:rPr>
          <w:lang w:val="en-US"/>
        </w:rPr>
      </w:pPr>
      <w:bookmarkStart w:id="483" w:name="_Ref418516140"/>
      <w:r w:rsidRPr="00313E82">
        <w:rPr>
          <w:lang w:val="en-US"/>
        </w:rPr>
        <w:t xml:space="preserve">Swiss Federal Nuclear Safety Inspectorate (ENSI), </w:t>
      </w:r>
      <w:r w:rsidR="00EF1B78">
        <w:rPr>
          <w:lang w:val="en-US"/>
        </w:rPr>
        <w:t>“</w:t>
      </w:r>
      <w:r w:rsidRPr="00313E82">
        <w:rPr>
          <w:lang w:val="en-US"/>
        </w:rPr>
        <w:t>Probabilistic Safety Analysis (PSA): Quality and Scope</w:t>
      </w:r>
      <w:r w:rsidR="00EF1B78">
        <w:rPr>
          <w:lang w:val="en-US"/>
        </w:rPr>
        <w:t>”</w:t>
      </w:r>
      <w:r w:rsidRPr="00313E82">
        <w:rPr>
          <w:lang w:val="en-US"/>
        </w:rPr>
        <w:t>, ENSI-A05/e, March 2009</w:t>
      </w:r>
      <w:bookmarkEnd w:id="483"/>
      <w:r w:rsidRPr="00313E82">
        <w:rPr>
          <w:lang w:val="en-US"/>
        </w:rPr>
        <w:tab/>
      </w:r>
    </w:p>
    <w:p w:rsidR="00A4604E" w:rsidRPr="00680B18" w:rsidRDefault="00A4604E" w:rsidP="003C4228">
      <w:pPr>
        <w:numPr>
          <w:ilvl w:val="0"/>
          <w:numId w:val="10"/>
        </w:numPr>
        <w:ind w:left="567" w:hanging="567"/>
        <w:rPr>
          <w:lang w:val="de-DE"/>
        </w:rPr>
      </w:pPr>
      <w:bookmarkStart w:id="484" w:name="_Ref418516981"/>
      <w:r w:rsidRPr="00C96F34">
        <w:rPr>
          <w:lang w:val="de-DE"/>
        </w:rPr>
        <w:t>Einarsson, S., A. Wielenberg, “Vorschlag für eine bundeseinheitliche Anwendung von IRIDM-Verfahren bei sic</w:t>
      </w:r>
      <w:r w:rsidRPr="00680B18">
        <w:rPr>
          <w:lang w:val="de-DE"/>
        </w:rPr>
        <w:t>herheitstechnischer Entscheidungsfind</w:t>
      </w:r>
      <w:r w:rsidR="008C44DD">
        <w:rPr>
          <w:lang w:val="de-DE"/>
        </w:rPr>
        <w:t>u</w:t>
      </w:r>
      <w:r w:rsidRPr="00680B18">
        <w:rPr>
          <w:lang w:val="de-DE"/>
        </w:rPr>
        <w:t>ng</w:t>
      </w:r>
      <w:r w:rsidR="008131A1" w:rsidRPr="008C44DD">
        <w:rPr>
          <w:lang w:val="de-CH"/>
        </w:rPr>
        <w:t>”</w:t>
      </w:r>
      <w:r w:rsidRPr="00680B18">
        <w:rPr>
          <w:lang w:val="de-DE"/>
        </w:rPr>
        <w:t>, GRS-A-3666, September 2012</w:t>
      </w:r>
      <w:bookmarkEnd w:id="484"/>
      <w:r w:rsidRPr="00680B18">
        <w:rPr>
          <w:lang w:val="de-DE"/>
        </w:rPr>
        <w:tab/>
      </w:r>
    </w:p>
    <w:p w:rsidR="008D6C27" w:rsidRPr="00313E82" w:rsidRDefault="008D6C27" w:rsidP="003C4228">
      <w:pPr>
        <w:numPr>
          <w:ilvl w:val="0"/>
          <w:numId w:val="10"/>
        </w:numPr>
        <w:ind w:left="567" w:hanging="567"/>
        <w:rPr>
          <w:lang w:val="en-US"/>
        </w:rPr>
      </w:pPr>
      <w:bookmarkStart w:id="485" w:name="_Ref418530208"/>
      <w:r w:rsidRPr="00313E82">
        <w:rPr>
          <w:lang w:val="en-US"/>
        </w:rPr>
        <w:t xml:space="preserve">Swiss Federal Nuclear Safety Inspectorate (ENSI), </w:t>
      </w:r>
      <w:r w:rsidR="00EF1B78">
        <w:rPr>
          <w:lang w:val="en-US"/>
        </w:rPr>
        <w:t>“</w:t>
      </w:r>
      <w:r w:rsidRPr="00313E82">
        <w:rPr>
          <w:lang w:val="en-US"/>
        </w:rPr>
        <w:t>Probabilistic Safety Analysis (PSA): Applications</w:t>
      </w:r>
      <w:r w:rsidR="00EF1B78">
        <w:rPr>
          <w:lang w:val="en-US"/>
        </w:rPr>
        <w:t>”</w:t>
      </w:r>
      <w:r w:rsidRPr="00313E82">
        <w:rPr>
          <w:lang w:val="en-US"/>
        </w:rPr>
        <w:t>, ENSI-A06/e, March 2009</w:t>
      </w:r>
      <w:bookmarkEnd w:id="485"/>
      <w:r w:rsidRPr="00313E82">
        <w:rPr>
          <w:lang w:val="en-US"/>
        </w:rPr>
        <w:tab/>
      </w:r>
    </w:p>
    <w:p w:rsidR="00DB259D" w:rsidRPr="00313E82" w:rsidRDefault="00DB259D" w:rsidP="003C4228">
      <w:pPr>
        <w:numPr>
          <w:ilvl w:val="0"/>
          <w:numId w:val="10"/>
        </w:numPr>
        <w:ind w:left="567" w:hanging="567"/>
        <w:rPr>
          <w:lang w:val="en-US"/>
        </w:rPr>
      </w:pPr>
      <w:bookmarkStart w:id="486" w:name="_Ref418600965"/>
      <w:r w:rsidRPr="00313E82">
        <w:rPr>
          <w:lang w:val="en-US"/>
        </w:rPr>
        <w:t>Bundesamt für Strahlenschutz (BfS), “Safety Review for Nuclear Power Plants pursuant to §19a of the Atomic Energy Act – Guide Probabilistic Safety Analysis” of 30 August 2005</w:t>
      </w:r>
      <w:bookmarkEnd w:id="486"/>
      <w:r w:rsidRPr="00313E82">
        <w:rPr>
          <w:lang w:val="en-US"/>
        </w:rPr>
        <w:tab/>
      </w:r>
    </w:p>
    <w:p w:rsidR="00422BD7" w:rsidRPr="00313E82" w:rsidRDefault="00943BBF" w:rsidP="003C4228">
      <w:pPr>
        <w:numPr>
          <w:ilvl w:val="0"/>
          <w:numId w:val="10"/>
        </w:numPr>
        <w:ind w:left="567" w:hanging="567"/>
        <w:rPr>
          <w:lang w:val="en-US"/>
        </w:rPr>
      </w:pPr>
      <w:bookmarkStart w:id="487" w:name="_Ref293324176"/>
      <w:r w:rsidRPr="00313E82">
        <w:rPr>
          <w:lang w:val="en-US"/>
        </w:rPr>
        <w:t xml:space="preserve">Canadian Nuclear Safety Commission (CNSC), </w:t>
      </w:r>
      <w:r w:rsidR="00EF1B78">
        <w:rPr>
          <w:lang w:val="en-US"/>
        </w:rPr>
        <w:t>“</w:t>
      </w:r>
      <w:r w:rsidRPr="00313E82">
        <w:rPr>
          <w:lang w:val="en-US"/>
        </w:rPr>
        <w:t>Physical Design - Design of Reactor Facilities:</w:t>
      </w:r>
      <w:r w:rsidR="00422BD7" w:rsidRPr="00313E82">
        <w:rPr>
          <w:lang w:val="en-US"/>
        </w:rPr>
        <w:t xml:space="preserve"> </w:t>
      </w:r>
      <w:r w:rsidRPr="00313E82">
        <w:rPr>
          <w:lang w:val="en-US"/>
        </w:rPr>
        <w:t>Nuclear Power Plants</w:t>
      </w:r>
      <w:r w:rsidR="00EF1B78">
        <w:rPr>
          <w:lang w:val="en-US"/>
        </w:rPr>
        <w:t>”</w:t>
      </w:r>
      <w:r w:rsidRPr="00313E82">
        <w:rPr>
          <w:lang w:val="en-US"/>
        </w:rPr>
        <w:t>, REGDOC-2.5.2, May 2014.</w:t>
      </w:r>
      <w:bookmarkEnd w:id="487"/>
    </w:p>
    <w:p w:rsidR="0025176E" w:rsidRPr="00313E82" w:rsidRDefault="0025176E" w:rsidP="003C4228">
      <w:pPr>
        <w:numPr>
          <w:ilvl w:val="0"/>
          <w:numId w:val="10"/>
        </w:numPr>
        <w:ind w:left="567" w:hanging="567"/>
        <w:rPr>
          <w:lang w:val="en-US"/>
        </w:rPr>
      </w:pPr>
      <w:bookmarkStart w:id="488" w:name="_Ref426462364"/>
      <w:r w:rsidRPr="00313E82">
        <w:rPr>
          <w:lang w:val="en-US"/>
        </w:rPr>
        <w:lastRenderedPageBreak/>
        <w:t>Bareith A., Lajtha G., Dienstbier J. and Grindon E., Stable or Final Reactor States and the definition of LERF, SARNET-PSA2-D99, 2004.</w:t>
      </w:r>
      <w:bookmarkEnd w:id="488"/>
    </w:p>
    <w:p w:rsidR="00592CE5" w:rsidRPr="00313E82" w:rsidRDefault="00592CE5" w:rsidP="00395E63">
      <w:pPr>
        <w:numPr>
          <w:ilvl w:val="0"/>
          <w:numId w:val="10"/>
        </w:numPr>
        <w:ind w:left="567" w:hanging="567"/>
        <w:rPr>
          <w:lang w:val="en-US"/>
        </w:rPr>
      </w:pPr>
      <w:bookmarkStart w:id="489" w:name="_Ref300912550"/>
      <w:r w:rsidRPr="00313E82">
        <w:rPr>
          <w:lang w:val="en-US"/>
        </w:rPr>
        <w:t>NRC. Evaluations and Utilizations of Risk Importances.  NUREG/CR-4377. Washington1985.</w:t>
      </w:r>
      <w:bookmarkEnd w:id="489"/>
    </w:p>
    <w:p w:rsidR="00592CE5" w:rsidRPr="00313E82" w:rsidRDefault="00592CE5" w:rsidP="00395E63">
      <w:pPr>
        <w:numPr>
          <w:ilvl w:val="0"/>
          <w:numId w:val="10"/>
        </w:numPr>
        <w:ind w:left="567" w:hanging="567"/>
        <w:rPr>
          <w:lang w:val="en-US"/>
        </w:rPr>
      </w:pPr>
      <w:bookmarkStart w:id="490" w:name="_Ref300912604"/>
      <w:r w:rsidRPr="00313E82">
        <w:rPr>
          <w:lang w:val="en-US"/>
        </w:rPr>
        <w:t>Barlow RE, Proschan F. Importance of system components and fault tree events. Stochastic Processes and their Applications. 1975;3:153-73.</w:t>
      </w:r>
      <w:bookmarkEnd w:id="490"/>
    </w:p>
    <w:p w:rsidR="00592CE5" w:rsidRPr="00313E82" w:rsidRDefault="00592CE5" w:rsidP="00395E63">
      <w:pPr>
        <w:numPr>
          <w:ilvl w:val="0"/>
          <w:numId w:val="10"/>
        </w:numPr>
        <w:ind w:left="567" w:hanging="567"/>
        <w:rPr>
          <w:lang w:val="en-US"/>
        </w:rPr>
      </w:pPr>
      <w:bookmarkStart w:id="491" w:name="_Ref300912607"/>
      <w:r w:rsidRPr="00313E82">
        <w:rPr>
          <w:lang w:val="en-US"/>
        </w:rPr>
        <w:t>Boland PJ, Proschan F, Tong YL. Optimal Arrangement of Components Via Pairwise Rearrangements. Nav Res Log. 1989;36:807-15.</w:t>
      </w:r>
      <w:bookmarkEnd w:id="491"/>
    </w:p>
    <w:p w:rsidR="00592CE5" w:rsidRPr="00313E82" w:rsidRDefault="00592CE5" w:rsidP="00395E63">
      <w:pPr>
        <w:numPr>
          <w:ilvl w:val="0"/>
          <w:numId w:val="10"/>
        </w:numPr>
        <w:ind w:left="567" w:hanging="567"/>
        <w:rPr>
          <w:lang w:val="en-US"/>
        </w:rPr>
      </w:pPr>
      <w:bookmarkStart w:id="492" w:name="_Ref300912611"/>
      <w:r w:rsidRPr="00313E82">
        <w:rPr>
          <w:lang w:val="en-US"/>
        </w:rPr>
        <w:t>Wu SM. Joint importance of multistate systems. Comput Ind Eng. 2005;49:63-75.</w:t>
      </w:r>
      <w:bookmarkEnd w:id="492"/>
    </w:p>
    <w:p w:rsidR="00592CE5" w:rsidRPr="00313E82" w:rsidRDefault="00592CE5" w:rsidP="00395E63">
      <w:pPr>
        <w:numPr>
          <w:ilvl w:val="0"/>
          <w:numId w:val="10"/>
        </w:numPr>
        <w:ind w:left="567" w:hanging="567"/>
        <w:rPr>
          <w:lang w:val="en-US"/>
        </w:rPr>
      </w:pPr>
      <w:bookmarkStart w:id="493" w:name="_Ref300912614"/>
      <w:r w:rsidRPr="00313E82">
        <w:rPr>
          <w:lang w:val="en-US"/>
        </w:rPr>
        <w:t>Mathematics SUA, Laboratory S, Butler DA, Research USOoN. A Complete Importance Ranking for Components of Binary Coherent Systems, with Extensions to Multi-state Systems: Defense Technical Information Center; 1977.</w:t>
      </w:r>
      <w:bookmarkEnd w:id="493"/>
    </w:p>
    <w:p w:rsidR="00592CE5" w:rsidRPr="00313E82" w:rsidRDefault="00592CE5" w:rsidP="00395E63">
      <w:pPr>
        <w:numPr>
          <w:ilvl w:val="0"/>
          <w:numId w:val="10"/>
        </w:numPr>
        <w:ind w:left="567" w:hanging="567"/>
        <w:rPr>
          <w:lang w:val="en-US"/>
        </w:rPr>
      </w:pPr>
      <w:bookmarkStart w:id="494" w:name="_Ref300912616"/>
      <w:r w:rsidRPr="00313E82">
        <w:rPr>
          <w:lang w:val="en-US"/>
        </w:rPr>
        <w:t>Butler DA. Technical Note—An Importance Ranking for System Components Based upon Cuts. Operations Research. 1977;25:874-9.</w:t>
      </w:r>
      <w:bookmarkEnd w:id="494"/>
    </w:p>
    <w:p w:rsidR="00592CE5" w:rsidRPr="00313E82" w:rsidRDefault="00592CE5" w:rsidP="00395E63">
      <w:pPr>
        <w:numPr>
          <w:ilvl w:val="0"/>
          <w:numId w:val="10"/>
        </w:numPr>
        <w:ind w:left="567" w:hanging="567"/>
        <w:rPr>
          <w:lang w:val="en-US"/>
        </w:rPr>
      </w:pPr>
      <w:bookmarkStart w:id="495" w:name="_Ref300912619"/>
      <w:r w:rsidRPr="00313E82">
        <w:rPr>
          <w:lang w:val="en-US"/>
        </w:rPr>
        <w:t>Birnbaum ZW. On the importance of different components in a multicomponent system. Multivariate Analysis. 1969;2:581–92.</w:t>
      </w:r>
      <w:bookmarkEnd w:id="495"/>
    </w:p>
    <w:p w:rsidR="00A30D35" w:rsidRPr="00313E82" w:rsidRDefault="00592CE5" w:rsidP="00395E63">
      <w:pPr>
        <w:numPr>
          <w:ilvl w:val="0"/>
          <w:numId w:val="10"/>
        </w:numPr>
        <w:ind w:left="567" w:hanging="567"/>
        <w:rPr>
          <w:lang w:val="en-US"/>
        </w:rPr>
      </w:pPr>
      <w:bookmarkStart w:id="496" w:name="_Ref300912622"/>
      <w:r w:rsidRPr="00313E82">
        <w:rPr>
          <w:lang w:val="en-US"/>
        </w:rPr>
        <w:t>Bartlett LM, Andrews JD. An ordering heuristic to develop the binary decision diagram based on structural importance. Reliability Engineering &amp; System Safety. 2001;72:31-8.</w:t>
      </w:r>
      <w:bookmarkEnd w:id="496"/>
    </w:p>
    <w:p w:rsidR="00960E7C" w:rsidRPr="00313E82" w:rsidRDefault="00960E7C" w:rsidP="00395E63">
      <w:pPr>
        <w:numPr>
          <w:ilvl w:val="0"/>
          <w:numId w:val="10"/>
        </w:numPr>
        <w:ind w:left="567" w:hanging="567"/>
        <w:rPr>
          <w:lang w:val="en-US"/>
        </w:rPr>
      </w:pPr>
      <w:bookmarkStart w:id="497" w:name="_Ref301171650"/>
      <w:r w:rsidRPr="00313E82">
        <w:rPr>
          <w:lang w:val="en-US"/>
        </w:rPr>
        <w:t>Volkanovski, A. 2015. Impact of component unavailability uncertainty on safety systems unavailability. Nuclear Engineering and Design, 283(</w:t>
      </w:r>
      <w:r w:rsidR="000B2D86">
        <w:rPr>
          <w:lang w:val="en-US"/>
        </w:rPr>
        <w:t>3</w:t>
      </w:r>
      <w:r w:rsidRPr="00313E82">
        <w:rPr>
          <w:lang w:val="en-US"/>
        </w:rPr>
        <w:t>), pp 193-201.</w:t>
      </w:r>
      <w:bookmarkEnd w:id="497"/>
    </w:p>
    <w:p w:rsidR="00960E7C" w:rsidRPr="00313E82" w:rsidRDefault="00960E7C" w:rsidP="00395E63">
      <w:pPr>
        <w:numPr>
          <w:ilvl w:val="0"/>
          <w:numId w:val="10"/>
        </w:numPr>
        <w:ind w:left="567" w:hanging="567"/>
        <w:rPr>
          <w:lang w:val="en-US"/>
        </w:rPr>
      </w:pPr>
      <w:bookmarkStart w:id="498" w:name="_Ref301171653"/>
      <w:r w:rsidRPr="00313E82">
        <w:rPr>
          <w:rFonts w:eastAsia="Batang"/>
          <w:lang w:val="en-US"/>
        </w:rPr>
        <w:t>Volkanovski, A. &amp; Čepin, M. 2011. Implication of PSA uncertainties on risk-informed decision making. Nuclear Engineering and Design, 241(4), pp 1108-1113.</w:t>
      </w:r>
      <w:bookmarkEnd w:id="498"/>
    </w:p>
    <w:p w:rsidR="003B1872" w:rsidRPr="00313E82" w:rsidRDefault="00787FC0" w:rsidP="00395E63">
      <w:pPr>
        <w:numPr>
          <w:ilvl w:val="0"/>
          <w:numId w:val="10"/>
        </w:numPr>
        <w:ind w:left="567" w:hanging="567"/>
        <w:rPr>
          <w:rFonts w:eastAsia="Batang"/>
          <w:lang w:val="en-US"/>
        </w:rPr>
      </w:pPr>
      <w:bookmarkStart w:id="499" w:name="_Ref302033249"/>
      <w:r w:rsidRPr="00313E82">
        <w:rPr>
          <w:rFonts w:eastAsia="Batang"/>
          <w:lang w:val="en-US"/>
        </w:rPr>
        <w:t>Pickering B Risk Assessment Summary, NK30-REP-03611-00021-R000, 2013-02-14 (</w:t>
      </w:r>
      <w:hyperlink r:id="rId30" w:history="1">
        <w:r w:rsidRPr="00C94556">
          <w:rPr>
            <w:rStyle w:val="Lienhypertexte"/>
            <w:rFonts w:eastAsia="Batang"/>
            <w:lang w:val="en-US"/>
          </w:rPr>
          <w:t>http://www.opg.com/generating-power/nuclear/stations/pickering-nuclear/Documents/NK30-REP-03611-00021.pdf</w:t>
        </w:r>
      </w:hyperlink>
      <w:r w:rsidRPr="00313E82">
        <w:rPr>
          <w:rFonts w:eastAsia="Batang"/>
          <w:lang w:val="en-US"/>
        </w:rPr>
        <w:t>).</w:t>
      </w:r>
      <w:bookmarkEnd w:id="499"/>
    </w:p>
    <w:p w:rsidR="00787FC0" w:rsidRPr="00313E82" w:rsidRDefault="00787FC0" w:rsidP="00395E63">
      <w:pPr>
        <w:numPr>
          <w:ilvl w:val="0"/>
          <w:numId w:val="10"/>
        </w:numPr>
        <w:ind w:left="567" w:hanging="567"/>
        <w:rPr>
          <w:rFonts w:eastAsia="Batang"/>
          <w:lang w:val="en-US"/>
        </w:rPr>
      </w:pPr>
      <w:bookmarkStart w:id="500" w:name="_Ref302033254"/>
      <w:r w:rsidRPr="00313E82">
        <w:rPr>
          <w:rFonts w:eastAsia="Batang"/>
          <w:lang w:val="en-US"/>
        </w:rPr>
        <w:t>Pickering A Risk Assessment Summary, NK44-REP-03611-00036-R000, 2014-04-25 (</w:t>
      </w:r>
      <w:hyperlink r:id="rId31" w:history="1">
        <w:r w:rsidRPr="00313E82">
          <w:rPr>
            <w:rStyle w:val="Lienhypertexte"/>
            <w:rFonts w:eastAsia="Batang"/>
            <w:lang w:val="en-US"/>
          </w:rPr>
          <w:t>http://www.opg.com/generating-power/nuclear/stations/pickering-nuclear/Documents/PNGSA_PRA_SummaryReport.pdf</w:t>
        </w:r>
      </w:hyperlink>
      <w:r w:rsidRPr="00313E82">
        <w:rPr>
          <w:rFonts w:eastAsia="Batang"/>
          <w:lang w:val="en-US"/>
        </w:rPr>
        <w:t>).</w:t>
      </w:r>
      <w:bookmarkEnd w:id="500"/>
    </w:p>
    <w:p w:rsidR="008F7015" w:rsidRPr="00313E82" w:rsidRDefault="008F7015" w:rsidP="008F7015">
      <w:pPr>
        <w:numPr>
          <w:ilvl w:val="0"/>
          <w:numId w:val="10"/>
        </w:numPr>
        <w:ind w:left="567" w:hanging="567"/>
        <w:rPr>
          <w:rFonts w:eastAsia="Batang"/>
          <w:lang w:val="en-US"/>
        </w:rPr>
      </w:pPr>
      <w:bookmarkStart w:id="501" w:name="_Ref302039968"/>
      <w:r w:rsidRPr="00313E82">
        <w:rPr>
          <w:rFonts w:eastAsia="Batang"/>
          <w:lang w:val="en-US"/>
        </w:rPr>
        <w:t>Canadian Nuclear Safety Commission, Trip Parameter Acceptance Criteria for the Safety Analysis of CANDU Nuclear Power Plants, G-144, may 2006.</w:t>
      </w:r>
      <w:bookmarkEnd w:id="501"/>
      <w:r w:rsidRPr="00313E82">
        <w:rPr>
          <w:rFonts w:eastAsia="Batang"/>
          <w:lang w:val="en-US"/>
        </w:rPr>
        <w:t xml:space="preserve"> </w:t>
      </w:r>
    </w:p>
    <w:p w:rsidR="00E55DC7" w:rsidRPr="00C94556" w:rsidRDefault="00E55DC7" w:rsidP="00E55DC7">
      <w:pPr>
        <w:numPr>
          <w:ilvl w:val="0"/>
          <w:numId w:val="10"/>
        </w:numPr>
        <w:ind w:left="567" w:hanging="567"/>
        <w:rPr>
          <w:rFonts w:eastAsia="Batang"/>
          <w:lang w:val="en-US"/>
        </w:rPr>
      </w:pPr>
      <w:bookmarkStart w:id="502" w:name="_ENREF_1"/>
      <w:r w:rsidRPr="00C94556">
        <w:rPr>
          <w:rFonts w:eastAsia="Batang"/>
          <w:lang w:val="en-US"/>
        </w:rPr>
        <w:t>NRC. 10 CFR 50.69 Risk-informed categorization and treatment of structures, systems and components for nuclear power reactors. Washington2004.</w:t>
      </w:r>
      <w:bookmarkEnd w:id="502"/>
    </w:p>
    <w:p w:rsidR="00787FC0" w:rsidRPr="00313E82" w:rsidRDefault="00E55DC7" w:rsidP="00395E63">
      <w:pPr>
        <w:numPr>
          <w:ilvl w:val="0"/>
          <w:numId w:val="10"/>
        </w:numPr>
        <w:ind w:left="567" w:hanging="567"/>
        <w:rPr>
          <w:rFonts w:eastAsia="Batang"/>
          <w:lang w:val="en-US"/>
        </w:rPr>
      </w:pPr>
      <w:bookmarkStart w:id="503" w:name="_ENREF_2"/>
      <w:r w:rsidRPr="00C94556">
        <w:rPr>
          <w:rFonts w:eastAsia="Batang"/>
          <w:lang w:val="en-US"/>
        </w:rPr>
        <w:t>NEI. 10 CFR 50.69 SSC Categorization Guideline.  NEI 00-04 (Rev 0)</w:t>
      </w:r>
      <w:r w:rsidR="00BF6B9C" w:rsidRPr="00C94556">
        <w:rPr>
          <w:rFonts w:eastAsia="Batang"/>
          <w:lang w:val="en-US"/>
        </w:rPr>
        <w:t xml:space="preserve"> </w:t>
      </w:r>
      <w:r w:rsidRPr="00C94556">
        <w:rPr>
          <w:rFonts w:eastAsia="Batang"/>
          <w:lang w:val="en-US"/>
        </w:rPr>
        <w:t>2005.</w:t>
      </w:r>
      <w:bookmarkEnd w:id="503"/>
    </w:p>
    <w:p w:rsidR="00BF6B9C" w:rsidRPr="00313E82" w:rsidRDefault="00BF6B9C" w:rsidP="00BF6B9C">
      <w:pPr>
        <w:numPr>
          <w:ilvl w:val="0"/>
          <w:numId w:val="10"/>
        </w:numPr>
        <w:ind w:left="567" w:hanging="567"/>
        <w:rPr>
          <w:rFonts w:eastAsia="Batang"/>
          <w:lang w:val="en-US"/>
        </w:rPr>
      </w:pPr>
      <w:bookmarkStart w:id="504" w:name="_Ref428890562"/>
      <w:bookmarkStart w:id="505" w:name="_Ref254771169"/>
      <w:r w:rsidRPr="00313E82">
        <w:rPr>
          <w:rFonts w:eastAsia="Batang"/>
          <w:lang w:val="en-US"/>
        </w:rPr>
        <w:t>E. Borgonovo, G.E. Apostolakis, “A new importance measure for risk-informed decision making”, Reliab Eng Syst Safety, 72 (2001) 193-212.</w:t>
      </w:r>
      <w:bookmarkEnd w:id="504"/>
    </w:p>
    <w:p w:rsidR="00BF6B9C" w:rsidRPr="00313E82" w:rsidRDefault="00BF6B9C" w:rsidP="00BF6B9C">
      <w:pPr>
        <w:numPr>
          <w:ilvl w:val="0"/>
          <w:numId w:val="10"/>
        </w:numPr>
        <w:ind w:left="567" w:hanging="567"/>
        <w:rPr>
          <w:rFonts w:eastAsia="Batang"/>
          <w:lang w:val="en-US"/>
        </w:rPr>
      </w:pPr>
      <w:bookmarkStart w:id="506" w:name="_Ref318039594"/>
      <w:r w:rsidRPr="00313E82">
        <w:rPr>
          <w:rFonts w:eastAsia="Batang"/>
          <w:lang w:val="en-US"/>
        </w:rPr>
        <w:t>E. Borgonovo, 2010, “The reliability importance of components and prime implicants in coherent and non-coherent system including total-order interactions”, European Journal of Operational Research 204 (2010) 485–495.</w:t>
      </w:r>
      <w:bookmarkEnd w:id="505"/>
      <w:bookmarkEnd w:id="506"/>
    </w:p>
    <w:p w:rsidR="00BF6B9C" w:rsidRPr="00313E82" w:rsidRDefault="00BF6B9C" w:rsidP="00BF6B9C">
      <w:pPr>
        <w:numPr>
          <w:ilvl w:val="0"/>
          <w:numId w:val="10"/>
        </w:numPr>
        <w:ind w:left="567" w:hanging="567"/>
        <w:rPr>
          <w:rFonts w:eastAsia="Batang"/>
          <w:lang w:val="en-US"/>
        </w:rPr>
      </w:pPr>
      <w:bookmarkStart w:id="507" w:name="_Ref428890563"/>
      <w:r w:rsidRPr="00313E82">
        <w:rPr>
          <w:rFonts w:eastAsia="Batang"/>
          <w:lang w:val="en-US"/>
        </w:rPr>
        <w:t>X.Gao, L. Cui. J Li, “Analysis for Joint importance of components in a coherent system”, Reliab Eng Syst Safety, 182 (2007) 282-299.</w:t>
      </w:r>
      <w:bookmarkEnd w:id="507"/>
    </w:p>
    <w:p w:rsidR="00BF6B9C" w:rsidRPr="00313E82" w:rsidRDefault="00BF6B9C" w:rsidP="00BF6B9C">
      <w:pPr>
        <w:numPr>
          <w:ilvl w:val="0"/>
          <w:numId w:val="10"/>
        </w:numPr>
        <w:ind w:left="567" w:hanging="567"/>
        <w:rPr>
          <w:rFonts w:eastAsia="Batang"/>
          <w:lang w:val="en-US"/>
        </w:rPr>
      </w:pPr>
      <w:bookmarkStart w:id="508" w:name="_Ref317852078"/>
      <w:r w:rsidRPr="00313E82">
        <w:rPr>
          <w:rFonts w:eastAsia="Batang"/>
          <w:lang w:val="en-US"/>
        </w:rPr>
        <w:lastRenderedPageBreak/>
        <w:t>H. Rabitz, O.F. Alis, “General foundations of high-dimensional model representations”, Journal of Mathematical Chemistry 25 (1999), 197-233.</w:t>
      </w:r>
      <w:bookmarkEnd w:id="508"/>
    </w:p>
    <w:p w:rsidR="00BF6B9C" w:rsidRPr="00313E82" w:rsidRDefault="00BF6B9C" w:rsidP="00BF6B9C">
      <w:pPr>
        <w:numPr>
          <w:ilvl w:val="0"/>
          <w:numId w:val="10"/>
        </w:numPr>
        <w:ind w:left="567" w:hanging="567"/>
        <w:rPr>
          <w:rFonts w:eastAsia="Batang"/>
          <w:lang w:val="en-US"/>
        </w:rPr>
      </w:pPr>
      <w:bookmarkStart w:id="509" w:name="_Ref254771168"/>
      <w:r w:rsidRPr="00313E82">
        <w:rPr>
          <w:rFonts w:eastAsia="Batang"/>
          <w:lang w:val="en-US"/>
        </w:rPr>
        <w:t>E. Borgonovo, 2010, “Sensitivity analysis with finite changes: An application to modified EOQ models”, European Journal of Operational Research 200 (2010) 127–138.</w:t>
      </w:r>
      <w:bookmarkEnd w:id="509"/>
    </w:p>
    <w:p w:rsidR="00BF6B9C" w:rsidRPr="00313E82" w:rsidRDefault="00BF6B9C" w:rsidP="00C94556">
      <w:pPr>
        <w:numPr>
          <w:ilvl w:val="0"/>
          <w:numId w:val="10"/>
        </w:numPr>
        <w:ind w:left="567" w:hanging="567"/>
        <w:rPr>
          <w:rFonts w:eastAsia="Batang"/>
          <w:lang w:val="en-US"/>
        </w:rPr>
      </w:pPr>
      <w:bookmarkStart w:id="510" w:name="_Ref391280843"/>
      <w:r w:rsidRPr="00313E82">
        <w:rPr>
          <w:rFonts w:eastAsia="Batang"/>
          <w:lang w:val="en-US"/>
        </w:rPr>
        <w:t>I.M. Sobol, “Global Sensitivity indices for nonlinear mathematical models and their MonteCarlo estimates”, Mathematics and Computers In Simulation 55 (2001) 271-280.</w:t>
      </w:r>
      <w:bookmarkEnd w:id="510"/>
    </w:p>
    <w:p w:rsidR="00BF6B9C" w:rsidRPr="00313E82" w:rsidRDefault="00BF6B9C" w:rsidP="00BF6B9C">
      <w:pPr>
        <w:numPr>
          <w:ilvl w:val="0"/>
          <w:numId w:val="10"/>
        </w:numPr>
        <w:ind w:left="567" w:hanging="567"/>
        <w:rPr>
          <w:rFonts w:eastAsia="Batang"/>
          <w:lang w:val="en-US"/>
        </w:rPr>
      </w:pPr>
      <w:bookmarkStart w:id="511" w:name="_Ref428968153"/>
      <w:r w:rsidRPr="00313E82">
        <w:rPr>
          <w:rFonts w:eastAsia="Batang"/>
          <w:lang w:val="en-US"/>
        </w:rPr>
        <w:t>T. Homma, A. Saltelli, “Importance measures in global sensitivity analysis of nonlinear models”, Reliab Eng Syst Safety, 52 (1996) 1-17.</w:t>
      </w:r>
      <w:bookmarkEnd w:id="511"/>
    </w:p>
    <w:p w:rsidR="00BF6B9C" w:rsidRPr="00313E82" w:rsidRDefault="00BF6B9C" w:rsidP="00BF6B9C">
      <w:pPr>
        <w:numPr>
          <w:ilvl w:val="0"/>
          <w:numId w:val="10"/>
        </w:numPr>
        <w:ind w:left="567" w:hanging="567"/>
        <w:rPr>
          <w:rFonts w:eastAsia="Batang"/>
          <w:lang w:val="en-US"/>
        </w:rPr>
      </w:pPr>
      <w:bookmarkStart w:id="512" w:name="_Ref432093842"/>
      <w:r w:rsidRPr="00313E82">
        <w:rPr>
          <w:rFonts w:eastAsia="Batang"/>
          <w:lang w:val="en-US"/>
        </w:rPr>
        <w:t>A. Saltelli, “Making best use of model evaluations to compute sensitivity indices”, Computer Physics Communication, 145 (2002) 280–297</w:t>
      </w:r>
      <w:bookmarkEnd w:id="512"/>
      <w:r w:rsidR="007A6F35">
        <w:rPr>
          <w:rFonts w:eastAsia="Batang"/>
          <w:lang w:val="en-US"/>
        </w:rPr>
        <w:t>.</w:t>
      </w:r>
    </w:p>
    <w:p w:rsidR="00BF6B9C" w:rsidRPr="00313E82" w:rsidRDefault="00BF6B9C" w:rsidP="00BF6B9C">
      <w:pPr>
        <w:numPr>
          <w:ilvl w:val="0"/>
          <w:numId w:val="10"/>
        </w:numPr>
        <w:ind w:left="567" w:hanging="567"/>
        <w:rPr>
          <w:rFonts w:eastAsia="Batang"/>
          <w:lang w:val="en-US"/>
        </w:rPr>
      </w:pPr>
      <w:bookmarkStart w:id="513" w:name="_Ref432089776"/>
      <w:r w:rsidRPr="00313E82">
        <w:rPr>
          <w:rFonts w:eastAsia="Batang"/>
          <w:lang w:val="en-US"/>
        </w:rPr>
        <w:t>W. Epstein, A. Rauzy, “Can We Trust PRA?”</w:t>
      </w:r>
      <w:bookmarkEnd w:id="513"/>
      <w:r w:rsidR="004F2CA3">
        <w:rPr>
          <w:rFonts w:eastAsia="Batang"/>
          <w:lang w:val="en-US"/>
        </w:rPr>
        <w:t xml:space="preserve">, </w:t>
      </w:r>
      <w:r w:rsidR="004F2CA3" w:rsidRPr="00313E82">
        <w:rPr>
          <w:rFonts w:eastAsia="Batang"/>
          <w:lang w:val="en-US"/>
        </w:rPr>
        <w:t>Reliab Eng Syst Safety</w:t>
      </w:r>
      <w:r w:rsidR="004F2CA3">
        <w:rPr>
          <w:rFonts w:eastAsia="Batang"/>
          <w:lang w:val="en-US"/>
        </w:rPr>
        <w:t>, 88(3) (2006) 195-205</w:t>
      </w:r>
      <w:r w:rsidR="007A6F35">
        <w:rPr>
          <w:rFonts w:eastAsia="Batang"/>
          <w:lang w:val="en-US"/>
        </w:rPr>
        <w:t>.</w:t>
      </w:r>
    </w:p>
    <w:p w:rsidR="00BF6B9C" w:rsidRPr="00313E82" w:rsidRDefault="00BF6B9C" w:rsidP="00BF6B9C">
      <w:pPr>
        <w:numPr>
          <w:ilvl w:val="0"/>
          <w:numId w:val="10"/>
        </w:numPr>
        <w:ind w:left="567" w:hanging="567"/>
        <w:rPr>
          <w:rFonts w:eastAsia="Batang"/>
          <w:lang w:val="en-US"/>
        </w:rPr>
      </w:pPr>
      <w:bookmarkStart w:id="514" w:name="_Ref432089752"/>
      <w:r w:rsidRPr="00313E82">
        <w:rPr>
          <w:rFonts w:eastAsia="Batang"/>
          <w:lang w:val="en-US"/>
        </w:rPr>
        <w:t>IB. Wall, DH. Wordledge, “Some perspectives on importance measures”, Proceedings of PSA-96, ANS, 1996.</w:t>
      </w:r>
      <w:bookmarkEnd w:id="514"/>
    </w:p>
    <w:p w:rsidR="00BF6B9C" w:rsidRPr="00313E82" w:rsidRDefault="00BF6B9C" w:rsidP="00BF6B9C">
      <w:pPr>
        <w:numPr>
          <w:ilvl w:val="0"/>
          <w:numId w:val="10"/>
        </w:numPr>
        <w:ind w:left="567" w:hanging="567"/>
        <w:rPr>
          <w:rFonts w:eastAsia="Batang"/>
          <w:szCs w:val="18"/>
          <w:lang w:val="en-US"/>
        </w:rPr>
      </w:pPr>
      <w:bookmarkStart w:id="515" w:name="_Ref432093575"/>
      <w:r w:rsidRPr="00313E82">
        <w:rPr>
          <w:rFonts w:eastAsia="Batang"/>
          <w:szCs w:val="18"/>
          <w:lang w:val="en-US"/>
        </w:rPr>
        <w:t xml:space="preserve">Sergio Contini, Vaidas Matuzas, </w:t>
      </w:r>
      <w:r w:rsidR="005C7933">
        <w:rPr>
          <w:rFonts w:eastAsia="Batang"/>
          <w:szCs w:val="18"/>
          <w:lang w:val="en-US"/>
        </w:rPr>
        <w:t>“</w:t>
      </w:r>
      <w:r w:rsidRPr="00313E82">
        <w:rPr>
          <w:rFonts w:eastAsia="Batang"/>
          <w:szCs w:val="18"/>
          <w:lang w:val="en-US"/>
        </w:rPr>
        <w:t>Components’ Importance Measures for Initiating and Enabling events in fault tree analysis</w:t>
      </w:r>
      <w:r w:rsidR="005C7933">
        <w:rPr>
          <w:rFonts w:eastAsia="Batang"/>
          <w:szCs w:val="18"/>
          <w:lang w:val="en-US"/>
        </w:rPr>
        <w:t>”</w:t>
      </w:r>
      <w:r w:rsidRPr="00313E82">
        <w:rPr>
          <w:rFonts w:eastAsia="Batang"/>
          <w:szCs w:val="18"/>
          <w:lang w:val="en-US"/>
        </w:rPr>
        <w:t>, JRC Scientific and Technical Reports, 2010</w:t>
      </w:r>
      <w:bookmarkEnd w:id="515"/>
    </w:p>
    <w:p w:rsidR="006556BD" w:rsidRPr="00C94556" w:rsidRDefault="00A3057F" w:rsidP="00BF6B9C">
      <w:pPr>
        <w:numPr>
          <w:ilvl w:val="0"/>
          <w:numId w:val="10"/>
        </w:numPr>
        <w:ind w:left="567" w:hanging="567"/>
        <w:rPr>
          <w:lang w:val="en-US"/>
        </w:rPr>
      </w:pPr>
      <w:bookmarkStart w:id="516" w:name="_Ref432410733"/>
      <w:r>
        <w:rPr>
          <w:rFonts w:eastAsia="Batang"/>
          <w:szCs w:val="18"/>
          <w:lang w:val="en-US"/>
        </w:rPr>
        <w:t>“</w:t>
      </w:r>
      <w:r w:rsidR="00BF6B9C" w:rsidRPr="00313E82">
        <w:rPr>
          <w:rFonts w:eastAsia="Batang"/>
          <w:szCs w:val="18"/>
          <w:lang w:val="en-US"/>
        </w:rPr>
        <w:t>Graph-Based Algorithms for Boolean Function Manipulation</w:t>
      </w:r>
      <w:r>
        <w:rPr>
          <w:rFonts w:eastAsia="Batang"/>
          <w:szCs w:val="18"/>
          <w:lang w:val="en-US"/>
        </w:rPr>
        <w:t>”</w:t>
      </w:r>
      <w:r w:rsidR="00BF6B9C" w:rsidRPr="00313E82">
        <w:rPr>
          <w:rFonts w:eastAsia="Batang"/>
          <w:szCs w:val="18"/>
          <w:lang w:val="en-US"/>
        </w:rPr>
        <w:t xml:space="preserve">, Randal E. Bryant, Department of Computer Science, </w:t>
      </w:r>
      <w:r w:rsidR="00BF6B9C" w:rsidRPr="00C94556">
        <w:rPr>
          <w:rFonts w:eastAsia="Batang"/>
          <w:lang w:val="en-US"/>
        </w:rPr>
        <w:t>Carnegie</w:t>
      </w:r>
      <w:r w:rsidR="00BF6B9C" w:rsidRPr="00313E82">
        <w:rPr>
          <w:rFonts w:eastAsia="Batang"/>
          <w:szCs w:val="18"/>
          <w:lang w:val="en-US"/>
        </w:rPr>
        <w:t>-Mellon University, Pittsburgh, PA 15213, 1986</w:t>
      </w:r>
      <w:bookmarkEnd w:id="516"/>
    </w:p>
    <w:p w:rsidR="009D74D8" w:rsidRPr="00C94556" w:rsidRDefault="009D74D8" w:rsidP="00BF6B9C">
      <w:pPr>
        <w:numPr>
          <w:ilvl w:val="0"/>
          <w:numId w:val="10"/>
        </w:numPr>
        <w:ind w:left="567" w:hanging="567"/>
        <w:rPr>
          <w:lang w:val="de-DE"/>
        </w:rPr>
      </w:pPr>
      <w:bookmarkStart w:id="517" w:name="_Ref444006849"/>
      <w:r w:rsidRPr="00C94556">
        <w:rPr>
          <w:lang w:val="de-DE"/>
        </w:rPr>
        <w:t>Facharbeitskreis (FAK) Probabilistische Sicherheitsanalyse für Kernkraftwerke, "Methoden zur probabilistischen Sicherheitsanalyse für Kernkraftwerke”, Stand: August 2005, BfS-SCHR-37/05, Salzgitter, October 2005</w:t>
      </w:r>
      <w:r>
        <w:rPr>
          <w:lang w:val="de-DE"/>
        </w:rPr>
        <w:t xml:space="preserve"> (German only)</w:t>
      </w:r>
      <w:bookmarkEnd w:id="517"/>
    </w:p>
    <w:p w:rsidR="00D75480" w:rsidRDefault="00D75480" w:rsidP="00BF6B9C">
      <w:pPr>
        <w:numPr>
          <w:ilvl w:val="0"/>
          <w:numId w:val="10"/>
        </w:numPr>
        <w:ind w:left="567" w:hanging="567"/>
        <w:rPr>
          <w:lang w:val="en-GB"/>
        </w:rPr>
      </w:pPr>
      <w:bookmarkStart w:id="518" w:name="_Ref444078422"/>
      <w:r w:rsidRPr="00C94556">
        <w:rPr>
          <w:lang w:val="en-GB"/>
        </w:rPr>
        <w:t xml:space="preserve">IAEA, OECD/NEA, </w:t>
      </w:r>
      <w:r>
        <w:rPr>
          <w:lang w:val="en-GB"/>
        </w:rPr>
        <w:t>“INES The International Nuclear and Radiological Event Scale User’s Manual, 2008 Edition”, Vienna, amended version March 2013</w:t>
      </w:r>
      <w:bookmarkEnd w:id="518"/>
      <w:r>
        <w:rPr>
          <w:lang w:val="en-GB"/>
        </w:rPr>
        <w:t xml:space="preserve"> </w:t>
      </w:r>
    </w:p>
    <w:p w:rsidR="009D74D8" w:rsidRDefault="000316F6" w:rsidP="00BF6B9C">
      <w:pPr>
        <w:numPr>
          <w:ilvl w:val="0"/>
          <w:numId w:val="10"/>
        </w:numPr>
        <w:ind w:left="567" w:hanging="567"/>
        <w:rPr>
          <w:lang w:val="en-GB"/>
        </w:rPr>
      </w:pPr>
      <w:bookmarkStart w:id="519" w:name="_Ref444589991"/>
      <w:r>
        <w:rPr>
          <w:lang w:val="en-GB"/>
        </w:rPr>
        <w:t>IAEA, “The Fukushima Daiichi Accident, Technical Volume I Description and Context of the Accident”, Vienna, August 2015</w:t>
      </w:r>
      <w:bookmarkEnd w:id="519"/>
      <w:r w:rsidR="00D75480">
        <w:rPr>
          <w:lang w:val="en-GB"/>
        </w:rPr>
        <w:t xml:space="preserve"> </w:t>
      </w:r>
    </w:p>
    <w:p w:rsidR="00FA509C" w:rsidRDefault="006B7CBD" w:rsidP="0042104F">
      <w:pPr>
        <w:numPr>
          <w:ilvl w:val="0"/>
          <w:numId w:val="10"/>
        </w:numPr>
        <w:ind w:left="567" w:hanging="567"/>
        <w:rPr>
          <w:lang w:val="en-GB"/>
        </w:rPr>
      </w:pPr>
      <w:bookmarkStart w:id="520" w:name="_Ref422842679"/>
      <w:r w:rsidRPr="004D4695">
        <w:rPr>
          <w:lang w:val="en-GB"/>
        </w:rPr>
        <w:t xml:space="preserve">ASAMPSA_E, “Lessons of the Fukushima Dai-ichi accident for PSA”, </w:t>
      </w:r>
      <w:r w:rsidR="004D4695" w:rsidRPr="006A314B">
        <w:rPr>
          <w:lang w:val="en-GB"/>
        </w:rPr>
        <w:t>ASAMPSA_E/WP30/D30.2/2017-32, IRSN PSN-RES/SAG/2017-00021</w:t>
      </w:r>
      <w:bookmarkEnd w:id="520"/>
    </w:p>
    <w:p w:rsidR="006B7CBD" w:rsidRDefault="001E00E4" w:rsidP="00BF6B9C">
      <w:pPr>
        <w:numPr>
          <w:ilvl w:val="0"/>
          <w:numId w:val="10"/>
        </w:numPr>
        <w:ind w:left="567" w:hanging="567"/>
        <w:rPr>
          <w:lang w:val="en-GB"/>
        </w:rPr>
      </w:pPr>
      <w:bookmarkStart w:id="521" w:name="_Ref444680058"/>
      <w:bookmarkStart w:id="522" w:name="_Ref444679894"/>
      <w:r w:rsidRPr="00E20701">
        <w:rPr>
          <w:lang w:val="en-GB"/>
        </w:rPr>
        <w:t>WENRA, “Safety of New NPP Designs, Study by Reactor Harmonization Working Group RHWG”, March 2013</w:t>
      </w:r>
      <w:bookmarkEnd w:id="521"/>
    </w:p>
    <w:p w:rsidR="001E00E4" w:rsidRDefault="003439A8" w:rsidP="00BF6B9C">
      <w:pPr>
        <w:numPr>
          <w:ilvl w:val="0"/>
          <w:numId w:val="10"/>
        </w:numPr>
        <w:ind w:left="567" w:hanging="567"/>
        <w:rPr>
          <w:lang w:val="en-GB"/>
        </w:rPr>
      </w:pPr>
      <w:bookmarkStart w:id="523" w:name="_Ref444680472"/>
      <w:bookmarkStart w:id="524" w:name="_Ref444680248"/>
      <w:r w:rsidRPr="00E20701">
        <w:rPr>
          <w:lang w:val="en-GB"/>
        </w:rPr>
        <w:t>International Atomic Energy Agency (IAEA), “Safety of Nuclear Power Plants: Design”, Specific Safety Requirements No. SSR-2/1, January 2012</w:t>
      </w:r>
      <w:bookmarkEnd w:id="523"/>
    </w:p>
    <w:p w:rsidR="00F81AEE" w:rsidRPr="0076016C" w:rsidRDefault="00F81AEE" w:rsidP="00F81AEE">
      <w:pPr>
        <w:numPr>
          <w:ilvl w:val="0"/>
          <w:numId w:val="10"/>
        </w:numPr>
        <w:ind w:left="567" w:hanging="567"/>
        <w:rPr>
          <w:lang w:val="en-US"/>
        </w:rPr>
      </w:pPr>
      <w:bookmarkStart w:id="525" w:name="_Ref319427576"/>
      <w:bookmarkStart w:id="526" w:name="_Ref444685283"/>
      <w:r w:rsidRPr="00313E82">
        <w:rPr>
          <w:lang w:val="en-US"/>
        </w:rPr>
        <w:t>International Atomic Energy Agency (IAEA), “</w:t>
      </w:r>
      <w:r w:rsidRPr="00F81AEE">
        <w:rPr>
          <w:lang w:val="en-US"/>
        </w:rPr>
        <w:t>A</w:t>
      </w:r>
      <w:r>
        <w:rPr>
          <w:lang w:val="en-US"/>
        </w:rPr>
        <w:t xml:space="preserve">ctions to Protect the Public in am Emergency Due to Severe Conditions at a Light Water Reactor”, </w:t>
      </w:r>
      <w:r w:rsidRPr="00C94556">
        <w:rPr>
          <w:bCs/>
          <w:lang w:val="en-US"/>
        </w:rPr>
        <w:t>EPR-NPP PUBLIC PROTECTIVE ACTIONS</w:t>
      </w:r>
      <w:r>
        <w:rPr>
          <w:bCs/>
          <w:lang w:val="en-US"/>
        </w:rPr>
        <w:t>, 2013.</w:t>
      </w:r>
      <w:bookmarkEnd w:id="525"/>
      <w:r w:rsidRPr="00C94556">
        <w:rPr>
          <w:bCs/>
          <w:lang w:val="en-US"/>
        </w:rPr>
        <w:t xml:space="preserve"> </w:t>
      </w:r>
    </w:p>
    <w:p w:rsidR="0076016C" w:rsidRPr="008F0C1B" w:rsidRDefault="00FC1710" w:rsidP="0076016C">
      <w:pPr>
        <w:numPr>
          <w:ilvl w:val="0"/>
          <w:numId w:val="10"/>
        </w:numPr>
        <w:ind w:left="567" w:hanging="567"/>
        <w:rPr>
          <w:lang w:val="en-US"/>
        </w:rPr>
      </w:pPr>
      <w:bookmarkStart w:id="527" w:name="_Ref342663880"/>
      <w:r>
        <w:rPr>
          <w:lang w:val="en-US"/>
        </w:rPr>
        <w:t xml:space="preserve">Vitazkova, J.: </w:t>
      </w:r>
      <w:r w:rsidR="0076016C" w:rsidRPr="0076016C">
        <w:rPr>
          <w:lang w:val="en-US"/>
        </w:rPr>
        <w:t xml:space="preserve">Methodology of Common Risk Target Assessment and Quantification for Severe Accidents of Nuclear Power Plants based on INES Scale. </w:t>
      </w:r>
      <w:r w:rsidR="00E5663E">
        <w:rPr>
          <w:lang w:val="en-US"/>
        </w:rPr>
        <w:t xml:space="preserve">Thesis, </w:t>
      </w:r>
      <w:r w:rsidR="0076016C" w:rsidRPr="0076016C">
        <w:rPr>
          <w:lang w:val="en-US"/>
        </w:rPr>
        <w:t>Slovak University of Technology in Bratislava, Faculty of Electrical Engineering and Information Technology, Institute of Nuclear and Physical Engineering, Bratislava May 2014.</w:t>
      </w:r>
      <w:bookmarkEnd w:id="527"/>
      <w:r w:rsidR="0076016C" w:rsidRPr="0076016C">
        <w:rPr>
          <w:lang w:val="en-US"/>
        </w:rPr>
        <w:t xml:space="preserve"> </w:t>
      </w:r>
    </w:p>
    <w:p w:rsidR="0076016C" w:rsidRDefault="0076016C" w:rsidP="0076016C">
      <w:pPr>
        <w:numPr>
          <w:ilvl w:val="0"/>
          <w:numId w:val="10"/>
        </w:numPr>
        <w:ind w:left="567" w:hanging="567"/>
        <w:rPr>
          <w:lang w:val="en-US"/>
        </w:rPr>
      </w:pPr>
      <w:r w:rsidRPr="00552F4E">
        <w:rPr>
          <w:lang w:val="en-US"/>
        </w:rPr>
        <w:t xml:space="preserve">J Kubanyi, R. Bolado Lavin, D Serbanescu, B Toth and H Wilkening: "Risk Informed Support of Decision Making in Nuclear Power Plant Emergency Zoning, Generic Framework towards Harmonising NPP Emergency Planning Practices", EUR 23280 EN </w:t>
      </w:r>
      <w:r w:rsidR="00F90A26">
        <w:rPr>
          <w:lang w:val="en-US"/>
        </w:rPr>
        <w:t>–</w:t>
      </w:r>
      <w:r w:rsidRPr="00552F4E">
        <w:rPr>
          <w:lang w:val="en-US"/>
        </w:rPr>
        <w:t xml:space="preserve"> 2008</w:t>
      </w:r>
      <w:r w:rsidR="00F90A26">
        <w:rPr>
          <w:lang w:val="en-US"/>
        </w:rPr>
        <w:t>.</w:t>
      </w:r>
    </w:p>
    <w:p w:rsidR="00F90A26" w:rsidRPr="00B259CB" w:rsidRDefault="00F90A26" w:rsidP="008C44DD">
      <w:pPr>
        <w:numPr>
          <w:ilvl w:val="0"/>
          <w:numId w:val="10"/>
        </w:numPr>
        <w:ind w:left="567" w:hanging="567"/>
        <w:rPr>
          <w:lang w:val="en-US"/>
        </w:rPr>
      </w:pPr>
      <w:bookmarkStart w:id="528" w:name="_Ref339629543"/>
      <w:r w:rsidRPr="008C44DD">
        <w:rPr>
          <w:lang w:val="en-US"/>
        </w:rPr>
        <w:t>International Commission on Radiological Protection:</w:t>
      </w:r>
      <w:r w:rsidRPr="00B259CB">
        <w:rPr>
          <w:lang w:val="en-US"/>
        </w:rPr>
        <w:t xml:space="preserve"> </w:t>
      </w:r>
      <w:r w:rsidRPr="008C44DD">
        <w:rPr>
          <w:lang w:val="en-US"/>
        </w:rPr>
        <w:t>Recommendations of the International Commission on Radiological Protection, ICRP Publication 60</w:t>
      </w:r>
      <w:r w:rsidRPr="00B259CB">
        <w:rPr>
          <w:lang w:val="en-US"/>
        </w:rPr>
        <w:t>. Annals of ICRP, Vol. 21, No. 1/3, 1991</w:t>
      </w:r>
      <w:bookmarkEnd w:id="528"/>
    </w:p>
    <w:p w:rsidR="00F90A26" w:rsidRPr="008C44DD" w:rsidRDefault="00F90A26" w:rsidP="008C44DD">
      <w:pPr>
        <w:numPr>
          <w:ilvl w:val="0"/>
          <w:numId w:val="10"/>
        </w:numPr>
        <w:ind w:left="567" w:hanging="567"/>
        <w:rPr>
          <w:lang w:val="en-US"/>
        </w:rPr>
      </w:pPr>
      <w:bookmarkStart w:id="529" w:name="_Ref339629609"/>
      <w:r w:rsidRPr="008C44DD">
        <w:rPr>
          <w:lang w:val="en-US"/>
        </w:rPr>
        <w:lastRenderedPageBreak/>
        <w:t>Hirschberg s., Burgherr P., Spiekerman G., Cazzoli E., Vitazkova J., Cheng L.:,</w:t>
      </w:r>
      <w:r>
        <w:rPr>
          <w:lang w:val="en-US"/>
        </w:rPr>
        <w:t xml:space="preserve"> </w:t>
      </w:r>
      <w:r w:rsidRPr="008C44DD">
        <w:rPr>
          <w:lang w:val="en-US"/>
        </w:rPr>
        <w:t>Comparative Assessment of Severe Accidents in the Chinese Energy Sector</w:t>
      </w:r>
      <w:r>
        <w:rPr>
          <w:lang w:val="en-US"/>
        </w:rPr>
        <w:t>, PSI Bericht Nr. 03-04, March 2003, ISSN 1019-0643</w:t>
      </w:r>
      <w:bookmarkEnd w:id="529"/>
    </w:p>
    <w:p w:rsidR="00F90A26" w:rsidRDefault="00F90A26" w:rsidP="008C44DD">
      <w:pPr>
        <w:numPr>
          <w:ilvl w:val="0"/>
          <w:numId w:val="10"/>
        </w:numPr>
        <w:ind w:left="567" w:hanging="567"/>
        <w:rPr>
          <w:lang w:val="en-US"/>
        </w:rPr>
      </w:pPr>
      <w:bookmarkStart w:id="530" w:name="_Ref339629612"/>
      <w:r w:rsidRPr="008C44DD">
        <w:rPr>
          <w:lang w:val="en-US"/>
        </w:rPr>
        <w:t xml:space="preserve">Cazzoli E., Vitázková J.: </w:t>
      </w:r>
      <w:r w:rsidR="00923621">
        <w:rPr>
          <w:lang w:val="en-US"/>
        </w:rPr>
        <w:t>“</w:t>
      </w:r>
      <w:r w:rsidRPr="008C44DD">
        <w:rPr>
          <w:lang w:val="en-US"/>
        </w:rPr>
        <w:t>Risk assessments on future nuclear industry development in Switzerland (or alternative nuclear options)”, Phases 1 and 2</w:t>
      </w:r>
      <w:r>
        <w:rPr>
          <w:lang w:val="en-US"/>
        </w:rPr>
        <w:t>, Summary Executive Report, prepared for GaBe/PSI, September 1st, 2006</w:t>
      </w:r>
      <w:bookmarkEnd w:id="530"/>
    </w:p>
    <w:p w:rsidR="00F90A26" w:rsidRPr="008C44DD" w:rsidRDefault="00F90A26" w:rsidP="008C44DD">
      <w:pPr>
        <w:numPr>
          <w:ilvl w:val="0"/>
          <w:numId w:val="10"/>
        </w:numPr>
        <w:ind w:left="567" w:hanging="567"/>
        <w:rPr>
          <w:lang w:val="en-US"/>
        </w:rPr>
      </w:pPr>
      <w:bookmarkStart w:id="531" w:name="_Ref339629635"/>
      <w:r w:rsidRPr="008C44DD">
        <w:rPr>
          <w:lang w:val="en-US"/>
        </w:rPr>
        <w:t xml:space="preserve">VITAZKOVA J., CAZZOLI E.: Estimate of Consequences from the Fukushima Disaster, paper submitted to Nordic PSA Conference, Stockholm, Sweden, September 5-6 2011, available on </w:t>
      </w:r>
      <w:hyperlink r:id="rId32" w:history="1">
        <w:r w:rsidRPr="008C44DD">
          <w:rPr>
            <w:lang w:val="en-US"/>
          </w:rPr>
          <w:t>http://www.npsag.org/publications/</w:t>
        </w:r>
      </w:hyperlink>
      <w:bookmarkEnd w:id="531"/>
    </w:p>
    <w:p w:rsidR="00F90A26" w:rsidRPr="00DE0EA0" w:rsidRDefault="00F90A26" w:rsidP="008C44DD">
      <w:pPr>
        <w:numPr>
          <w:ilvl w:val="0"/>
          <w:numId w:val="10"/>
        </w:numPr>
        <w:ind w:left="567" w:hanging="567"/>
        <w:rPr>
          <w:rFonts w:eastAsia="Batang"/>
          <w:lang w:val="en-US"/>
        </w:rPr>
      </w:pPr>
      <w:bookmarkStart w:id="532" w:name="_Ref339629639"/>
      <w:r w:rsidRPr="008C44DD">
        <w:rPr>
          <w:lang w:val="en-US"/>
        </w:rPr>
        <w:t>Chanin D., Young M.L.: Code Manual for MACCS2, Volumes 1 and 2, NUREG/CR-6613, SAND97-0594, published May 1998</w:t>
      </w:r>
      <w:bookmarkEnd w:id="532"/>
    </w:p>
    <w:p w:rsidR="002A4E1A" w:rsidRPr="002A4E1A" w:rsidRDefault="002A4E1A" w:rsidP="002A4E1A">
      <w:pPr>
        <w:numPr>
          <w:ilvl w:val="0"/>
          <w:numId w:val="10"/>
        </w:numPr>
        <w:ind w:left="567" w:hanging="567"/>
        <w:rPr>
          <w:bCs/>
          <w:iCs/>
          <w:lang w:val="en-US"/>
        </w:rPr>
      </w:pPr>
      <w:bookmarkStart w:id="533" w:name="_Ref339632272"/>
      <w:bookmarkStart w:id="534" w:name="_Ref467700854"/>
      <w:r w:rsidRPr="002A4E1A">
        <w:rPr>
          <w:bCs/>
          <w:iCs/>
          <w:lang w:val="en-US"/>
        </w:rPr>
        <w:t xml:space="preserve">IAEA: </w:t>
      </w:r>
      <w:r w:rsidRPr="002A4E1A">
        <w:rPr>
          <w:bCs/>
          <w:i/>
          <w:iCs/>
          <w:lang w:val="en-US"/>
        </w:rPr>
        <w:t>BASIC SAFETY PRINCIPLES FOR NUCLEAR POWER PLANTS 75-INSAG-3 Rev. 1, INSAG-12</w:t>
      </w:r>
      <w:r w:rsidRPr="002A4E1A">
        <w:rPr>
          <w:bCs/>
          <w:iCs/>
          <w:lang w:val="en-US"/>
        </w:rPr>
        <w:t>, A report by the International Nuclear Safety Advisory Group, 1999</w:t>
      </w:r>
      <w:bookmarkEnd w:id="533"/>
      <w:bookmarkEnd w:id="534"/>
    </w:p>
    <w:p w:rsidR="002A4E1A" w:rsidRDefault="002A4E1A" w:rsidP="002A4E1A">
      <w:pPr>
        <w:numPr>
          <w:ilvl w:val="0"/>
          <w:numId w:val="10"/>
        </w:numPr>
        <w:ind w:left="567" w:hanging="567"/>
        <w:rPr>
          <w:lang w:val="en-US"/>
        </w:rPr>
      </w:pPr>
      <w:bookmarkStart w:id="535" w:name="_Ref339632277"/>
      <w:bookmarkStart w:id="536" w:name="_Ref342818713"/>
      <w:r w:rsidRPr="002A4E1A">
        <w:rPr>
          <w:lang w:val="en-US"/>
        </w:rPr>
        <w:t xml:space="preserve">NEA: </w:t>
      </w:r>
      <w:r w:rsidRPr="002A4E1A">
        <w:rPr>
          <w:i/>
          <w:lang w:val="en-US"/>
        </w:rPr>
        <w:t>Probabilistic safety assessment: an analytical tool for assessing nuclear safety, Nuclear Energy Agency</w:t>
      </w:r>
      <w:r w:rsidRPr="002A4E1A">
        <w:rPr>
          <w:lang w:val="en-US"/>
        </w:rPr>
        <w:t xml:space="preserve">, Number 8, January 1992, [online, cit. 12.9.2010] available on </w:t>
      </w:r>
      <w:hyperlink r:id="rId33" w:history="1">
        <w:r w:rsidRPr="002A4E1A">
          <w:rPr>
            <w:rStyle w:val="Lienhypertexte"/>
            <w:lang w:val="en-US"/>
          </w:rPr>
          <w:t>http://www.oecd-nea.org/brief/brief-08.html</w:t>
        </w:r>
      </w:hyperlink>
      <w:bookmarkEnd w:id="535"/>
      <w:bookmarkEnd w:id="536"/>
    </w:p>
    <w:p w:rsidR="00593B02" w:rsidRDefault="00593B02" w:rsidP="008C44DD">
      <w:pPr>
        <w:numPr>
          <w:ilvl w:val="0"/>
          <w:numId w:val="10"/>
        </w:numPr>
        <w:ind w:left="567" w:hanging="567"/>
        <w:rPr>
          <w:lang w:val="en-US"/>
        </w:rPr>
      </w:pPr>
      <w:bookmarkStart w:id="537" w:name="_Ref342819204"/>
      <w:r w:rsidRPr="00E433A3">
        <w:rPr>
          <w:lang w:val="en-US"/>
        </w:rPr>
        <w:t>MINISTRY OF UKRAINE OF EMERGENCIES, ALL-UKRAINIAN SCIENTIFIC RESEARCH INSTITUTE FOR CIVIL DEFENCE OF POPULATION AND TERRITORIES FROM TECHNOGENIC AND NATURAL EMERGENCES: Twenty-five Years after Chornobyl Accident: Safety for the Future, National Report of Ukraine, Kyiv, 2011, UDK</w:t>
      </w:r>
      <w:r w:rsidRPr="0040466D">
        <w:rPr>
          <w:lang w:val="en-US"/>
        </w:rPr>
        <w:t xml:space="preserve"> </w:t>
      </w:r>
      <w:r w:rsidRPr="00C360D8">
        <w:rPr>
          <w:lang w:val="en-US"/>
        </w:rPr>
        <w:t>621.311.25:621.039.586/(477.41-21), BBK 31.47 (4Ukr-4kij)-08 D22</w:t>
      </w:r>
      <w:bookmarkEnd w:id="537"/>
    </w:p>
    <w:p w:rsidR="00593B02" w:rsidRDefault="00593B02" w:rsidP="008C44DD">
      <w:pPr>
        <w:numPr>
          <w:ilvl w:val="0"/>
          <w:numId w:val="10"/>
        </w:numPr>
        <w:ind w:left="567" w:hanging="567"/>
        <w:rPr>
          <w:lang w:val="en-US"/>
        </w:rPr>
      </w:pPr>
      <w:bookmarkStart w:id="538" w:name="_Ref342721307"/>
      <w:r w:rsidRPr="00C360D8">
        <w:rPr>
          <w:lang w:val="en-US"/>
        </w:rPr>
        <w:t>CAZZOLI, E., VITAZKOVA, J.: Probabilistic Safety Assessment KKM L2 update, August 2013, BKW FMB Energie AG, Kernkraftwerk Mühleberg, CH-3203</w:t>
      </w:r>
      <w:bookmarkEnd w:id="538"/>
    </w:p>
    <w:p w:rsidR="00593B02" w:rsidRDefault="00593B02" w:rsidP="008C44DD">
      <w:pPr>
        <w:numPr>
          <w:ilvl w:val="0"/>
          <w:numId w:val="10"/>
        </w:numPr>
        <w:ind w:left="567" w:hanging="567"/>
        <w:rPr>
          <w:lang w:val="en-US"/>
        </w:rPr>
      </w:pPr>
      <w:bookmarkStart w:id="539" w:name="_Ref342663562"/>
      <w:r w:rsidRPr="001F1D15">
        <w:rPr>
          <w:lang w:val="en-US"/>
        </w:rPr>
        <w:t>STUTZKE M., DROUIN M., SIOU N., , TOBIN M., COYNE K., KURITZKY A.: US NRC: Consideration of External Hazards, and Multi-Source interactions in the USNRC’s Site Level 3 PSA</w:t>
      </w:r>
      <w:r w:rsidRPr="00300381">
        <w:rPr>
          <w:lang w:val="en-US"/>
        </w:rPr>
        <w:t xml:space="preserve">, </w:t>
      </w:r>
      <w:r w:rsidRPr="001F1D15">
        <w:rPr>
          <w:lang w:val="en-US"/>
        </w:rPr>
        <w:t>Project, presented at WKRISK Workshop on PSA of Natural External Hazards Including Earthquakes, Prague, Czech Republic, 17-19 June 2013,</w:t>
      </w:r>
      <w:bookmarkEnd w:id="539"/>
    </w:p>
    <w:p w:rsidR="00FA509C" w:rsidRDefault="0080072F" w:rsidP="0042104F">
      <w:pPr>
        <w:numPr>
          <w:ilvl w:val="0"/>
          <w:numId w:val="10"/>
        </w:numPr>
        <w:ind w:left="567" w:hanging="567"/>
        <w:rPr>
          <w:lang w:val="en-US"/>
        </w:rPr>
      </w:pPr>
      <w:r w:rsidRPr="0080072F">
        <w:rPr>
          <w:lang w:val="en-US"/>
        </w:rPr>
        <w:t xml:space="preserve">ASAMPSA_E guidance for level 2 PSA, Volume 3, </w:t>
      </w:r>
      <w:r>
        <w:rPr>
          <w:lang w:val="en-US"/>
        </w:rPr>
        <w:t>“</w:t>
      </w:r>
      <w:r w:rsidRPr="0080072F">
        <w:rPr>
          <w:lang w:val="en-US"/>
        </w:rPr>
        <w:t>Verification and improvement of SAM strategies with L2 PSA</w:t>
      </w:r>
      <w:r>
        <w:rPr>
          <w:lang w:val="en-US"/>
        </w:rPr>
        <w:t>”</w:t>
      </w:r>
      <w:r w:rsidRPr="0080072F">
        <w:rPr>
          <w:lang w:val="en-US"/>
        </w:rPr>
        <w:t>, technical report ASAMPSA_E/WP40/D40.7/2017-39 volume 3, IRSN PSN/RES/SAG/2017-00001</w:t>
      </w:r>
      <w:r w:rsidR="00046DEC">
        <w:rPr>
          <w:lang w:val="en-US"/>
        </w:rPr>
        <w:t>,</w:t>
      </w:r>
    </w:p>
    <w:p w:rsidR="00FA509C" w:rsidRDefault="00046DEC" w:rsidP="0042104F">
      <w:pPr>
        <w:numPr>
          <w:ilvl w:val="0"/>
          <w:numId w:val="10"/>
        </w:numPr>
        <w:ind w:left="567" w:hanging="567"/>
        <w:rPr>
          <w:lang w:val="en-US"/>
        </w:rPr>
      </w:pPr>
      <w:bookmarkStart w:id="540" w:name="_Ref473650000"/>
      <w:r>
        <w:rPr>
          <w:lang w:val="en-US"/>
        </w:rPr>
        <w:t>ASAMPSA_E, “D</w:t>
      </w:r>
      <w:r w:rsidRPr="00046DEC">
        <w:rPr>
          <w:lang w:val="en-US"/>
        </w:rPr>
        <w:t>ecis</w:t>
      </w:r>
      <w:r>
        <w:rPr>
          <w:lang w:val="en-US"/>
        </w:rPr>
        <w:t xml:space="preserve">ion-making based on extended PSA”, </w:t>
      </w:r>
      <w:r w:rsidRPr="00046DEC">
        <w:rPr>
          <w:lang w:val="en-US"/>
        </w:rPr>
        <w:t>ASAMPSA_E/WP30/D30.7/2017-31 volume 1</w:t>
      </w:r>
      <w:r>
        <w:rPr>
          <w:lang w:val="en-US"/>
        </w:rPr>
        <w:t xml:space="preserve">  </w:t>
      </w:r>
      <w:r w:rsidRPr="00046DEC">
        <w:rPr>
          <w:lang w:val="en-US"/>
        </w:rPr>
        <w:t>PSN-RES/SAG/2017-00016</w:t>
      </w:r>
      <w:bookmarkEnd w:id="540"/>
    </w:p>
    <w:p w:rsidR="00593B02" w:rsidRPr="002A4E1A" w:rsidRDefault="00593B02" w:rsidP="008C44DD">
      <w:pPr>
        <w:rPr>
          <w:lang w:val="en-US"/>
        </w:rPr>
      </w:pPr>
    </w:p>
    <w:bookmarkEnd w:id="522"/>
    <w:bookmarkEnd w:id="524"/>
    <w:bookmarkEnd w:id="526"/>
    <w:p w:rsidR="009A1C44" w:rsidRPr="00D75480" w:rsidRDefault="009A1C44" w:rsidP="009A1C44">
      <w:pPr>
        <w:rPr>
          <w:lang w:val="en-US"/>
        </w:rPr>
      </w:pPr>
      <w:r w:rsidRPr="00D75480">
        <w:rPr>
          <w:lang w:val="en-US"/>
        </w:rPr>
        <w:br w:type="page"/>
      </w:r>
    </w:p>
    <w:p w:rsidR="009A1C44" w:rsidRPr="00313E82" w:rsidRDefault="009A1C44" w:rsidP="009A1C44">
      <w:pPr>
        <w:pStyle w:val="Titre1"/>
        <w:rPr>
          <w:lang w:val="en-US"/>
        </w:rPr>
      </w:pPr>
      <w:bookmarkStart w:id="541" w:name="_Toc274672416"/>
      <w:bookmarkStart w:id="542" w:name="_Ref413920393"/>
      <w:bookmarkStart w:id="543" w:name="_Toc474430242"/>
      <w:bookmarkEnd w:id="541"/>
      <w:r w:rsidRPr="00313E82">
        <w:rPr>
          <w:lang w:val="en-US"/>
        </w:rPr>
        <w:lastRenderedPageBreak/>
        <w:t>Appendix</w:t>
      </w:r>
      <w:r w:rsidR="00F40C39" w:rsidRPr="00313E82">
        <w:rPr>
          <w:lang w:val="en-US"/>
        </w:rPr>
        <w:t xml:space="preserve"> A: Risk Definition</w:t>
      </w:r>
      <w:bookmarkEnd w:id="542"/>
      <w:bookmarkEnd w:id="543"/>
    </w:p>
    <w:p w:rsidR="00AE198A" w:rsidRPr="00313E82" w:rsidRDefault="00DB6FB2" w:rsidP="005E604F">
      <w:pPr>
        <w:pStyle w:val="Titre2"/>
        <w:rPr>
          <w:lang w:val="en-US"/>
        </w:rPr>
      </w:pPr>
      <w:bookmarkStart w:id="544" w:name="_Toc474430243"/>
      <w:r w:rsidRPr="00313E82">
        <w:rPr>
          <w:lang w:val="en-US"/>
        </w:rPr>
        <w:t>Glossary</w:t>
      </w:r>
      <w:bookmarkEnd w:id="544"/>
    </w:p>
    <w:p w:rsidR="00DB6FB2" w:rsidRPr="00313E82" w:rsidRDefault="00982CDB" w:rsidP="00F40C39">
      <w:pPr>
        <w:rPr>
          <w:lang w:val="en-US"/>
        </w:rPr>
      </w:pPr>
      <w:r w:rsidRPr="00313E82">
        <w:rPr>
          <w:lang w:val="en-US"/>
        </w:rPr>
        <w:t>Scenario: s</w:t>
      </w:r>
      <w:r w:rsidRPr="00313E82">
        <w:rPr>
          <w:vertAlign w:val="subscript"/>
          <w:lang w:val="en-US"/>
        </w:rPr>
        <w:t>i</w:t>
      </w:r>
    </w:p>
    <w:p w:rsidR="00982CDB" w:rsidRPr="00313E82" w:rsidRDefault="00982CDB" w:rsidP="00F40C39">
      <w:pPr>
        <w:rPr>
          <w:vertAlign w:val="subscript"/>
          <w:lang w:val="en-US"/>
        </w:rPr>
      </w:pPr>
      <w:r w:rsidRPr="00313E82">
        <w:rPr>
          <w:lang w:val="en-US"/>
        </w:rPr>
        <w:t>Consequences: c</w:t>
      </w:r>
      <w:r w:rsidRPr="00313E82">
        <w:rPr>
          <w:vertAlign w:val="subscript"/>
          <w:lang w:val="en-US"/>
        </w:rPr>
        <w:t>j</w:t>
      </w:r>
    </w:p>
    <w:p w:rsidR="00982CDB" w:rsidRPr="00313E82" w:rsidRDefault="00982CDB" w:rsidP="00F40C39">
      <w:pPr>
        <w:rPr>
          <w:lang w:val="en-US"/>
        </w:rPr>
      </w:pPr>
      <w:r w:rsidRPr="00313E82">
        <w:rPr>
          <w:lang w:val="en-US"/>
        </w:rPr>
        <w:t>distributions: φ</w:t>
      </w:r>
    </w:p>
    <w:p w:rsidR="00982CDB" w:rsidRPr="00313E82" w:rsidRDefault="00982CDB" w:rsidP="00F40C39">
      <w:pPr>
        <w:rPr>
          <w:lang w:val="en-US"/>
        </w:rPr>
      </w:pPr>
      <w:r w:rsidRPr="00313E82">
        <w:rPr>
          <w:lang w:val="en-US"/>
        </w:rPr>
        <w:t>likelihood: l</w:t>
      </w:r>
      <w:r w:rsidRPr="00313E82">
        <w:rPr>
          <w:vertAlign w:val="subscript"/>
          <w:lang w:val="en-US"/>
        </w:rPr>
        <w:t>ij</w:t>
      </w:r>
    </w:p>
    <w:p w:rsidR="00AE198A" w:rsidRPr="00313E82" w:rsidRDefault="00F40C39" w:rsidP="00AE198A">
      <w:pPr>
        <w:pStyle w:val="Titre2"/>
        <w:rPr>
          <w:lang w:val="en-US"/>
        </w:rPr>
      </w:pPr>
      <w:bookmarkStart w:id="545" w:name="_Ref284225086"/>
      <w:bookmarkStart w:id="546" w:name="_Toc474430244"/>
      <w:r w:rsidRPr="00313E82">
        <w:rPr>
          <w:lang w:val="en-US"/>
        </w:rPr>
        <w:t>Introduction</w:t>
      </w:r>
      <w:bookmarkEnd w:id="546"/>
      <w:r w:rsidR="00656A26" w:rsidRPr="00313E82">
        <w:rPr>
          <w:lang w:val="en-US"/>
        </w:rPr>
        <w:t xml:space="preserve"> </w:t>
      </w:r>
      <w:bookmarkEnd w:id="545"/>
    </w:p>
    <w:p w:rsidR="002B4B48" w:rsidRPr="00313E82" w:rsidRDefault="002B4B48" w:rsidP="00F40C39">
      <w:pPr>
        <w:rPr>
          <w:lang w:val="en-US"/>
        </w:rPr>
      </w:pPr>
      <w:r w:rsidRPr="00313E82">
        <w:rPr>
          <w:lang w:val="en-US"/>
        </w:rPr>
        <w:t xml:space="preserve">There is considerable discussion in the scientific community (or rather communities) on the appropriate definition of risk. In this regard, see e.g. a series of papers by T. Aven </w:t>
      </w:r>
      <w:r w:rsidR="009E768B" w:rsidRPr="004D7C87">
        <w:rPr>
          <w:lang w:val="en-US"/>
        </w:rPr>
        <w:fldChar w:fldCharType="begin"/>
      </w:r>
      <w:r w:rsidRPr="00313E82">
        <w:rPr>
          <w:lang w:val="en-US"/>
        </w:rPr>
        <w:instrText xml:space="preserve"> REF _Ref396210521 \r \h </w:instrText>
      </w:r>
      <w:r w:rsidR="009E768B" w:rsidRPr="004D7C87">
        <w:rPr>
          <w:lang w:val="en-US"/>
        </w:rPr>
      </w:r>
      <w:r w:rsidR="009E768B" w:rsidRPr="004D7C87">
        <w:rPr>
          <w:lang w:val="en-US"/>
        </w:rPr>
        <w:fldChar w:fldCharType="separate"/>
      </w:r>
      <w:r w:rsidR="00B772CA">
        <w:rPr>
          <w:lang w:val="en-US"/>
        </w:rPr>
        <w:t>[18]</w:t>
      </w:r>
      <w:r w:rsidR="009E768B" w:rsidRPr="004D7C87">
        <w:rPr>
          <w:lang w:val="en-US"/>
        </w:rPr>
        <w:fldChar w:fldCharType="end"/>
      </w:r>
      <w:r w:rsidRPr="00313E82">
        <w:rPr>
          <w:lang w:val="en-US"/>
        </w:rPr>
        <w:t xml:space="preserve">, </w:t>
      </w:r>
      <w:r w:rsidR="009E768B" w:rsidRPr="004D7C87">
        <w:rPr>
          <w:lang w:val="en-US"/>
        </w:rPr>
        <w:fldChar w:fldCharType="begin"/>
      </w:r>
      <w:r w:rsidRPr="00313E82">
        <w:rPr>
          <w:lang w:val="en-US"/>
        </w:rPr>
        <w:instrText xml:space="preserve"> REF _Ref396210522 \r \h </w:instrText>
      </w:r>
      <w:r w:rsidR="009E768B" w:rsidRPr="004D7C87">
        <w:rPr>
          <w:lang w:val="en-US"/>
        </w:rPr>
      </w:r>
      <w:r w:rsidR="009E768B" w:rsidRPr="004D7C87">
        <w:rPr>
          <w:lang w:val="en-US"/>
        </w:rPr>
        <w:fldChar w:fldCharType="separate"/>
      </w:r>
      <w:r w:rsidR="00B772CA">
        <w:rPr>
          <w:lang w:val="en-US"/>
        </w:rPr>
        <w:t>[19]</w:t>
      </w:r>
      <w:r w:rsidR="009E768B" w:rsidRPr="004D7C87">
        <w:rPr>
          <w:lang w:val="en-US"/>
        </w:rPr>
        <w:fldChar w:fldCharType="end"/>
      </w:r>
      <w:r w:rsidRPr="00313E82">
        <w:rPr>
          <w:lang w:val="en-US"/>
        </w:rPr>
        <w:t xml:space="preserve">, </w:t>
      </w:r>
      <w:r w:rsidR="009E768B" w:rsidRPr="004D7C87">
        <w:rPr>
          <w:lang w:val="en-US"/>
        </w:rPr>
        <w:fldChar w:fldCharType="begin"/>
      </w:r>
      <w:r w:rsidRPr="00313E82">
        <w:rPr>
          <w:lang w:val="en-US"/>
        </w:rPr>
        <w:instrText xml:space="preserve"> REF _Ref396210525 \r \h </w:instrText>
      </w:r>
      <w:r w:rsidR="009E768B" w:rsidRPr="004D7C87">
        <w:rPr>
          <w:lang w:val="en-US"/>
        </w:rPr>
      </w:r>
      <w:r w:rsidR="009E768B" w:rsidRPr="004D7C87">
        <w:rPr>
          <w:lang w:val="en-US"/>
        </w:rPr>
        <w:fldChar w:fldCharType="separate"/>
      </w:r>
      <w:r w:rsidR="00B772CA">
        <w:rPr>
          <w:lang w:val="en-US"/>
        </w:rPr>
        <w:t>[20]</w:t>
      </w:r>
      <w:r w:rsidR="009E768B" w:rsidRPr="004D7C87">
        <w:rPr>
          <w:lang w:val="en-US"/>
        </w:rPr>
        <w:fldChar w:fldCharType="end"/>
      </w:r>
      <w:r w:rsidRPr="00313E82">
        <w:rPr>
          <w:lang w:val="en-US"/>
        </w:rPr>
        <w:t xml:space="preserve">, </w:t>
      </w:r>
      <w:r w:rsidR="009E768B" w:rsidRPr="004D7C87">
        <w:rPr>
          <w:lang w:val="en-US"/>
        </w:rPr>
        <w:fldChar w:fldCharType="begin"/>
      </w:r>
      <w:r w:rsidRPr="00313E82">
        <w:rPr>
          <w:lang w:val="en-US"/>
        </w:rPr>
        <w:instrText xml:space="preserve"> REF _Ref396210542 \r \h </w:instrText>
      </w:r>
      <w:r w:rsidR="009E768B" w:rsidRPr="004D7C87">
        <w:rPr>
          <w:lang w:val="en-US"/>
        </w:rPr>
      </w:r>
      <w:r w:rsidR="009E768B" w:rsidRPr="004D7C87">
        <w:rPr>
          <w:lang w:val="en-US"/>
        </w:rPr>
        <w:fldChar w:fldCharType="separate"/>
      </w:r>
      <w:r w:rsidR="00B772CA">
        <w:rPr>
          <w:lang w:val="en-US"/>
        </w:rPr>
        <w:t>[21]</w:t>
      </w:r>
      <w:r w:rsidR="009E768B" w:rsidRPr="004D7C87">
        <w:rPr>
          <w:lang w:val="en-US"/>
        </w:rPr>
        <w:fldChar w:fldCharType="end"/>
      </w:r>
      <w:r w:rsidRPr="00313E82">
        <w:rPr>
          <w:lang w:val="en-US"/>
        </w:rPr>
        <w:t xml:space="preserve">, </w:t>
      </w:r>
      <w:r w:rsidR="009E768B" w:rsidRPr="004D7C87">
        <w:rPr>
          <w:lang w:val="en-US"/>
        </w:rPr>
        <w:fldChar w:fldCharType="begin"/>
      </w:r>
      <w:r w:rsidRPr="00313E82">
        <w:rPr>
          <w:lang w:val="en-US"/>
        </w:rPr>
        <w:instrText xml:space="preserve"> REF _Ref396210554 \r \h </w:instrText>
      </w:r>
      <w:r w:rsidR="009E768B" w:rsidRPr="004D7C87">
        <w:rPr>
          <w:lang w:val="en-US"/>
        </w:rPr>
      </w:r>
      <w:r w:rsidR="009E768B" w:rsidRPr="004D7C87">
        <w:rPr>
          <w:lang w:val="en-US"/>
        </w:rPr>
        <w:fldChar w:fldCharType="separate"/>
      </w:r>
      <w:r w:rsidR="00B772CA">
        <w:rPr>
          <w:lang w:val="en-US"/>
        </w:rPr>
        <w:t>[22]</w:t>
      </w:r>
      <w:r w:rsidR="009E768B" w:rsidRPr="004D7C87">
        <w:rPr>
          <w:lang w:val="en-US"/>
        </w:rPr>
        <w:fldChar w:fldCharType="end"/>
      </w:r>
      <w:r w:rsidRPr="00313E82">
        <w:rPr>
          <w:lang w:val="en-US"/>
        </w:rPr>
        <w:t xml:space="preserve">, or the discussion in </w:t>
      </w:r>
      <w:r w:rsidR="009E768B" w:rsidRPr="004D7C87">
        <w:rPr>
          <w:lang w:val="en-US"/>
        </w:rPr>
        <w:fldChar w:fldCharType="begin"/>
      </w:r>
      <w:r w:rsidRPr="00313E82">
        <w:rPr>
          <w:lang w:val="en-US"/>
        </w:rPr>
        <w:instrText xml:space="preserve"> REF _Ref396210584 \r \h </w:instrText>
      </w:r>
      <w:r w:rsidR="009E768B" w:rsidRPr="004D7C87">
        <w:rPr>
          <w:lang w:val="en-US"/>
        </w:rPr>
      </w:r>
      <w:r w:rsidR="009E768B" w:rsidRPr="004D7C87">
        <w:rPr>
          <w:lang w:val="en-US"/>
        </w:rPr>
        <w:fldChar w:fldCharType="separate"/>
      </w:r>
      <w:r w:rsidR="00B772CA">
        <w:rPr>
          <w:lang w:val="en-US"/>
        </w:rPr>
        <w:t>[52]</w:t>
      </w:r>
      <w:r w:rsidR="009E768B" w:rsidRPr="004D7C87">
        <w:rPr>
          <w:lang w:val="en-US"/>
        </w:rPr>
        <w:fldChar w:fldCharType="end"/>
      </w:r>
      <w:r w:rsidRPr="00313E82">
        <w:rPr>
          <w:lang w:val="en-US"/>
        </w:rPr>
        <w:t xml:space="preserve">. The ASAMPSA_E project does not aim at resolving this discussion. </w:t>
      </w:r>
    </w:p>
    <w:p w:rsidR="002B4B48" w:rsidRPr="00313E82" w:rsidRDefault="002B4B48" w:rsidP="00F40C39">
      <w:pPr>
        <w:rPr>
          <w:lang w:val="en-US"/>
        </w:rPr>
      </w:pPr>
      <w:r w:rsidRPr="00313E82">
        <w:rPr>
          <w:lang w:val="en-US"/>
        </w:rPr>
        <w:t xml:space="preserve">Conceptually, risk is understood as an uncertain event with adverse consequences </w:t>
      </w:r>
      <w:r w:rsidR="009E768B" w:rsidRPr="004D7C87">
        <w:rPr>
          <w:lang w:val="en-US"/>
        </w:rPr>
        <w:fldChar w:fldCharType="begin"/>
      </w:r>
      <w:r w:rsidRPr="00313E82">
        <w:rPr>
          <w:lang w:val="en-US"/>
        </w:rPr>
        <w:instrText xml:space="preserve"> REF _Ref396210522 \r \h </w:instrText>
      </w:r>
      <w:r w:rsidR="009E768B" w:rsidRPr="004D7C87">
        <w:rPr>
          <w:lang w:val="en-US"/>
        </w:rPr>
      </w:r>
      <w:r w:rsidR="009E768B" w:rsidRPr="004D7C87">
        <w:rPr>
          <w:lang w:val="en-US"/>
        </w:rPr>
        <w:fldChar w:fldCharType="separate"/>
      </w:r>
      <w:r w:rsidR="00B772CA">
        <w:rPr>
          <w:lang w:val="en-US"/>
        </w:rPr>
        <w:t>[19]</w:t>
      </w:r>
      <w:r w:rsidR="009E768B" w:rsidRPr="004D7C87">
        <w:rPr>
          <w:lang w:val="en-US"/>
        </w:rPr>
        <w:fldChar w:fldCharType="end"/>
      </w:r>
      <w:r w:rsidRPr="00313E82">
        <w:rPr>
          <w:lang w:val="en-US"/>
        </w:rPr>
        <w:t xml:space="preserve">, </w:t>
      </w:r>
      <w:r w:rsidR="009E768B" w:rsidRPr="004D7C87">
        <w:rPr>
          <w:lang w:val="en-US"/>
        </w:rPr>
        <w:fldChar w:fldCharType="begin"/>
      </w:r>
      <w:r w:rsidRPr="00313E82">
        <w:rPr>
          <w:lang w:val="en-US"/>
        </w:rPr>
        <w:instrText xml:space="preserve"> REF _Ref396320286 \r \h </w:instrText>
      </w:r>
      <w:r w:rsidR="009E768B" w:rsidRPr="004D7C87">
        <w:rPr>
          <w:lang w:val="en-US"/>
        </w:rPr>
      </w:r>
      <w:r w:rsidR="009E768B" w:rsidRPr="004D7C87">
        <w:rPr>
          <w:lang w:val="en-US"/>
        </w:rPr>
        <w:fldChar w:fldCharType="separate"/>
      </w:r>
      <w:r w:rsidR="00B772CA">
        <w:rPr>
          <w:lang w:val="en-US"/>
        </w:rPr>
        <w:t>[32]</w:t>
      </w:r>
      <w:r w:rsidR="009E768B" w:rsidRPr="004D7C87">
        <w:rPr>
          <w:lang w:val="en-US"/>
        </w:rPr>
        <w:fldChar w:fldCharType="end"/>
      </w:r>
      <w:r w:rsidRPr="00313E82">
        <w:rPr>
          <w:lang w:val="en-US"/>
        </w:rPr>
        <w:t xml:space="preserve">, </w:t>
      </w:r>
      <w:r w:rsidR="009E768B" w:rsidRPr="004D7C87">
        <w:rPr>
          <w:lang w:val="en-US"/>
        </w:rPr>
        <w:fldChar w:fldCharType="begin"/>
      </w:r>
      <w:r w:rsidRPr="00313E82">
        <w:rPr>
          <w:lang w:val="en-US"/>
        </w:rPr>
        <w:instrText xml:space="preserve"> REF _Ref396215454 \r \h </w:instrText>
      </w:r>
      <w:r w:rsidR="009E768B" w:rsidRPr="004D7C87">
        <w:rPr>
          <w:lang w:val="en-US"/>
        </w:rPr>
      </w:r>
      <w:r w:rsidR="009E768B" w:rsidRPr="004D7C87">
        <w:rPr>
          <w:lang w:val="en-US"/>
        </w:rPr>
        <w:fldChar w:fldCharType="separate"/>
      </w:r>
      <w:r w:rsidR="00B772CA">
        <w:rPr>
          <w:lang w:val="en-US"/>
        </w:rPr>
        <w:t>[35]</w:t>
      </w:r>
      <w:r w:rsidR="009E768B" w:rsidRPr="004D7C87">
        <w:rPr>
          <w:lang w:val="en-US"/>
        </w:rPr>
        <w:fldChar w:fldCharType="end"/>
      </w:r>
      <w:r w:rsidRPr="00313E82">
        <w:rPr>
          <w:lang w:val="en-US"/>
        </w:rPr>
        <w:t xml:space="preserve">. This is usually not applicable to past events, for which exists certainty on their occurrence and (most of) their consequences. Therefore, the term risk will be applied with respect to future events within this report. The risk of these future events is assessed with a risk model. </w:t>
      </w:r>
    </w:p>
    <w:p w:rsidR="002B4B48" w:rsidRPr="00313E82" w:rsidRDefault="002B4B48" w:rsidP="00F40C39">
      <w:pPr>
        <w:rPr>
          <w:lang w:val="en-US"/>
        </w:rPr>
      </w:pPr>
      <w:r w:rsidRPr="00313E82">
        <w:rPr>
          <w:lang w:val="en-US"/>
        </w:rPr>
        <w:t xml:space="preserve">In light of the definitions and requirements on current PSA (cf. e.g. IAEA SSG-3 </w:t>
      </w:r>
      <w:r w:rsidR="009E768B" w:rsidRPr="004D7C87">
        <w:rPr>
          <w:lang w:val="en-US"/>
        </w:rPr>
        <w:fldChar w:fldCharType="begin"/>
      </w:r>
      <w:r w:rsidRPr="00313E82">
        <w:rPr>
          <w:lang w:val="en-US"/>
        </w:rPr>
        <w:instrText xml:space="preserve"> REF _Ref384386913 \r \h </w:instrText>
      </w:r>
      <w:r w:rsidR="009E768B" w:rsidRPr="004D7C87">
        <w:rPr>
          <w:lang w:val="en-US"/>
        </w:rPr>
      </w:r>
      <w:r w:rsidR="009E768B" w:rsidRPr="004D7C87">
        <w:rPr>
          <w:lang w:val="en-US"/>
        </w:rPr>
        <w:fldChar w:fldCharType="separate"/>
      </w:r>
      <w:r w:rsidR="00B772CA">
        <w:rPr>
          <w:lang w:val="en-US"/>
        </w:rPr>
        <w:t>[4]</w:t>
      </w:r>
      <w:r w:rsidR="009E768B" w:rsidRPr="004D7C87">
        <w:rPr>
          <w:lang w:val="en-US"/>
        </w:rPr>
        <w:fldChar w:fldCharType="end"/>
      </w:r>
      <w:r w:rsidRPr="00313E82">
        <w:rPr>
          <w:lang w:val="en-US"/>
        </w:rPr>
        <w:t xml:space="preserve"> and SSG-4 </w:t>
      </w:r>
      <w:r w:rsidR="009E768B" w:rsidRPr="004D7C87">
        <w:rPr>
          <w:lang w:val="en-US"/>
        </w:rPr>
        <w:fldChar w:fldCharType="begin"/>
      </w:r>
      <w:r w:rsidRPr="00313E82">
        <w:rPr>
          <w:lang w:val="en-US"/>
        </w:rPr>
        <w:instrText xml:space="preserve"> REF _Ref393115557 \r \h </w:instrText>
      </w:r>
      <w:r w:rsidR="009E768B" w:rsidRPr="004D7C87">
        <w:rPr>
          <w:lang w:val="en-US"/>
        </w:rPr>
      </w:r>
      <w:r w:rsidR="009E768B" w:rsidRPr="004D7C87">
        <w:rPr>
          <w:lang w:val="en-US"/>
        </w:rPr>
        <w:fldChar w:fldCharType="separate"/>
      </w:r>
      <w:r w:rsidR="00B772CA">
        <w:rPr>
          <w:lang w:val="en-US"/>
        </w:rPr>
        <w:t>[5]</w:t>
      </w:r>
      <w:r w:rsidR="009E768B" w:rsidRPr="004D7C87">
        <w:rPr>
          <w:lang w:val="en-US"/>
        </w:rPr>
        <w:fldChar w:fldCharType="end"/>
      </w:r>
      <w:r w:rsidRPr="00313E82">
        <w:rPr>
          <w:lang w:val="en-US"/>
        </w:rPr>
        <w:t xml:space="preserve">) and the classification scheme by Aven </w:t>
      </w:r>
      <w:r w:rsidR="009E768B" w:rsidRPr="004D7C87">
        <w:rPr>
          <w:lang w:val="en-US"/>
        </w:rPr>
        <w:fldChar w:fldCharType="begin"/>
      </w:r>
      <w:r w:rsidRPr="00313E82">
        <w:rPr>
          <w:lang w:val="en-US"/>
        </w:rPr>
        <w:instrText xml:space="preserve"> REF _Ref396210525 \r \h </w:instrText>
      </w:r>
      <w:r w:rsidR="009E768B" w:rsidRPr="004D7C87">
        <w:rPr>
          <w:lang w:val="en-US"/>
        </w:rPr>
      </w:r>
      <w:r w:rsidR="009E768B" w:rsidRPr="004D7C87">
        <w:rPr>
          <w:lang w:val="en-US"/>
        </w:rPr>
        <w:fldChar w:fldCharType="separate"/>
      </w:r>
      <w:r w:rsidR="00B772CA">
        <w:rPr>
          <w:lang w:val="en-US"/>
        </w:rPr>
        <w:t>[20]</w:t>
      </w:r>
      <w:r w:rsidR="009E768B" w:rsidRPr="004D7C87">
        <w:rPr>
          <w:lang w:val="en-US"/>
        </w:rPr>
        <w:fldChar w:fldCharType="end"/>
      </w:r>
      <w:r w:rsidRPr="00313E82">
        <w:rPr>
          <w:lang w:val="en-US"/>
        </w:rPr>
        <w:t>, the approach to risk is the following.</w:t>
      </w:r>
    </w:p>
    <w:p w:rsidR="00AE198A" w:rsidRPr="00313E82" w:rsidRDefault="00AE198A" w:rsidP="00AE198A">
      <w:pPr>
        <w:rPr>
          <w:lang w:val="en-US"/>
        </w:rPr>
      </w:pPr>
    </w:p>
    <w:p w:rsidR="00AE198A" w:rsidRPr="00313E82" w:rsidRDefault="00AE198A" w:rsidP="00AE198A">
      <w:pPr>
        <w:ind w:left="284"/>
        <w:rPr>
          <w:lang w:val="en-US"/>
        </w:rPr>
      </w:pPr>
      <w:r w:rsidRPr="00313E82">
        <w:rPr>
          <w:lang w:val="en-US"/>
        </w:rPr>
        <w:t>Risk is understood in terms of a set of (representative or bounding categories of) scenarios (s</w:t>
      </w:r>
      <w:r w:rsidRPr="00313E82">
        <w:rPr>
          <w:vertAlign w:val="subscript"/>
          <w:lang w:val="en-US"/>
        </w:rPr>
        <w:t>i</w:t>
      </w:r>
      <w:r w:rsidRPr="00313E82">
        <w:rPr>
          <w:lang w:val="en-US"/>
        </w:rPr>
        <w:t>), a set of (representative or bounding categories of) consequences dependent on failure or success of the safety measures (c</w:t>
      </w:r>
      <w:r w:rsidRPr="00313E82">
        <w:rPr>
          <w:vertAlign w:val="subscript"/>
          <w:lang w:val="en-US"/>
        </w:rPr>
        <w:t>j</w:t>
      </w:r>
      <w:r w:rsidRPr="00313E82">
        <w:rPr>
          <w:lang w:val="en-US"/>
        </w:rPr>
        <w:t>), and the combined likelihood together with the associated uncertainty (distributions φ) for the scenarios and the occurrence of the consequences (φ(l</w:t>
      </w:r>
      <w:r w:rsidRPr="00313E82">
        <w:rPr>
          <w:vertAlign w:val="subscript"/>
          <w:lang w:val="en-US"/>
        </w:rPr>
        <w:t>ij</w:t>
      </w:r>
      <w:r w:rsidRPr="00313E82">
        <w:rPr>
          <w:lang w:val="en-US"/>
        </w:rPr>
        <w:t xml:space="preserve">)).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d>
      </m:oMath>
    </w:p>
    <w:p w:rsidR="00AE198A" w:rsidRPr="00313E82" w:rsidRDefault="00AE198A" w:rsidP="00AE198A">
      <w:pPr>
        <w:ind w:left="284"/>
        <w:rPr>
          <w:lang w:val="en-US"/>
        </w:rPr>
      </w:pPr>
    </w:p>
    <w:p w:rsidR="00AE198A" w:rsidRPr="00313E82" w:rsidRDefault="00AE198A" w:rsidP="00AE198A">
      <w:pPr>
        <w:rPr>
          <w:lang w:val="en-US"/>
        </w:rPr>
      </w:pPr>
      <w:r w:rsidRPr="00313E82">
        <w:rPr>
          <w:lang w:val="en-US"/>
        </w:rPr>
        <w:t xml:space="preserve">It should be noted that this definition basically rephrases the classic “Level 2” definition given by Kaplan and Garrick </w:t>
      </w:r>
      <w:r w:rsidR="009E768B" w:rsidRPr="004D7C87">
        <w:rPr>
          <w:lang w:val="en-US"/>
        </w:rPr>
        <w:fldChar w:fldCharType="begin"/>
      </w:r>
      <w:r w:rsidRPr="00313E82">
        <w:rPr>
          <w:lang w:val="en-US"/>
        </w:rPr>
        <w:instrText xml:space="preserve"> REF _Ref396215454 \r \h </w:instrText>
      </w:r>
      <w:r w:rsidR="009E768B" w:rsidRPr="004D7C87">
        <w:rPr>
          <w:lang w:val="en-US"/>
        </w:rPr>
      </w:r>
      <w:r w:rsidR="009E768B" w:rsidRPr="004D7C87">
        <w:rPr>
          <w:lang w:val="en-US"/>
        </w:rPr>
        <w:fldChar w:fldCharType="separate"/>
      </w:r>
      <w:r w:rsidR="00B772CA">
        <w:rPr>
          <w:lang w:val="en-US"/>
        </w:rPr>
        <w:t>[35]</w:t>
      </w:r>
      <w:r w:rsidR="009E768B" w:rsidRPr="004D7C87">
        <w:rPr>
          <w:lang w:val="en-US"/>
        </w:rPr>
        <w:fldChar w:fldCharType="end"/>
      </w:r>
      <w:r w:rsidRPr="00313E82">
        <w:rPr>
          <w:lang w:val="en-US"/>
        </w:rPr>
        <w:t>, but does not follow their definition of the terms probability and frequency. The use of the term “likelihood” entails the concepts of “probability” (a σ-additive measure on a set of events into the dimensionless interval [0, 1]) and “frequency” (the number of event repetitions within a class of events, here understood to be over a period of time with SI dimension s</w:t>
      </w:r>
      <w:r w:rsidRPr="00313E82">
        <w:rPr>
          <w:vertAlign w:val="superscript"/>
          <w:lang w:val="en-US"/>
        </w:rPr>
        <w:t>-1</w:t>
      </w:r>
      <w:r w:rsidRPr="00313E82">
        <w:rPr>
          <w:lang w:val="en-US"/>
        </w:rPr>
        <w:t>). For small non-negative frequency values these can be interpreted as the probability for observing the event within the given time period. With this definition, usually frequency distributions are assigned to scenarios whereas the transition to consequences is described by (conditional) probability distributions. The inclusion of uncertainty into the likelihood approach is a foundational aspect of quantitative risk analysis</w:t>
      </w:r>
      <w:r w:rsidRPr="00313E82">
        <w:rPr>
          <w:rStyle w:val="Appelnotedebasdep"/>
          <w:lang w:val="en-US"/>
        </w:rPr>
        <w:footnoteReference w:id="18"/>
      </w:r>
      <w:r w:rsidRPr="00313E82">
        <w:rPr>
          <w:lang w:val="en-US"/>
        </w:rPr>
        <w:t xml:space="preserve">. Moreover, the fact that both scenarios as well as consequences are usually categories representing an interval of similar events/outcomes is explicitly mentioned. </w:t>
      </w:r>
    </w:p>
    <w:p w:rsidR="00AE198A" w:rsidRPr="00313E82" w:rsidRDefault="00AE198A" w:rsidP="00AE198A">
      <w:pPr>
        <w:rPr>
          <w:lang w:val="en-US"/>
        </w:rPr>
      </w:pPr>
      <w:r w:rsidRPr="00313E82">
        <w:rPr>
          <w:lang w:val="en-US"/>
        </w:rPr>
        <w:lastRenderedPageBreak/>
        <w:t xml:space="preserve">Distinctions as to whether the (measured) risk is a true or real world property or an attributive property of a model based on an analyst’s understanding </w:t>
      </w:r>
      <w:r w:rsidR="009E768B" w:rsidRPr="004D7C87">
        <w:rPr>
          <w:lang w:val="en-US"/>
        </w:rPr>
        <w:fldChar w:fldCharType="begin"/>
      </w:r>
      <w:r w:rsidRPr="00313E82">
        <w:rPr>
          <w:lang w:val="en-US"/>
        </w:rPr>
        <w:instrText xml:space="preserve"> REF _Ref396210521 \r \h </w:instrText>
      </w:r>
      <w:r w:rsidR="009E768B" w:rsidRPr="004D7C87">
        <w:rPr>
          <w:lang w:val="en-US"/>
        </w:rPr>
      </w:r>
      <w:r w:rsidR="009E768B" w:rsidRPr="004D7C87">
        <w:rPr>
          <w:lang w:val="en-US"/>
        </w:rPr>
        <w:fldChar w:fldCharType="separate"/>
      </w:r>
      <w:r w:rsidR="00B772CA">
        <w:rPr>
          <w:lang w:val="en-US"/>
        </w:rPr>
        <w:t>[18]</w:t>
      </w:r>
      <w:r w:rsidR="009E768B" w:rsidRPr="004D7C87">
        <w:rPr>
          <w:lang w:val="en-US"/>
        </w:rPr>
        <w:fldChar w:fldCharType="end"/>
      </w:r>
      <w:r w:rsidRPr="00313E82">
        <w:rPr>
          <w:lang w:val="en-US"/>
        </w:rPr>
        <w:t xml:space="preserve">, </w:t>
      </w:r>
      <w:r w:rsidR="009E768B" w:rsidRPr="004D7C87">
        <w:rPr>
          <w:lang w:val="en-US"/>
        </w:rPr>
        <w:fldChar w:fldCharType="begin"/>
      </w:r>
      <w:r w:rsidRPr="00313E82">
        <w:rPr>
          <w:lang w:val="en-US"/>
        </w:rPr>
        <w:instrText xml:space="preserve"> REF _Ref396320286 \r \h </w:instrText>
      </w:r>
      <w:r w:rsidR="009E768B" w:rsidRPr="004D7C87">
        <w:rPr>
          <w:lang w:val="en-US"/>
        </w:rPr>
      </w:r>
      <w:r w:rsidR="009E768B" w:rsidRPr="004D7C87">
        <w:rPr>
          <w:lang w:val="en-US"/>
        </w:rPr>
        <w:fldChar w:fldCharType="separate"/>
      </w:r>
      <w:r w:rsidR="00B772CA">
        <w:rPr>
          <w:lang w:val="en-US"/>
        </w:rPr>
        <w:t>[32]</w:t>
      </w:r>
      <w:r w:rsidR="009E768B" w:rsidRPr="004D7C87">
        <w:rPr>
          <w:lang w:val="en-US"/>
        </w:rPr>
        <w:fldChar w:fldCharType="end"/>
      </w:r>
      <w:r w:rsidRPr="00313E82">
        <w:rPr>
          <w:lang w:val="en-US"/>
        </w:rPr>
        <w:t xml:space="preserve"> are not investigated in this report as well. For this report, PSA models and their consequences are assumed as given; the issue of their interpretation is relegated to the decision maker. Still, the uncertainty and sensiti of PSA models and their results to analysts’ modelling choices and the impact on risk metrics is an issue for this report as well. </w:t>
      </w:r>
    </w:p>
    <w:p w:rsidR="00AE198A" w:rsidRPr="00313E82" w:rsidRDefault="00AE198A" w:rsidP="00AE198A">
      <w:pPr>
        <w:rPr>
          <w:lang w:val="en-US"/>
        </w:rPr>
      </w:pPr>
      <w:r w:rsidRPr="00313E82">
        <w:rPr>
          <w:lang w:val="en-US"/>
        </w:rPr>
        <w:t xml:space="preserve">It should be noted that risk models are often used to assess the impact that past events have on their results. This is not – conceptually – a risk assessment. However, it is a legitimate use of risk models which often provides valuable insights. Therefore, the use of risk models for assessing past events and the appropriate metrics for that purpose </w:t>
      </w:r>
      <w:r w:rsidR="00C460A2" w:rsidRPr="00313E82">
        <w:rPr>
          <w:lang w:val="en-US"/>
        </w:rPr>
        <w:t xml:space="preserve">have been </w:t>
      </w:r>
      <w:r w:rsidRPr="00313E82">
        <w:rPr>
          <w:lang w:val="en-US"/>
        </w:rPr>
        <w:t>explicitly included in the scope of this report.</w:t>
      </w:r>
    </w:p>
    <w:p w:rsidR="00AE198A" w:rsidRPr="00313E82" w:rsidRDefault="00AE198A" w:rsidP="00AE198A">
      <w:pPr>
        <w:pStyle w:val="Titre2"/>
        <w:rPr>
          <w:lang w:val="en-US"/>
        </w:rPr>
      </w:pPr>
      <w:bookmarkStart w:id="547" w:name="_Toc474430245"/>
      <w:r w:rsidRPr="00313E82">
        <w:rPr>
          <w:lang w:val="en-US"/>
        </w:rPr>
        <w:t>Risk Metrics</w:t>
      </w:r>
      <w:r w:rsidR="004F7B32" w:rsidRPr="00313E82">
        <w:rPr>
          <w:lang w:val="en-US"/>
        </w:rPr>
        <w:t xml:space="preserve"> and Risk measures</w:t>
      </w:r>
      <w:bookmarkEnd w:id="547"/>
    </w:p>
    <w:p w:rsidR="00AE198A" w:rsidRPr="00313E82" w:rsidRDefault="00AE198A" w:rsidP="00AE198A">
      <w:pPr>
        <w:rPr>
          <w:lang w:val="en-US"/>
        </w:rPr>
      </w:pPr>
      <w:r w:rsidRPr="00313E82">
        <w:rPr>
          <w:lang w:val="en-US"/>
        </w:rPr>
        <w:t>For the purpose of this report, the risk metric should not be separated from its quantification procedure, although the latter belongs to the definition of the risk measure</w:t>
      </w:r>
      <w:r w:rsidRPr="00313E82">
        <w:rPr>
          <w:rStyle w:val="Appelnotedebasdep"/>
          <w:lang w:val="en-US"/>
        </w:rPr>
        <w:footnoteReference w:id="19"/>
      </w:r>
      <w:r w:rsidRPr="00313E82">
        <w:rPr>
          <w:lang w:val="en-US"/>
        </w:rPr>
        <w:t xml:space="preserve">. The quantification procedure defines a mapping μ from the aspects of risk, i.e. characteristics related to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d>
      </m:oMath>
      <w:r w:rsidRPr="00313E82">
        <w:rPr>
          <w:lang w:val="en-US"/>
        </w:rPr>
        <w:t xml:space="preserve">, into a measurable quantity (usually </w:t>
      </w:r>
      <m:oMath>
        <m:r>
          <m:rPr>
            <m:scr m:val="double-struck"/>
          </m:rPr>
          <w:rPr>
            <w:rFonts w:ascii="Cambria Math" w:hAnsi="Cambria Math"/>
            <w:lang w:val="en-US"/>
          </w:rPr>
          <m:t>R</m:t>
        </m:r>
      </m:oMath>
      <w:r w:rsidRPr="00313E82">
        <w:rPr>
          <w:lang w:val="en-US"/>
        </w:rPr>
        <w:t xml:space="preserve"> or </w:t>
      </w:r>
      <m:oMath>
        <m:r>
          <m:rPr>
            <m:scr m:val="double-struck"/>
          </m:rPr>
          <w:rPr>
            <w:rFonts w:ascii="Cambria Math" w:hAnsi="Cambria Math"/>
            <w:lang w:val="en-US"/>
          </w:rPr>
          <m:t>Z</m:t>
        </m:r>
      </m:oMath>
      <w:r w:rsidRPr="00313E82">
        <w:rPr>
          <w:lang w:val="en-US"/>
        </w:rPr>
        <w:t>)</w:t>
      </w:r>
      <w:r w:rsidRPr="00313E82">
        <w:rPr>
          <w:rStyle w:val="Appelnotedebasdep"/>
          <w:lang w:val="en-US"/>
        </w:rPr>
        <w:footnoteReference w:id="20"/>
      </w:r>
      <w:r w:rsidRPr="00313E82">
        <w:rPr>
          <w:lang w:val="en-US"/>
        </w:rPr>
        <w:t xml:space="preserve">. It is important to mention that for the purpose of this project, no specific restriction can be established that valid risk measures for PSA are coherent </w:t>
      </w:r>
      <w:r w:rsidR="009E768B" w:rsidRPr="004D7C87">
        <w:rPr>
          <w:lang w:val="en-US"/>
        </w:rPr>
        <w:fldChar w:fldCharType="begin"/>
      </w:r>
      <w:r w:rsidRPr="00313E82">
        <w:rPr>
          <w:lang w:val="en-US"/>
        </w:rPr>
        <w:instrText xml:space="preserve"> REF _Ref397345889 \r \h </w:instrText>
      </w:r>
      <w:r w:rsidR="009E768B" w:rsidRPr="004D7C87">
        <w:rPr>
          <w:lang w:val="en-US"/>
        </w:rPr>
      </w:r>
      <w:r w:rsidR="009E768B" w:rsidRPr="004D7C87">
        <w:rPr>
          <w:lang w:val="en-US"/>
        </w:rPr>
        <w:fldChar w:fldCharType="separate"/>
      </w:r>
      <w:r w:rsidR="00B772CA">
        <w:rPr>
          <w:lang w:val="en-US"/>
        </w:rPr>
        <w:t>[60]</w:t>
      </w:r>
      <w:r w:rsidR="009E768B" w:rsidRPr="004D7C87">
        <w:rPr>
          <w:lang w:val="en-US"/>
        </w:rPr>
        <w:fldChar w:fldCharType="end"/>
      </w:r>
      <w:r w:rsidRPr="00313E82">
        <w:rPr>
          <w:lang w:val="en-US"/>
        </w:rPr>
        <w:t xml:space="preserve"> or convex </w:t>
      </w:r>
      <w:r w:rsidR="009E768B" w:rsidRPr="004D7C87">
        <w:rPr>
          <w:lang w:val="en-US"/>
        </w:rPr>
        <w:fldChar w:fldCharType="begin"/>
      </w:r>
      <w:r w:rsidRPr="00313E82">
        <w:rPr>
          <w:lang w:val="en-US"/>
        </w:rPr>
        <w:instrText xml:space="preserve"> REF _Ref397348012 \r \h </w:instrText>
      </w:r>
      <w:r w:rsidR="009E768B" w:rsidRPr="004D7C87">
        <w:rPr>
          <w:lang w:val="en-US"/>
        </w:rPr>
      </w:r>
      <w:r w:rsidR="009E768B" w:rsidRPr="004D7C87">
        <w:rPr>
          <w:lang w:val="en-US"/>
        </w:rPr>
        <w:fldChar w:fldCharType="separate"/>
      </w:r>
      <w:r w:rsidR="00B772CA">
        <w:rPr>
          <w:lang w:val="en-US"/>
        </w:rPr>
        <w:t>[61]</w:t>
      </w:r>
      <w:r w:rsidR="009E768B" w:rsidRPr="004D7C87">
        <w:rPr>
          <w:lang w:val="en-US"/>
        </w:rPr>
        <w:fldChar w:fldCharType="end"/>
      </w:r>
      <w:r w:rsidRPr="00313E82">
        <w:rPr>
          <w:lang w:val="en-US"/>
        </w:rPr>
        <w:t xml:space="preserve">. In fact, risk measures do not even need to be (sub-) additive or exhibit positive homogeneity. </w:t>
      </w:r>
    </w:p>
    <w:p w:rsidR="00AE198A" w:rsidRPr="00313E82" w:rsidRDefault="00AE198A" w:rsidP="00AE198A">
      <w:pPr>
        <w:rPr>
          <w:lang w:val="en-US"/>
        </w:rPr>
      </w:pPr>
      <w:r w:rsidRPr="00313E82">
        <w:rPr>
          <w:lang w:val="en-US"/>
        </w:rPr>
        <w:t xml:space="preserve">Conceptually, risk metrics/risk measures in risk models need to be suited for the assessment of future events. However, risk models and thus risk metrics are often used for the assessment of past events. In these cases, the risk metrics turn into so called “safety performance indicators” </w:t>
      </w:r>
      <w:r w:rsidR="009E768B" w:rsidRPr="004D7C87">
        <w:rPr>
          <w:lang w:val="en-US"/>
        </w:rPr>
        <w:fldChar w:fldCharType="begin"/>
      </w:r>
      <w:r w:rsidRPr="00313E82">
        <w:rPr>
          <w:lang w:val="en-US"/>
        </w:rPr>
        <w:instrText xml:space="preserve"> REF _Ref396320286 \r \h </w:instrText>
      </w:r>
      <w:r w:rsidR="009E768B" w:rsidRPr="004D7C87">
        <w:rPr>
          <w:lang w:val="en-US"/>
        </w:rPr>
      </w:r>
      <w:r w:rsidR="009E768B" w:rsidRPr="004D7C87">
        <w:rPr>
          <w:lang w:val="en-US"/>
        </w:rPr>
        <w:fldChar w:fldCharType="separate"/>
      </w:r>
      <w:r w:rsidR="00B772CA">
        <w:rPr>
          <w:lang w:val="en-US"/>
        </w:rPr>
        <w:t>[32]</w:t>
      </w:r>
      <w:r w:rsidR="009E768B" w:rsidRPr="004D7C87">
        <w:rPr>
          <w:lang w:val="en-US"/>
        </w:rPr>
        <w:fldChar w:fldCharType="end"/>
      </w:r>
      <w:r w:rsidRPr="00313E82">
        <w:rPr>
          <w:lang w:val="en-US"/>
        </w:rPr>
        <w:t>. In this report, this use of risk metrics will be explicitly denoted.</w:t>
      </w:r>
    </w:p>
    <w:p w:rsidR="00AE198A" w:rsidRPr="00313E82" w:rsidRDefault="00AE198A" w:rsidP="00AE198A">
      <w:pPr>
        <w:rPr>
          <w:lang w:val="en-US"/>
        </w:rPr>
      </w:pPr>
    </w:p>
    <w:p w:rsidR="00AE198A" w:rsidRPr="00313E82" w:rsidRDefault="00AE198A" w:rsidP="00AE198A">
      <w:pPr>
        <w:rPr>
          <w:lang w:val="en-US"/>
        </w:rPr>
      </w:pPr>
      <w:r w:rsidRPr="00313E82">
        <w:rPr>
          <w:lang w:val="en-US"/>
        </w:rPr>
        <w:t>It is important to note that risk measures (i.e. the quantification results for the risk metrics) can be time dependent.</w:t>
      </w:r>
    </w:p>
    <w:p w:rsidR="00AE198A" w:rsidRPr="00313E82" w:rsidRDefault="00CC1F29" w:rsidP="00AE198A">
      <w:pPr>
        <w:rPr>
          <w:lang w:val="en-US"/>
        </w:rPr>
      </w:pPr>
      <w:r w:rsidRPr="00313E82">
        <w:rPr>
          <w:lang w:val="en-US"/>
        </w:rPr>
        <w:t>The</w:t>
      </w:r>
      <w:r w:rsidR="00AE198A" w:rsidRPr="00313E82">
        <w:rPr>
          <w:lang w:val="en-US"/>
        </w:rPr>
        <w:t xml:space="preserve"> risk metrics/risk measure</w:t>
      </w:r>
      <w:r w:rsidR="00997DC1" w:rsidRPr="00313E82">
        <w:rPr>
          <w:lang w:val="en-US"/>
        </w:rPr>
        <w:t>s</w:t>
      </w:r>
      <w:r w:rsidR="00AE198A" w:rsidRPr="00313E82">
        <w:rPr>
          <w:lang w:val="en-US"/>
        </w:rPr>
        <w:t xml:space="preserve"> are further distinguished into direct risk metrics and secondary (derivative) risk metrics. </w:t>
      </w:r>
    </w:p>
    <w:p w:rsidR="00AE198A" w:rsidRPr="00313E82" w:rsidRDefault="00AE198A" w:rsidP="00AE198A">
      <w:pPr>
        <w:rPr>
          <w:lang w:val="en-US"/>
        </w:rPr>
      </w:pPr>
    </w:p>
    <w:p w:rsidR="00AE198A" w:rsidRPr="00313E82" w:rsidRDefault="00AE198A" w:rsidP="00AE198A">
      <w:pPr>
        <w:pStyle w:val="Titre3"/>
        <w:rPr>
          <w:lang w:val="en-US"/>
        </w:rPr>
      </w:pPr>
      <w:bookmarkStart w:id="548" w:name="_Toc474430246"/>
      <w:r w:rsidRPr="00313E82">
        <w:rPr>
          <w:lang w:val="en-US"/>
        </w:rPr>
        <w:t xml:space="preserve">Direct Risk </w:t>
      </w:r>
      <w:r w:rsidR="009C2E23" w:rsidRPr="00313E82">
        <w:rPr>
          <w:lang w:val="en-US"/>
        </w:rPr>
        <w:t>Measures and risk Metrics</w:t>
      </w:r>
      <w:bookmarkEnd w:id="548"/>
    </w:p>
    <w:p w:rsidR="00AE198A" w:rsidRPr="00313E82" w:rsidRDefault="00AE198A" w:rsidP="00AE198A">
      <w:pPr>
        <w:rPr>
          <w:lang w:val="en-US"/>
        </w:rPr>
      </w:pPr>
      <w:r w:rsidRPr="00313E82">
        <w:rPr>
          <w:lang w:val="en-US"/>
        </w:rPr>
        <w:t>Direct risk metrics are understood as those risk metrics (</w:t>
      </w:r>
      <w:r w:rsidR="009C2E23" w:rsidRPr="00313E82">
        <w:rPr>
          <w:lang w:val="en-US"/>
        </w:rPr>
        <w:t xml:space="preserve">as basis of a </w:t>
      </w:r>
      <w:r w:rsidRPr="00313E82">
        <w:rPr>
          <w:lang w:val="en-US"/>
        </w:rPr>
        <w:t xml:space="preserve">risk measures) which can be expressed as </w:t>
      </w:r>
      <w:r w:rsidR="00CB6E35" w:rsidRPr="00313E82">
        <w:rPr>
          <w:lang w:val="en-US"/>
        </w:rPr>
        <w:t xml:space="preserve">or are defining attributes of </w:t>
      </w:r>
      <w:r w:rsidRPr="00313E82">
        <w:rPr>
          <w:lang w:val="en-US"/>
        </w:rPr>
        <w:t>consequences c</w:t>
      </w:r>
      <w:r w:rsidRPr="00313E82">
        <w:rPr>
          <w:vertAlign w:val="subscript"/>
          <w:lang w:val="en-US"/>
        </w:rPr>
        <w:t>j</w:t>
      </w:r>
      <w:r w:rsidRPr="00313E82">
        <w:rPr>
          <w:lang w:val="en-US"/>
        </w:rPr>
        <w:t xml:space="preserve"> in a suitable risk triplet (s</w:t>
      </w:r>
      <w:r w:rsidRPr="00313E82">
        <w:rPr>
          <w:vertAlign w:val="subscript"/>
          <w:lang w:val="en-US"/>
        </w:rPr>
        <w:t>i</w:t>
      </w:r>
      <w:r w:rsidRPr="00313E82">
        <w:rPr>
          <w:lang w:val="en-US"/>
        </w:rPr>
        <w:t>, c</w:t>
      </w:r>
      <w:r w:rsidRPr="00313E82">
        <w:rPr>
          <w:vertAlign w:val="subscript"/>
          <w:lang w:val="en-US"/>
        </w:rPr>
        <w:t>j</w:t>
      </w:r>
      <w:r w:rsidRPr="00313E82">
        <w:rPr>
          <w:lang w:val="en-US"/>
        </w:rPr>
        <w:t>, φ(l</w:t>
      </w:r>
      <w:r w:rsidRPr="00313E82">
        <w:rPr>
          <w:vertAlign w:val="subscript"/>
          <w:lang w:val="en-US"/>
        </w:rPr>
        <w:t>ij</w:t>
      </w:r>
      <w:r w:rsidRPr="00313E82">
        <w:rPr>
          <w:lang w:val="en-US"/>
        </w:rPr>
        <w:t>)). These risk metrics can be quantified with a suitable likelihood function φ(l</w:t>
      </w:r>
      <w:r w:rsidRPr="00313E82">
        <w:rPr>
          <w:vertAlign w:val="subscript"/>
          <w:lang w:val="en-US"/>
        </w:rPr>
        <w:t>ij</w:t>
      </w:r>
      <w:r w:rsidRPr="00313E82">
        <w:rPr>
          <w:lang w:val="en-US"/>
        </w:rPr>
        <w:t>) or a rescaled version μ(φ(l</w:t>
      </w:r>
      <w:r w:rsidRPr="00313E82">
        <w:rPr>
          <w:vertAlign w:val="subscript"/>
          <w:lang w:val="en-US"/>
        </w:rPr>
        <w:t>ij</w:t>
      </w:r>
      <w:r w:rsidRPr="00313E82">
        <w:rPr>
          <w:lang w:val="en-US"/>
        </w:rPr>
        <w:t>)) thereof, where μ is at least bijective and monotonous.</w:t>
      </w:r>
    </w:p>
    <w:p w:rsidR="00AE198A" w:rsidRPr="00313E82" w:rsidRDefault="00AE198A" w:rsidP="00AE198A">
      <w:pPr>
        <w:rPr>
          <w:lang w:val="en-US"/>
        </w:rPr>
      </w:pPr>
      <w:r w:rsidRPr="00313E82">
        <w:rPr>
          <w:lang w:val="en-US"/>
        </w:rPr>
        <w:lastRenderedPageBreak/>
        <w:t>Obviously, one trivial risk measure μ for the doublet (s</w:t>
      </w:r>
      <w:r w:rsidRPr="00313E82">
        <w:rPr>
          <w:vertAlign w:val="subscript"/>
          <w:lang w:val="en-US"/>
        </w:rPr>
        <w:t>i</w:t>
      </w:r>
      <w:r w:rsidRPr="00313E82">
        <w:rPr>
          <w:lang w:val="en-US"/>
        </w:rPr>
        <w:t>, c</w:t>
      </w:r>
      <w:r w:rsidRPr="00313E82">
        <w:rPr>
          <w:vertAlign w:val="subscript"/>
          <w:lang w:val="en-US"/>
        </w:rPr>
        <w:t>j</w:t>
      </w:r>
      <w:r w:rsidRPr="00313E82">
        <w:rPr>
          <w:lang w:val="en-US"/>
        </w:rPr>
        <w:t xml:space="preserve">) is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lang w:val="en-US"/>
        </w:rPr>
        <w:t>. We identify this risk measure as the natural or standard risk measure for the risk metric of (s</w:t>
      </w:r>
      <w:r w:rsidRPr="00313E82">
        <w:rPr>
          <w:vertAlign w:val="subscript"/>
          <w:lang w:val="en-US"/>
        </w:rPr>
        <w:t>i</w:t>
      </w:r>
      <w:r w:rsidRPr="00313E82">
        <w:rPr>
          <w:lang w:val="en-US"/>
        </w:rPr>
        <w:t>, c</w:t>
      </w:r>
      <w:r w:rsidRPr="00313E82">
        <w:rPr>
          <w:vertAlign w:val="subscript"/>
          <w:lang w:val="en-US"/>
        </w:rPr>
        <w:t>j</w:t>
      </w:r>
      <w:r w:rsidRPr="00313E82">
        <w:rPr>
          <w:lang w:val="en-US"/>
        </w:rPr>
        <w:t>). Thus, risk measures are defined as distributions</w:t>
      </w:r>
      <w:r w:rsidR="00A322D5" w:rsidRPr="00313E82">
        <w:rPr>
          <w:lang w:val="en-US"/>
        </w:rPr>
        <w:t xml:space="preserve"> (cf. also </w:t>
      </w:r>
      <w:r w:rsidR="009E768B" w:rsidRPr="004D7C87">
        <w:rPr>
          <w:lang w:val="en-US"/>
        </w:rPr>
        <w:fldChar w:fldCharType="begin"/>
      </w:r>
      <w:r w:rsidR="00A322D5" w:rsidRPr="00313E82">
        <w:rPr>
          <w:lang w:val="en-US"/>
        </w:rPr>
        <w:instrText xml:space="preserve"> REF _Ref396215454 \r \h </w:instrText>
      </w:r>
      <w:r w:rsidR="009E768B" w:rsidRPr="004D7C87">
        <w:rPr>
          <w:lang w:val="en-US"/>
        </w:rPr>
      </w:r>
      <w:r w:rsidR="009E768B" w:rsidRPr="004D7C87">
        <w:rPr>
          <w:lang w:val="en-US"/>
        </w:rPr>
        <w:fldChar w:fldCharType="separate"/>
      </w:r>
      <w:r w:rsidR="00B772CA">
        <w:rPr>
          <w:lang w:val="en-US"/>
        </w:rPr>
        <w:t>[35]</w:t>
      </w:r>
      <w:r w:rsidR="009E768B" w:rsidRPr="004D7C87">
        <w:rPr>
          <w:lang w:val="en-US"/>
        </w:rPr>
        <w:fldChar w:fldCharType="end"/>
      </w:r>
      <w:r w:rsidR="00A322D5" w:rsidRPr="00313E82">
        <w:rPr>
          <w:lang w:val="en-US"/>
        </w:rPr>
        <w:t xml:space="preserve">). </w:t>
      </w:r>
      <w:r w:rsidRPr="00313E82">
        <w:rPr>
          <w:lang w:val="en-US"/>
        </w:rPr>
        <w:t>Important properties of these distributions are percentiles (especially the 5%, the median, and the 95% percentile), the mean, and the higher moments of the distribution including the standard deviation.</w:t>
      </w:r>
      <w:r w:rsidR="00A322D5" w:rsidRPr="00313E82">
        <w:rPr>
          <w:lang w:val="en-US"/>
        </w:rPr>
        <w:t xml:space="preserve"> For a lot of practical purposes, instead of distributions either point values or mean values are used and the fundamental aspect of a risk measure as a distribution is (consciously) neglected. </w:t>
      </w:r>
    </w:p>
    <w:p w:rsidR="00AE198A" w:rsidRPr="00313E82" w:rsidRDefault="00AE198A" w:rsidP="00AE198A">
      <w:pPr>
        <w:rPr>
          <w:lang w:val="en-US"/>
        </w:rPr>
      </w:pPr>
      <w:r w:rsidRPr="00313E82">
        <w:rPr>
          <w:lang w:val="en-US"/>
        </w:rPr>
        <w:t>For the consequence c</w:t>
      </w:r>
      <w:r w:rsidRPr="00313E82">
        <w:rPr>
          <w:vertAlign w:val="subscript"/>
          <w:lang w:val="en-US"/>
        </w:rPr>
        <w:t>j</w:t>
      </w:r>
      <w:r w:rsidRPr="00313E82">
        <w:rPr>
          <w:lang w:val="en-US"/>
        </w:rPr>
        <w:t xml:space="preserve">, the risk measure is defined as </w:t>
      </w:r>
    </w:p>
    <w:p w:rsidR="00AE198A" w:rsidRPr="00313E82" w:rsidRDefault="00AE198A" w:rsidP="00AE198A">
      <w:pPr>
        <w:rPr>
          <w:lang w:val="en-US"/>
        </w:rPr>
      </w:pPr>
      <m:oMathPara>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e>
          </m:d>
          <m:r>
            <w:rPr>
              <w:rFonts w:ascii="Cambria Math" w:hAnsi="Cambria Math"/>
              <w:lang w:val="en-US"/>
            </w:rPr>
            <m:t>=μ</m:t>
          </m:r>
          <m:d>
            <m:dPr>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e>
          </m:d>
          <m:r>
            <w:rPr>
              <w:rFonts w:ascii="Cambria Math" w:hAnsi="Cambria Math"/>
              <w:lang w:val="en-US"/>
            </w:rPr>
            <m:t>.</m:t>
          </m:r>
        </m:oMath>
      </m:oMathPara>
    </w:p>
    <w:p w:rsidR="00AE198A" w:rsidRPr="00313E82" w:rsidRDefault="00AE198A" w:rsidP="00AE198A">
      <w:pPr>
        <w:rPr>
          <w:lang w:val="en-US"/>
        </w:rPr>
      </w:pPr>
      <w:r w:rsidRPr="00313E82">
        <w:rPr>
          <w:lang w:val="en-US"/>
        </w:rPr>
        <w:t>Already at this point it should be noted that for a set of scenarios s</w:t>
      </w:r>
      <w:r w:rsidRPr="00313E82">
        <w:rPr>
          <w:vertAlign w:val="subscript"/>
          <w:lang w:val="en-US"/>
        </w:rPr>
        <w:t>i</w:t>
      </w:r>
      <w:r w:rsidRPr="00313E82">
        <w:rPr>
          <w:lang w:val="en-US"/>
        </w:rPr>
        <w:t>, the risk measure for the consequence c</w:t>
      </w:r>
      <w:r w:rsidRPr="00313E82">
        <w:rPr>
          <w:vertAlign w:val="subscript"/>
          <w:lang w:val="en-US"/>
        </w:rPr>
        <w:t>j</w:t>
      </w:r>
      <w:r w:rsidRPr="00313E82">
        <w:rPr>
          <w:lang w:val="en-US"/>
        </w:rPr>
        <w:t xml:space="preserve"> risk metric should at least be monotonous, i.e.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r>
          <w:rPr>
            <w:rFonts w:ascii="Cambria Math" w:hAnsi="Cambria Math"/>
            <w:lang w:val="en-US"/>
          </w:rPr>
          <m:t>≺…≺μ</m:t>
        </m:r>
        <m:d>
          <m:dPr>
            <m:ctrlPr>
              <w:rPr>
                <w:rFonts w:ascii="Cambria Math" w:hAnsi="Cambria Math"/>
                <w:i/>
                <w:lang w:val="en-US"/>
              </w:rPr>
            </m:ctrlPr>
          </m:dPr>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 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oMath>
      <w:r w:rsidRPr="00313E82">
        <w:rPr>
          <w:lang w:val="en-US"/>
        </w:rPr>
        <w:t xml:space="preserve"> (given a suitable definition of the “</w:t>
      </w:r>
      <m:oMath>
        <m:r>
          <w:rPr>
            <w:rFonts w:ascii="Cambria Math" w:hAnsi="Cambria Math"/>
            <w:lang w:val="en-US"/>
          </w:rPr>
          <m:t>≺</m:t>
        </m:r>
      </m:oMath>
      <w:r w:rsidRPr="00313E82">
        <w:rPr>
          <w:lang w:val="en-US"/>
        </w:rPr>
        <w:t>” relation). Moreover, in a number of important cases, the risk measure is additive</w:t>
      </w:r>
      <w:r w:rsidR="00A322D5" w:rsidRPr="00313E82">
        <w:rPr>
          <w:rStyle w:val="Appelnotedebasdep"/>
          <w:lang w:val="en-US"/>
        </w:rPr>
        <w:footnoteReference w:id="21"/>
      </w:r>
      <w:r w:rsidR="00A322D5" w:rsidRPr="00313E82">
        <w:rPr>
          <w:lang w:val="en-US"/>
        </w:rPr>
        <w:t>,</w:t>
      </w:r>
      <w:r w:rsidRPr="00313E82">
        <w:rPr>
          <w:lang w:val="en-US"/>
        </w:rPr>
        <w:t xml:space="preserve">, i.e.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  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oMath>
      <w:r w:rsidRPr="00313E82">
        <w:rPr>
          <w:lang w:val="en-US"/>
        </w:rPr>
        <w:t xml:space="preserve">, or at least convex. Specifically, the risk measure should be additive if the scenarios are mutually </w:t>
      </w:r>
      <w:r w:rsidR="0023169D" w:rsidRPr="00313E82">
        <w:rPr>
          <w:lang w:val="en-US"/>
        </w:rPr>
        <w:t>exclusiv</w:t>
      </w:r>
      <w:r w:rsidRPr="00313E82">
        <w:rPr>
          <w:lang w:val="en-US"/>
        </w:rPr>
        <w:t>e</w:t>
      </w:r>
      <w:r w:rsidR="0023169D" w:rsidRPr="00313E82">
        <w:rPr>
          <w:lang w:val="en-US"/>
        </w:rPr>
        <w:t>, i.e.</w:t>
      </w:r>
      <w:r w:rsidRPr="00313E82">
        <w:rPr>
          <w:lang w:val="en-US"/>
        </w:rPr>
        <w:t>:</w:t>
      </w:r>
    </w:p>
    <w:p w:rsidR="00AE198A" w:rsidRPr="00313E82" w:rsidRDefault="0043746A" w:rsidP="00AE198A">
      <w:pPr>
        <w:rPr>
          <w:lang w:val="en-US"/>
        </w:rPr>
      </w:pPr>
      <m:oMathPara>
        <m:oMath>
          <m:nary>
            <m:naryPr>
              <m:chr m:val="⋃"/>
              <m:limLoc m:val="undOvr"/>
              <m:supHide m:val="1"/>
              <m:ctrlPr>
                <w:rPr>
                  <w:rFonts w:ascii="Cambria Math" w:hAnsi="Cambria Math"/>
                  <w:i/>
                  <w:lang w:val="en-US"/>
                </w:rPr>
              </m:ctrlPr>
            </m:naryPr>
            <m:sub>
              <m:r>
                <w:rPr>
                  <w:rFonts w:ascii="Cambria Math" w:hAnsi="Cambria Math"/>
                  <w:lang w:val="en-US"/>
                </w:rPr>
                <m:t>i</m:t>
              </m:r>
            </m:sub>
            <m:sup/>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nary>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r>
            <w:rPr>
              <w:rFonts w:ascii="Cambria Math" w:hAnsi="Cambria Math"/>
              <w:lang w:val="en-US"/>
            </w:rPr>
            <m:t>.</m:t>
          </m:r>
        </m:oMath>
      </m:oMathPara>
    </w:p>
    <w:p w:rsidR="00A322D5" w:rsidRPr="00313E82" w:rsidRDefault="00AE198A" w:rsidP="00A322D5">
      <w:pPr>
        <w:rPr>
          <w:lang w:val="en-US"/>
        </w:rPr>
      </w:pPr>
      <w:r w:rsidRPr="00313E82">
        <w:rPr>
          <w:lang w:val="en-US"/>
        </w:rPr>
        <w:t>If the standard risk measure is used for (s</w:t>
      </w:r>
      <w:r w:rsidRPr="00313E82">
        <w:rPr>
          <w:vertAlign w:val="subscript"/>
          <w:lang w:val="en-US"/>
        </w:rPr>
        <w:t>i</w:t>
      </w:r>
      <w:r w:rsidRPr="00313E82">
        <w:rPr>
          <w:lang w:val="en-US"/>
        </w:rPr>
        <w:t>, c</w:t>
      </w:r>
      <w:r w:rsidRPr="00313E82">
        <w:rPr>
          <w:vertAlign w:val="subscript"/>
          <w:lang w:val="en-US"/>
        </w:rPr>
        <w:t>j</w:t>
      </w:r>
      <w:r w:rsidRPr="00313E82">
        <w:rPr>
          <w:lang w:val="en-US"/>
        </w:rPr>
        <w:t xml:space="preserve">), i.e.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lang w:val="en-US"/>
        </w:rPr>
        <w:t xml:space="preserve">, and if the scenarios are mutually exclusive, then </w:t>
      </w:r>
      <w:r w:rsidR="00A322D5" w:rsidRPr="00313E82">
        <w:rPr>
          <w:lang w:val="en-US"/>
        </w:rPr>
        <w:t xml:space="preserve">the convolution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 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1j</m:t>
                </m:r>
              </m:sub>
            </m:sSub>
          </m:e>
        </m:d>
        <m:r>
          <w:rPr>
            <w:rFonts w:ascii="Cambria Math" w:hAnsi="Cambria Math"/>
            <w:lang w:val="en-US"/>
          </w:rPr>
          <m:t>*…* 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oMath>
      <w:r w:rsidR="00A322D5" w:rsidRPr="00313E82">
        <w:rPr>
          <w:lang w:val="en-US"/>
        </w:rPr>
        <w:t xml:space="preserve"> is a natural risk measure for the consequence c</w:t>
      </w:r>
      <w:r w:rsidR="00A322D5" w:rsidRPr="00313E82">
        <w:rPr>
          <w:vertAlign w:val="subscript"/>
          <w:lang w:val="en-US"/>
        </w:rPr>
        <w:t>j</w:t>
      </w:r>
      <w:r w:rsidR="00A322D5" w:rsidRPr="00313E82">
        <w:rPr>
          <w:lang w:val="en-US"/>
        </w:rPr>
        <w:t xml:space="preserve"> i.e. the distribution for the aggregated sequences can be derived as the convolution of the individual distributions. Importantly, the mean values are then additive, i.e. </w:t>
      </w:r>
      <m:oMath>
        <m:r>
          <w:rPr>
            <w:rFonts w:ascii="Cambria Math" w:hAnsi="Cambria Math"/>
            <w:lang w:val="en-US"/>
          </w:rPr>
          <m:t>E</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 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oMath>
      <w:r w:rsidR="00A322D5" w:rsidRPr="00313E82">
        <w:rPr>
          <w:lang w:val="en-US"/>
        </w:rPr>
        <w:t>. Distributions and means are usually calculated in uncertainty analysis by applying Monte Carlo methods.</w:t>
      </w:r>
    </w:p>
    <w:p w:rsidR="00AE198A" w:rsidRPr="00313E82" w:rsidRDefault="00AE198A" w:rsidP="00AE198A">
      <w:pPr>
        <w:rPr>
          <w:lang w:val="en-US"/>
        </w:rPr>
      </w:pPr>
      <w:r w:rsidRPr="00313E82">
        <w:rPr>
          <w:lang w:val="en-US"/>
        </w:rPr>
        <w:t xml:space="preserve">Salient examples for direct risk metrics include “core damage” with the quantification (risk measure) as “core damage frequency” and “large early release” with “large early release frequency”. Similarly, the unavailability of a safety system can be expressed as a (preferably unconditional) “system unavailability probability” or a “system unavailability frequency” depending on the specific analysis performed. </w:t>
      </w:r>
    </w:p>
    <w:p w:rsidR="00AE198A" w:rsidRPr="00313E82" w:rsidRDefault="00AE198A" w:rsidP="00AE198A">
      <w:pPr>
        <w:rPr>
          <w:lang w:val="en-US"/>
        </w:rPr>
      </w:pPr>
      <w:r w:rsidRPr="00313E82">
        <w:rPr>
          <w:lang w:val="en-US"/>
        </w:rPr>
        <w:t>Some direct risk metrics (i.e. “time to system failure”) are constructed by effectively rescaling the “likelihood” function. For the given example, instead of looking at the frequency of system failure, its inverse value is used. This illustrates that there is significant freedom in the choice of a measure function μ.</w:t>
      </w:r>
    </w:p>
    <w:p w:rsidR="00AE198A" w:rsidRPr="00313E82" w:rsidRDefault="00AE198A" w:rsidP="00AE198A">
      <w:pPr>
        <w:rPr>
          <w:lang w:val="en-US"/>
        </w:rPr>
      </w:pPr>
      <w:r w:rsidRPr="00313E82">
        <w:rPr>
          <w:lang w:val="en-US"/>
        </w:rPr>
        <w:t xml:space="preserve">The question of how risk measures from different consequences are aggregated is less clear. Even if the consequences are </w:t>
      </w:r>
      <w:r w:rsidR="0023169D" w:rsidRPr="00313E82">
        <w:rPr>
          <w:lang w:val="en-US"/>
        </w:rPr>
        <w:t>disjoint</w:t>
      </w:r>
      <w:r w:rsidR="00CB6E35" w:rsidRPr="00313E82">
        <w:rPr>
          <w:lang w:val="en-US"/>
        </w:rPr>
        <w:t xml:space="preserve"> (</w:t>
      </w:r>
      <m:oMath>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1</m:t>
                </m:r>
              </m:sub>
            </m:sSub>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r>
          <w:rPr>
            <w:rFonts w:ascii="Cambria Math" w:hAnsi="Cambria Math"/>
            <w:lang w:val="en-US"/>
          </w:rPr>
          <m:t>=∅</m:t>
        </m:r>
      </m:oMath>
      <w:r w:rsidR="00CB6E35" w:rsidRPr="00313E82">
        <w:rPr>
          <w:lang w:val="en-US"/>
        </w:rPr>
        <w:t>)</w:t>
      </w:r>
      <w:r w:rsidRPr="00313E82">
        <w:rPr>
          <w:lang w:val="en-US"/>
        </w:rPr>
        <w:t xml:space="preserve">, </w:t>
      </w:r>
      <w:r w:rsidR="00CB6E35" w:rsidRPr="00313E82">
        <w:rPr>
          <w:lang w:val="en-US"/>
        </w:rPr>
        <w:t>and therefore</w:t>
      </w:r>
    </w:p>
    <w:p w:rsidR="00AE198A" w:rsidRPr="00313E82" w:rsidRDefault="0043746A" w:rsidP="00AE198A">
      <w:pPr>
        <w:rPr>
          <w:lang w:val="en-US"/>
        </w:rPr>
      </w:pPr>
      <m:oMathPara>
        <m:oMath>
          <m:nary>
            <m:naryPr>
              <m:chr m:val="⋃"/>
              <m:limLoc m:val="undOvr"/>
              <m:supHide m:val="1"/>
              <m:ctrlPr>
                <w:rPr>
                  <w:rFonts w:ascii="Cambria Math" w:hAnsi="Cambria Math"/>
                  <w:i/>
                  <w:lang w:val="en-US"/>
                </w:rPr>
              </m:ctrlPr>
            </m:naryPr>
            <m:sub>
              <m:r>
                <w:rPr>
                  <w:rFonts w:ascii="Cambria Math" w:hAnsi="Cambria Math"/>
                  <w:lang w:val="en-US"/>
                </w:rPr>
                <m:t>j</m:t>
              </m:r>
            </m:sub>
            <m:sup/>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nary>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1</m:t>
                      </m:r>
                    </m:sub>
                  </m:sSub>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r>
            <w:rPr>
              <w:rFonts w:ascii="Cambria Math" w:hAnsi="Cambria Math"/>
              <w:lang w:val="en-US"/>
            </w:rPr>
            <m:t>,</m:t>
          </m:r>
        </m:oMath>
      </m:oMathPara>
    </w:p>
    <w:p w:rsidR="00AE198A" w:rsidRPr="00313E82" w:rsidRDefault="00AE198A" w:rsidP="00AE198A">
      <w:pPr>
        <w:rPr>
          <w:lang w:val="en-US"/>
        </w:rPr>
      </w:pPr>
      <w:r w:rsidRPr="00313E82">
        <w:rPr>
          <w:lang w:val="en-US"/>
        </w:rPr>
        <w:t xml:space="preserve">simply adding up the risk measures of the consequences </w:t>
      </w:r>
      <w:r w:rsidR="00A322D5" w:rsidRPr="00313E82">
        <w:rPr>
          <w:lang w:val="en-US"/>
        </w:rPr>
        <w:t>in the sense of</w:t>
      </w:r>
    </w:p>
    <w:p w:rsidR="00A322D5" w:rsidRPr="00313E82" w:rsidRDefault="00A322D5" w:rsidP="00A322D5">
      <w:pPr>
        <w:rPr>
          <w:lang w:val="en-US"/>
        </w:rPr>
      </w:pPr>
      <m:oMathPara>
        <m:oMath>
          <m:r>
            <w:rPr>
              <w:rFonts w:ascii="Cambria Math" w:hAnsi="Cambria Math"/>
              <w:lang w:val="en-US"/>
            </w:rPr>
            <m:t>E</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j</m:t>
                      </m:r>
                    </m:sub>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nary>
                  <m:r>
                    <w:rPr>
                      <w:rFonts w:ascii="Cambria Math" w:hAnsi="Cambria Math"/>
                      <w:lang w:val="en-US"/>
                    </w:rPr>
                    <m:t>)</m:t>
                  </m:r>
                </m:e>
              </m:d>
            </m:e>
          </m:d>
          <m:r>
            <w:rPr>
              <w:rFonts w:ascii="Cambria Math" w:hAnsi="Cambria Math"/>
              <w:lang w:val="en-US"/>
            </w:rPr>
            <m:t>=E</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1</m:t>
                      </m:r>
                    </m:sub>
                  </m:sSub>
                </m:e>
              </m:d>
            </m:e>
          </m:d>
          <m:r>
            <w:rPr>
              <w:rFonts w:ascii="Cambria Math" w:hAnsi="Cambria Math"/>
              <w:lang w:val="en-US"/>
            </w:rPr>
            <m:t xml:space="preserve">+…+ E </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vertAlign w:val="subscript"/>
                          <w:lang w:val="en-US"/>
                        </w:rPr>
                        <m:t xml:space="preserve">, </m:t>
                      </m:r>
                      <m:r>
                        <w:rPr>
                          <w:rFonts w:ascii="Cambria Math" w:hAnsi="Cambria Math"/>
                          <w:lang w:val="en-US"/>
                        </w:rPr>
                        <m:t>c</m:t>
                      </m:r>
                    </m:e>
                    <m:sub>
                      <m:r>
                        <w:rPr>
                          <w:rFonts w:ascii="Cambria Math" w:hAnsi="Cambria Math"/>
                          <w:lang w:val="en-US"/>
                        </w:rPr>
                        <m:t>j</m:t>
                      </m:r>
                    </m:sub>
                  </m:sSub>
                </m:e>
              </m:d>
            </m:e>
          </m:d>
        </m:oMath>
      </m:oMathPara>
    </w:p>
    <w:p w:rsidR="00A322D5" w:rsidRPr="00313E82" w:rsidRDefault="00AE198A" w:rsidP="00A322D5">
      <w:pPr>
        <w:rPr>
          <w:lang w:val="en-US"/>
        </w:rPr>
      </w:pPr>
      <w:r w:rsidRPr="00313E82">
        <w:rPr>
          <w:lang w:val="en-US"/>
        </w:rPr>
        <w:t xml:space="preserve">might not lead to an acceptable risk measure, although it is certainly well-defined. One such example are Level 3 PSA risk metrics for accidental exposure for a person near the site in mSv. If the exposure risk is broken up into </w:t>
      </w:r>
      <w:r w:rsidRPr="00313E82">
        <w:rPr>
          <w:lang w:val="en-US"/>
        </w:rPr>
        <w:lastRenderedPageBreak/>
        <w:t xml:space="preserve">categories for different radiation dose intervals, e.g. in categories of &lt; 1 mSv, &lt; 10 mSv, &lt; 100 mSv, &lt; 1000 mSv, &lt; 10000 mSv, and &gt; 10000 mSv, then simply adding up the exposure frequencies is certainly a possibility. However, most would see this as an inadequate representation of the actual accidental radiation dose risk. The issue of risk aggregation over risk metrics/risk measures (i.e. consequences) </w:t>
      </w:r>
      <w:r w:rsidR="00A322D5" w:rsidRPr="00313E82">
        <w:rPr>
          <w:lang w:val="en-US"/>
        </w:rPr>
        <w:t xml:space="preserve">is particularly relevant for aggregating risk from multiple sources or units, for which mutual exclusivity is no longer a valid assumption. For direct risk measures commonly used in PSA, it is possible to distinguish between two important types of consequences. </w:t>
      </w:r>
    </w:p>
    <w:p w:rsidR="00A322D5" w:rsidRPr="00313E82" w:rsidRDefault="00A322D5" w:rsidP="00A322D5">
      <w:pPr>
        <w:rPr>
          <w:lang w:val="en-US"/>
        </w:rPr>
      </w:pPr>
      <w:r w:rsidRPr="00313E82">
        <w:rPr>
          <w:lang w:val="en-US"/>
        </w:rPr>
        <w:t>The first type of consequence is defined over a binary event like e.g. fuel damage. In that case the consequence c</w:t>
      </w:r>
      <w:r w:rsidRPr="00313E82">
        <w:rPr>
          <w:vertAlign w:val="subscript"/>
          <w:lang w:val="en-US"/>
        </w:rPr>
        <w:t>j</w:t>
      </w:r>
      <w:r w:rsidRPr="00313E82">
        <w:rPr>
          <w:lang w:val="en-US"/>
        </w:rPr>
        <w:t xml:space="preserve"> is part of a Boolean domain and can be identified as c </w:t>
      </w:r>
      <m:oMath>
        <m:r>
          <w:rPr>
            <w:rFonts w:ascii="Cambria Math" w:hAnsi="Cambria Math"/>
            <w:lang w:val="en-US"/>
          </w:rPr>
          <m:t xml:space="preserve">≡1 ∈ </m:t>
        </m:r>
        <m:d>
          <m:dPr>
            <m:begChr m:val="{"/>
            <m:endChr m:val="}"/>
            <m:ctrlPr>
              <w:rPr>
                <w:rFonts w:ascii="Cambria Math" w:hAnsi="Cambria Math"/>
                <w:i/>
                <w:lang w:val="en-US"/>
              </w:rPr>
            </m:ctrlPr>
          </m:dPr>
          <m:e>
            <m:r>
              <w:rPr>
                <w:rFonts w:ascii="Cambria Math" w:hAnsi="Cambria Math"/>
                <w:lang w:val="en-US"/>
              </w:rPr>
              <m:t>0, 1</m:t>
            </m:r>
          </m:e>
        </m:d>
      </m:oMath>
      <w:r w:rsidRPr="00313E82">
        <w:rPr>
          <w:lang w:val="en-US"/>
        </w:rPr>
        <w:t xml:space="preserve"> and importantly </w:t>
      </w:r>
      <m:oMath>
        <m:r>
          <w:rPr>
            <w:rFonts w:ascii="Cambria Math" w:hAnsi="Cambria Math"/>
            <w:lang w:val="en-US"/>
          </w:rPr>
          <m:t>¬ c  ≡0</m:t>
        </m:r>
      </m:oMath>
      <w:r w:rsidRPr="00313E82">
        <w:rPr>
          <w:lang w:val="en-US"/>
        </w:rPr>
        <w:t xml:space="preserve">. For aggregating the risk from two independent sequences for two sources A and B using an additive measure like </w:t>
      </w:r>
      <m:oMath>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oMath>
      <w:r w:rsidRPr="00313E82">
        <w:rPr>
          <w:lang w:val="en-US"/>
        </w:rPr>
        <w:t>, it then follows.</w:t>
      </w:r>
    </w:p>
    <w:p w:rsidR="00A322D5" w:rsidRPr="00313E82" w:rsidRDefault="0043746A"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 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oMath>
      </m:oMathPara>
    </w:p>
    <w:p w:rsidR="00A322D5" w:rsidRPr="00313E82" w:rsidRDefault="00A322D5" w:rsidP="00A322D5">
      <w:pPr>
        <w:rPr>
          <w:lang w:val="en-US"/>
        </w:rPr>
      </w:pPr>
      <m:oMathPara>
        <m:oMath>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d>
        </m:oMath>
      </m:oMathPara>
    </w:p>
    <w:p w:rsidR="00A322D5" w:rsidRPr="00313E82" w:rsidRDefault="0043746A"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B,n</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d>
            <m:dPr>
              <m:ctrlPr>
                <w:rPr>
                  <w:rFonts w:ascii="Cambria Math" w:hAnsi="Cambria Math"/>
                  <w:i/>
                  <w:lang w:val="en-US"/>
                </w:rPr>
              </m:ctrlPr>
            </m:d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r>
            <w:rPr>
              <w:rFonts w:ascii="Cambria Math" w:hAnsi="Cambria Math"/>
              <w:lang w:val="en-US"/>
            </w:rPr>
            <m:t>*</m:t>
          </m:r>
          <m:d>
            <m:dPr>
              <m:ctrlPr>
                <w:rPr>
                  <w:rFonts w:ascii="Cambria Math" w:hAnsi="Cambria Math"/>
                  <w:i/>
                  <w:lang w:val="en-US"/>
                </w:rPr>
              </m:ctrlPr>
            </m:d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d>
          <m:r>
            <w:rPr>
              <w:rFonts w:ascii="Cambria Math" w:hAnsi="Cambria Math"/>
              <w:lang w:val="en-US"/>
            </w:rPr>
            <m:t xml:space="preserve"> </m:t>
          </m:r>
        </m:oMath>
      </m:oMathPara>
    </w:p>
    <w:p w:rsidR="00A322D5" w:rsidRPr="00313E82" w:rsidRDefault="00A322D5" w:rsidP="00A322D5">
      <w:pPr>
        <w:rPr>
          <w:lang w:val="en-US"/>
        </w:rPr>
      </w:pPr>
      <m:oMathPara>
        <m:oMath>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=1-E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oMath>
      </m:oMathPara>
    </w:p>
    <w:p w:rsidR="00A322D5" w:rsidRPr="00313E82" w:rsidRDefault="00A322D5" w:rsidP="00A322D5">
      <w:pPr>
        <w:rPr>
          <w:lang w:val="en-US"/>
        </w:rPr>
      </w:pPr>
      <w:r w:rsidRPr="00313E82">
        <w:rPr>
          <w:lang w:val="en-US"/>
        </w:rPr>
        <w:t>The extension to more than two sequences is straight forward. The important property is that aggregating risk over the sources for this binary type can be done by simply adding up (i.e. convoluting) the respective distributions for all sequences assigned to the respective consequence. For mean values of probability distributions, Boolean logic can be applied.</w:t>
      </w:r>
    </w:p>
    <w:p w:rsidR="00A322D5" w:rsidRPr="00313E82" w:rsidRDefault="00A322D5" w:rsidP="00A322D5">
      <w:pPr>
        <w:rPr>
          <w:lang w:val="en-US"/>
        </w:rPr>
      </w:pPr>
      <w:r w:rsidRPr="00313E82">
        <w:rPr>
          <w:lang w:val="en-US"/>
        </w:rPr>
        <w:t>For the second type of consequence the issues are more complicated. This type of consequence is defined over a continuous</w:t>
      </w:r>
      <w:r w:rsidR="00A73A08">
        <w:rPr>
          <w:lang w:val="en-US"/>
        </w:rPr>
        <w:t xml:space="preserve"> or at least integer</w:t>
      </w:r>
      <w:r w:rsidRPr="00313E82">
        <w:rPr>
          <w:lang w:val="en-US"/>
        </w:rPr>
        <w:t xml:space="preserve"> variable like e.g. the amount of release in Bq or the exposure in mSv. The example of release metrics is particularly relevant to ASAMPSA_E. In that case, a bounding or at least representative source term and therefore release value r (e.g. Bq of Cs-137) is assigned to each sequence. These are then put into a release category (assigned to a consequence c</w:t>
      </w:r>
      <w:r w:rsidRPr="00313E82">
        <w:rPr>
          <w:vertAlign w:val="subscript"/>
          <w:lang w:val="en-US"/>
        </w:rPr>
        <w:t>j</w:t>
      </w:r>
      <w:r w:rsidRPr="00313E82">
        <w:rPr>
          <w:lang w:val="en-US"/>
        </w:rPr>
        <w:t xml:space="preserve">) based on release characteristics, e.g. if certain threshold values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oMath>
      <w:r w:rsidRPr="00313E82">
        <w:rPr>
          <w:lang w:val="en-US"/>
        </w:rPr>
        <w:t xml:space="preserve"> for the release are exceeded or not. This can be noted for two sources and two sequences as follows</w:t>
      </w:r>
    </w:p>
    <w:p w:rsidR="00A322D5" w:rsidRPr="00313E82" w:rsidRDefault="0043746A"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B,j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oMath>
      </m:oMathPara>
    </w:p>
    <w:p w:rsidR="00A322D5" w:rsidRPr="00313E82" w:rsidRDefault="00A322D5" w:rsidP="00A322D5">
      <w:pPr>
        <w:rPr>
          <w:lang w:val="en-US"/>
        </w:rPr>
      </w:pPr>
      <w:r w:rsidRPr="00313E82">
        <w:rPr>
          <w:lang w:val="en-US"/>
        </w:rPr>
        <w:t xml:space="preserve">These sequences obviously contribute to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But for sequences not assigned to consequence c</w:t>
      </w:r>
      <w:r w:rsidRPr="00313E82">
        <w:rPr>
          <w:vertAlign w:val="subscript"/>
          <w:lang w:val="en-US"/>
        </w:rPr>
        <w:t>j</w:t>
      </w:r>
      <w:r w:rsidRPr="00313E82">
        <w:rPr>
          <w:lang w:val="en-US"/>
        </w:rPr>
        <w:t xml:space="preserve">, we only know that the release value is somewhere below the threshold value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oMath>
      <w:r w:rsidRPr="00313E82">
        <w:rPr>
          <w:lang w:val="en-US"/>
        </w:rPr>
        <w:t>. The two sequence(s) for source A and B that do not reach the threshold value might be split up in two additional sequences, e.g.</w:t>
      </w:r>
    </w:p>
    <w:p w:rsidR="00A322D5" w:rsidRPr="00313E82" w:rsidRDefault="0043746A"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1-φ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A,m1</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m1¬j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j,1</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A,m2</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m2¬j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 xml:space="preserve">&lt;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oMath>
      </m:oMathPara>
    </w:p>
    <w:p w:rsidR="00A322D5" w:rsidRPr="00313E82" w:rsidRDefault="00A322D5" w:rsidP="00A322D5">
      <w:pPr>
        <w:rPr>
          <w:lang w:val="en-US"/>
        </w:rPr>
      </w:pPr>
      <w:r w:rsidRPr="00313E82">
        <w:rPr>
          <w:lang w:val="en-US"/>
        </w:rPr>
        <w:t xml:space="preserve">and analogously for source B. Based on these simplifying assumptions the total contributions to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can be derived by convoluting the distributions from three cases, i.e.</w:t>
      </w:r>
    </w:p>
    <w:p w:rsidR="00A322D5" w:rsidRPr="00313E82" w:rsidRDefault="0043746A" w:rsidP="00A322D5">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B,j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oMath>
      </m:oMathPara>
    </w:p>
    <w:p w:rsidR="00A322D5" w:rsidRPr="00313E82" w:rsidRDefault="00A322D5" w:rsidP="00A322D5">
      <w:pPr>
        <w:rPr>
          <w:lang w:val="en-US"/>
        </w:rPr>
      </w:pPr>
      <m:oMathPara>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A,m1</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m1¬j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j,1</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B,k1</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k1¬j</m:t>
                          </m:r>
                        </m:sub>
                      </m:sSub>
                    </m:e>
                  </m:d>
                </m:e>
              </m:groupChr>
            </m:e>
          </m:box>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j,1</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e>
          </m:d>
        </m:oMath>
      </m:oMathPara>
    </w:p>
    <w:p w:rsidR="00A322D5" w:rsidRPr="00313E82" w:rsidRDefault="00A322D5" w:rsidP="00A322D5">
      <w:pPr>
        <w:rPr>
          <w:lang w:val="en-US"/>
        </w:rPr>
      </w:pPr>
      <m:oMathPara>
        <m:oMath>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A+B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kj</m:t>
                      </m:r>
                    </m:sub>
                  </m:sSub>
                </m:e>
              </m:d>
            </m:e>
          </m:d>
          <m:r>
            <w:rPr>
              <w:rFonts w:ascii="Cambria Math" w:hAnsi="Cambria Math"/>
              <w:lang w:val="en-US"/>
            </w:rPr>
            <m:t>∨</m:t>
          </m:r>
          <m:d>
            <m:dPr>
              <m:ctrlPr>
                <w:rPr>
                  <w:rFonts w:ascii="Cambria Math" w:hAnsi="Cambria Math"/>
                  <w:i/>
                  <w:lang w:val="en-US"/>
                </w:rPr>
              </m:ctrlPr>
            </m:dPr>
            <m:e>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m1¬j</m:t>
                          </m:r>
                        </m:sub>
                      </m:sSub>
                    </m:e>
                  </m:d>
                </m:e>
              </m:d>
              <m:r>
                <w:rPr>
                  <w:rFonts w:ascii="Cambria Math" w:hAnsi="Cambria Math"/>
                  <w:lang w:val="en-US"/>
                </w:rPr>
                <m:t>E</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k1¬j</m:t>
                          </m:r>
                        </m:sub>
                      </m:sSub>
                    </m:e>
                  </m:d>
                </m:e>
              </m:d>
            </m:e>
          </m:d>
        </m:oMath>
      </m:oMathPara>
    </w:p>
    <w:p w:rsidR="00A322D5" w:rsidRDefault="00A322D5" w:rsidP="00A322D5">
      <w:pPr>
        <w:rPr>
          <w:lang w:val="en-US"/>
        </w:rPr>
      </w:pPr>
      <w:r w:rsidRPr="00313E82">
        <w:rPr>
          <w:lang w:val="en-US"/>
        </w:rPr>
        <w:t xml:space="preserve">The important property is that for aggregating risk over the sources not only those sequences, which did reach the threshold for one source, need to be considered, but that there are in addition further contributions from sequences, which only jointly reach or exceed the threshold value. Importantly, extending the example described above to more than two sequences is in no way straight forward. This complicates matters significantly, because </w:t>
      </w:r>
      <w:r w:rsidRPr="00313E82">
        <w:rPr>
          <w:lang w:val="en-US"/>
        </w:rPr>
        <w:lastRenderedPageBreak/>
        <w:t xml:space="preserve">the definition of sequences for a multi-source model needs to take these additional contributions compared to the binary event case into account. </w:t>
      </w:r>
    </w:p>
    <w:p w:rsidR="000B4719" w:rsidRPr="00313E82" w:rsidRDefault="000B4719" w:rsidP="000B4719">
      <w:pPr>
        <w:rPr>
          <w:lang w:val="en-US"/>
        </w:rPr>
      </w:pPr>
      <w:r w:rsidRPr="00313E82">
        <w:rPr>
          <w:lang w:val="en-US"/>
        </w:rPr>
        <w:t>In fact, multi-source models for consequences based on continuous variables can only be decomposed into single-source models in an approximate way. When developing the accident sequences (i.e. event trees) for a multi-source model for these kinds of consequences, it is necessary to actively look for the combination of sequences which only jointly reach a consequence threshold. This will necessitate a more detailed development of sequences for scenarios near these consequence thresholds, especially considering potential correlations between the likelihood distributions of the respective single-source sequences.</w:t>
      </w:r>
    </w:p>
    <w:p w:rsidR="00B53DC6" w:rsidRDefault="00B53DC6" w:rsidP="00A322D5">
      <w:pPr>
        <w:rPr>
          <w:lang w:val="en-US"/>
        </w:rPr>
      </w:pPr>
      <w:r>
        <w:rPr>
          <w:lang w:val="en-US"/>
        </w:rPr>
        <w:t>We further point out that the source term</w:t>
      </w:r>
      <w:r w:rsidR="00712E7A">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oMath>
      <w:r>
        <w:rPr>
          <w:lang w:val="en-US"/>
        </w:rPr>
        <w:t xml:space="preserve"> for a certain (accident) sequence in general also depends on time. In order to determine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(t)</m:t>
        </m:r>
      </m:oMath>
      <w:r>
        <w:rPr>
          <w:lang w:val="en-US"/>
        </w:rPr>
        <w:t xml:space="preserve"> for a sequence, a representative reference time </w:t>
      </w:r>
      <m:oMath>
        <m:r>
          <w:rPr>
            <w:rFonts w:ascii="Cambria Math" w:hAnsi="Cambria Math"/>
            <w:lang w:val="en-US"/>
          </w:rPr>
          <m:t>τ</m:t>
        </m:r>
      </m:oMath>
      <w:r w:rsidR="00712E7A">
        <w:rPr>
          <w:lang w:val="en-US"/>
        </w:rPr>
        <w:t xml:space="preserve"> has to be defined. Then, the source term has to be integrated over that time period </w:t>
      </w:r>
      <m:oMath>
        <m:r>
          <w:rPr>
            <w:rFonts w:ascii="Cambria Math" w:hAnsi="Cambria Math"/>
            <w:lang w:val="en-US"/>
          </w:rPr>
          <m:t>τ</m:t>
        </m:r>
      </m:oMath>
      <w:r w:rsidR="00712E7A">
        <w:rPr>
          <w:lang w:val="en-US"/>
        </w:rPr>
        <w:t>, like e.g. 72 hours, for each starting point t.</w:t>
      </w:r>
    </w:p>
    <w:p w:rsidR="00712E7A" w:rsidRPr="00313E82" w:rsidRDefault="0043746A" w:rsidP="00A322D5">
      <w:pP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nary>
            <m:naryPr>
              <m:limLoc m:val="undOvr"/>
              <m:ctrlPr>
                <w:rPr>
                  <w:rFonts w:ascii="Cambria Math" w:hAnsi="Cambria Math"/>
                  <w:i/>
                  <w:lang w:val="en-US"/>
                </w:rPr>
              </m:ctrlPr>
            </m:naryPr>
            <m:sub>
              <m:r>
                <w:rPr>
                  <w:rFonts w:ascii="Cambria Math" w:hAnsi="Cambria Math"/>
                  <w:lang w:val="en-US"/>
                </w:rPr>
                <m:t>0</m:t>
              </m:r>
            </m:sub>
            <m:sup>
              <m:r>
                <w:rPr>
                  <w:rFonts w:ascii="Cambria Math" w:hAnsi="Cambria Math"/>
                  <w:lang w:val="en-US"/>
                </w:rPr>
                <m:t>τ</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t,t+τ'</m:t>
                  </m:r>
                </m:e>
              </m:d>
              <m:r>
                <w:rPr>
                  <w:rFonts w:ascii="Cambria Math" w:hAnsi="Cambria Math"/>
                  <w:lang w:val="en-US"/>
                </w:rPr>
                <m:t>dτ'</m:t>
              </m:r>
            </m:e>
          </m:nary>
        </m:oMath>
      </m:oMathPara>
    </w:p>
    <w:p w:rsidR="00607BB9" w:rsidRDefault="00B73D0E" w:rsidP="00A322D5">
      <w:pPr>
        <w:rPr>
          <w:lang w:val="en-US"/>
        </w:rPr>
      </w:pPr>
      <w:r>
        <w:rPr>
          <w:lang w:val="en-US"/>
        </w:rPr>
        <w:t xml:space="preserve">If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 xml:space="preserve"> </m:t>
        </m:r>
      </m:oMath>
      <w:r>
        <w:rPr>
          <w:lang w:val="en-US"/>
        </w:rPr>
        <w:t xml:space="preserve"> then this</w:t>
      </w:r>
      <w:r w:rsidR="00607BB9">
        <w:rPr>
          <w:lang w:val="en-US"/>
        </w:rPr>
        <w:t xml:space="preserve"> sequence at the time t qualifies as a contributor to the </w:t>
      </w:r>
      <w:r w:rsidR="00607BB9" w:rsidRPr="00313E82">
        <w:rPr>
          <w:lang w:val="en-US"/>
        </w:rPr>
        <w:t>c</w:t>
      </w:r>
      <w:r w:rsidR="00607BB9" w:rsidRPr="00313E82">
        <w:rPr>
          <w:vertAlign w:val="subscript"/>
          <w:lang w:val="en-US"/>
        </w:rPr>
        <w:t>j</w:t>
      </w:r>
      <w:r w:rsidR="00607BB9">
        <w:rPr>
          <w:lang w:val="en-US"/>
        </w:rPr>
        <w:t xml:space="preserve">. The time average for the source term has then to be performed over those times for which the sequence qualifies for </w:t>
      </w:r>
      <w:r w:rsidR="00607BB9" w:rsidRPr="00313E82">
        <w:rPr>
          <w:lang w:val="en-US"/>
        </w:rPr>
        <w:t>c</w:t>
      </w:r>
      <w:r w:rsidR="00607BB9" w:rsidRPr="00313E82">
        <w:rPr>
          <w:vertAlign w:val="subscript"/>
          <w:lang w:val="en-US"/>
        </w:rPr>
        <w:t>j</w:t>
      </w:r>
      <w:r w:rsidR="00607BB9">
        <w:rPr>
          <w:lang w:val="en-US"/>
        </w:rPr>
        <w:t>.</w:t>
      </w:r>
    </w:p>
    <w:p w:rsidR="00712E7A" w:rsidRDefault="0043746A" w:rsidP="00A322D5">
      <w:pP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nary>
                <m:naryPr>
                  <m:limLoc m:val="undOvr"/>
                  <m:subHide m:val="1"/>
                  <m:supHide m:val="1"/>
                  <m:ctrlPr>
                    <w:rPr>
                      <w:rFonts w:ascii="Cambria Math" w:hAnsi="Cambria Math"/>
                      <w:i/>
                      <w:lang w:val="en-US"/>
                    </w:rPr>
                  </m:ctrlPr>
                </m:naryPr>
                <m:sub/>
                <m:sup/>
                <m:e>
                  <m:d>
                    <m:dPr>
                      <m:endChr m:val="|"/>
                      <m:ctrlPr>
                        <w:rPr>
                          <w:rFonts w:ascii="Cambria Math" w:hAnsi="Cambria Math"/>
                          <w:i/>
                          <w:lang w:val="en-US"/>
                        </w:rPr>
                      </m:ctrlPr>
                    </m:dPr>
                    <m:e>
                      <m:r>
                        <w:rPr>
                          <w:rFonts w:ascii="Cambria Math" w:hAnsi="Cambria Math"/>
                          <w:lang w:val="en-US"/>
                        </w:rPr>
                        <m:t>t∈</m:t>
                      </m:r>
                      <m:d>
                        <m:dPr>
                          <m:begChr m:val="["/>
                          <m:endChr m:val="]"/>
                          <m:ctrlPr>
                            <w:rPr>
                              <w:rFonts w:ascii="Cambria Math" w:hAnsi="Cambria Math"/>
                              <w:i/>
                              <w:lang w:val="en-US"/>
                            </w:rPr>
                          </m:ctrlPr>
                        </m:dPr>
                        <m:e>
                          <m:r>
                            <w:rPr>
                              <w:rFonts w:ascii="Cambria Math" w:hAnsi="Cambria Math"/>
                              <w:lang w:val="en-US"/>
                            </w:rPr>
                            <m:t xml:space="preserve">0,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av</m:t>
                              </m:r>
                            </m:sub>
                          </m:sSub>
                        </m:e>
                      </m:d>
                    </m:e>
                  </m:d>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)dt</m:t>
                  </m:r>
                </m:e>
              </m:nary>
            </m:den>
          </m:f>
          <m:nary>
            <m:naryPr>
              <m:limLoc m:val="undOvr"/>
              <m:ctrlPr>
                <w:rPr>
                  <w:rFonts w:ascii="Cambria Math" w:hAnsi="Cambria Math"/>
                  <w:i/>
                  <w:lang w:val="en-US"/>
                </w:rPr>
              </m:ctrlPr>
            </m:naryPr>
            <m:sub>
              <m:d>
                <m:dPr>
                  <m:endChr m:val="|"/>
                  <m:ctrlPr>
                    <w:rPr>
                      <w:rFonts w:ascii="Cambria Math" w:hAnsi="Cambria Math"/>
                      <w:i/>
                      <w:lang w:val="en-US"/>
                    </w:rPr>
                  </m:ctrlPr>
                </m:dPr>
                <m:e>
                  <m:r>
                    <w:rPr>
                      <w:rFonts w:ascii="Cambria Math" w:hAnsi="Cambria Math"/>
                      <w:lang w:val="en-US"/>
                    </w:rPr>
                    <m:t>t∈</m:t>
                  </m:r>
                  <m:d>
                    <m:dPr>
                      <m:begChr m:val="["/>
                      <m:endChr m:val="]"/>
                      <m:ctrlPr>
                        <w:rPr>
                          <w:rFonts w:ascii="Cambria Math" w:hAnsi="Cambria Math"/>
                          <w:i/>
                          <w:lang w:val="en-US"/>
                        </w:rPr>
                      </m:ctrlPr>
                    </m:dPr>
                    <m:e>
                      <m:r>
                        <w:rPr>
                          <w:rFonts w:ascii="Cambria Math" w:hAnsi="Cambria Math"/>
                          <w:lang w:val="en-US"/>
                        </w:rPr>
                        <m:t xml:space="preserve">0,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av</m:t>
                          </m:r>
                        </m:sub>
                      </m:sSub>
                    </m:e>
                  </m:d>
                </m:e>
              </m:d>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e>
          </m:nary>
          <m:r>
            <w:rPr>
              <w:rFonts w:ascii="Cambria Math" w:hAnsi="Cambria Math"/>
              <w:lang w:val="en-US"/>
            </w:rPr>
            <m:t>dt</m:t>
          </m:r>
        </m:oMath>
      </m:oMathPara>
    </w:p>
    <w:p w:rsidR="00607BB9" w:rsidRDefault="00607BB9" w:rsidP="00A322D5">
      <w:pPr>
        <w:rPr>
          <w:lang w:val="en-US"/>
        </w:rPr>
      </w:pPr>
      <w:r>
        <w:rPr>
          <w:lang w:val="en-US"/>
        </w:rPr>
        <w:t>Conversely, the average frequency over the time interval T</w:t>
      </w:r>
      <w:r w:rsidRPr="00C94556">
        <w:rPr>
          <w:vertAlign w:val="subscript"/>
          <w:lang w:val="en-US"/>
        </w:rPr>
        <w:t>av</w:t>
      </w:r>
      <w:r>
        <w:rPr>
          <w:lang w:val="en-US"/>
        </w:rPr>
        <w:t xml:space="preserve"> needs to be comp</w:t>
      </w:r>
      <w:r w:rsidR="00467404">
        <w:rPr>
          <w:lang w:val="en-US"/>
        </w:rPr>
        <w:t>uted over the whole interval with zero contributions if the sequence does not qualify.</w:t>
      </w:r>
    </w:p>
    <w:p w:rsidR="00467404" w:rsidRDefault="0043746A" w:rsidP="00A322D5">
      <w:pPr>
        <w:rPr>
          <w:lang w:val="en-US"/>
        </w:rPr>
      </w:pPr>
      <m:oMathPara>
        <m:oMath>
          <m:sSub>
            <m:sSubPr>
              <m:ctrlPr>
                <w:rPr>
                  <w:rFonts w:ascii="Cambria Math" w:hAnsi="Cambria Math"/>
                  <w:i/>
                  <w:lang w:val="en-US"/>
                </w:rPr>
              </m:ctrlPr>
            </m:sSubPr>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e>
            <m:sub>
              <m:r>
                <w:rPr>
                  <w:rFonts w:ascii="Cambria Math" w:hAnsi="Cambria Math"/>
                  <w:lang w:val="en-US"/>
                </w:rPr>
                <m:t>av</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av</m:t>
                  </m:r>
                </m:sub>
              </m:sSub>
            </m:den>
          </m:f>
          <m:nary>
            <m:naryPr>
              <m:limLoc m:val="undOvr"/>
              <m:ctrlPr>
                <w:rPr>
                  <w:rFonts w:ascii="Cambria Math" w:hAnsi="Cambria Math"/>
                  <w:i/>
                  <w:lang w:val="en-US"/>
                </w:rPr>
              </m:ctrlPr>
            </m:naryPr>
            <m:sub>
              <m:d>
                <m:dPr>
                  <m:endChr m:val="|"/>
                  <m:ctrlPr>
                    <w:rPr>
                      <w:rFonts w:ascii="Cambria Math" w:hAnsi="Cambria Math"/>
                      <w:i/>
                      <w:lang w:val="en-US"/>
                    </w:rPr>
                  </m:ctrlPr>
                </m:dPr>
                <m:e>
                  <m:r>
                    <w:rPr>
                      <w:rFonts w:ascii="Cambria Math" w:hAnsi="Cambria Math"/>
                      <w:lang w:val="en-US"/>
                    </w:rPr>
                    <m:t>t∈</m:t>
                  </m:r>
                  <m:d>
                    <m:dPr>
                      <m:begChr m:val="["/>
                      <m:endChr m:val="]"/>
                      <m:ctrlPr>
                        <w:rPr>
                          <w:rFonts w:ascii="Cambria Math" w:hAnsi="Cambria Math"/>
                          <w:i/>
                          <w:lang w:val="en-US"/>
                        </w:rPr>
                      </m:ctrlPr>
                    </m:dPr>
                    <m:e>
                      <m:r>
                        <w:rPr>
                          <w:rFonts w:ascii="Cambria Math" w:hAnsi="Cambria Math"/>
                          <w:lang w:val="en-US"/>
                        </w:rPr>
                        <m:t xml:space="preserve">0,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av</m:t>
                          </m:r>
                        </m:sub>
                      </m:sSub>
                    </m:e>
                  </m:d>
                </m:e>
              </m:d>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A,i</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c</m:t>
                  </m:r>
                </m:sub>
              </m:sSub>
              <m:r>
                <w:rPr>
                  <w:rFonts w:ascii="Cambria Math" w:hAnsi="Cambria Math"/>
                  <w:lang w:val="en-US"/>
                </w:rPr>
                <m:t>)</m:t>
              </m:r>
            </m:sub>
            <m:sup/>
            <m:e>
              <m:r>
                <w:rPr>
                  <w:rFonts w:ascii="Cambria Math" w:hAnsi="Cambria Math"/>
                  <w:lang w:val="en-US"/>
                </w:rPr>
                <m:t>φ</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e>
              </m:d>
              <m:d>
                <m:dPr>
                  <m:ctrlPr>
                    <w:rPr>
                      <w:rFonts w:ascii="Cambria Math" w:hAnsi="Cambria Math"/>
                      <w:i/>
                      <w:lang w:val="en-US"/>
                    </w:rPr>
                  </m:ctrlPr>
                </m:dPr>
                <m:e>
                  <m:r>
                    <w:rPr>
                      <w:rFonts w:ascii="Cambria Math" w:hAnsi="Cambria Math"/>
                      <w:lang w:val="en-US"/>
                    </w:rPr>
                    <m:t>t</m:t>
                  </m:r>
                </m:e>
              </m:d>
              <m:r>
                <w:rPr>
                  <w:rFonts w:ascii="Cambria Math" w:hAnsi="Cambria Math"/>
                  <w:lang w:val="en-US"/>
                </w:rPr>
                <m:t>dt</m:t>
              </m:r>
            </m:e>
          </m:nary>
        </m:oMath>
      </m:oMathPara>
    </w:p>
    <w:p w:rsidR="00467404" w:rsidRDefault="00260E95" w:rsidP="00A322D5">
      <w:pPr>
        <w:rPr>
          <w:lang w:val="en-US"/>
        </w:rPr>
      </w:pPr>
      <w:r>
        <w:rPr>
          <w:lang w:val="en-US"/>
        </w:rPr>
        <w:t>This convention allows for a consistent computation of time-average release type risk measures.</w:t>
      </w:r>
      <w:r w:rsidR="00084CD9">
        <w:rPr>
          <w:lang w:val="en-US"/>
        </w:rPr>
        <w:t xml:space="preserve"> In most cases, the PSA models will not provide explicitly time-dependent source terms, nor will this be necessary. Then, common time-averaging over the likelihood will be sufficient. In some instances, e.g. for a shutdown PSA for an extended period shutdown (like 1 year), the time dependence of the source term might need to be considered. </w:t>
      </w:r>
    </w:p>
    <w:p w:rsidR="00AE198A" w:rsidRPr="00313E82" w:rsidRDefault="00AE198A" w:rsidP="00AE198A">
      <w:pPr>
        <w:pStyle w:val="Titre3"/>
        <w:rPr>
          <w:lang w:val="en-US"/>
        </w:rPr>
      </w:pPr>
      <w:bookmarkStart w:id="549" w:name="_Toc474430247"/>
      <w:r w:rsidRPr="00313E82">
        <w:rPr>
          <w:lang w:val="en-US"/>
        </w:rPr>
        <w:t xml:space="preserve">Secondary Risk </w:t>
      </w:r>
      <w:r w:rsidR="009C2E23" w:rsidRPr="00313E82">
        <w:rPr>
          <w:lang w:val="en-US"/>
        </w:rPr>
        <w:t>Me</w:t>
      </w:r>
      <w:r w:rsidR="00AF7197" w:rsidRPr="00313E82">
        <w:rPr>
          <w:lang w:val="en-US"/>
        </w:rPr>
        <w:t>a</w:t>
      </w:r>
      <w:r w:rsidR="009C2E23" w:rsidRPr="00313E82">
        <w:rPr>
          <w:lang w:val="en-US"/>
        </w:rPr>
        <w:t>sures and Risk Metrics</w:t>
      </w:r>
      <w:bookmarkEnd w:id="549"/>
    </w:p>
    <w:p w:rsidR="00AE198A" w:rsidRPr="00313E82" w:rsidRDefault="00AE198A" w:rsidP="00AE198A">
      <w:pPr>
        <w:rPr>
          <w:lang w:val="en-US"/>
        </w:rPr>
      </w:pPr>
      <w:r w:rsidRPr="00313E82">
        <w:rPr>
          <w:lang w:val="en-US"/>
        </w:rPr>
        <w:t>Secondary risk measures are understood to be aspects of risk that are derived from analysing the risk measure of a direct risk metric. The derived risk metric is again the aspect of risk which is quantified. The definition is extended to include also derived risk measures based on other secondary risk measures.</w:t>
      </w:r>
    </w:p>
    <w:p w:rsidR="00AE198A" w:rsidRPr="00313E82" w:rsidRDefault="00AE198A" w:rsidP="00AE198A">
      <w:pPr>
        <w:rPr>
          <w:lang w:val="en-US"/>
        </w:rPr>
      </w:pPr>
      <w:r w:rsidRPr="00313E82">
        <w:rPr>
          <w:lang w:val="en-US"/>
        </w:rPr>
        <w:t>Obviously, secondary risk metrics/risk measures cannot be treated independently of the underlying risk metric/risk measure.</w:t>
      </w:r>
    </w:p>
    <w:p w:rsidR="00AE198A" w:rsidRPr="00313E82" w:rsidRDefault="00AE198A" w:rsidP="00AE198A">
      <w:pPr>
        <w:rPr>
          <w:lang w:val="en-US"/>
        </w:rPr>
      </w:pPr>
      <w:r w:rsidRPr="00313E82">
        <w:rPr>
          <w:lang w:val="en-US"/>
        </w:rPr>
        <w:t xml:space="preserve">In order to define a secondary risk measure, the definition of the risk measure μ has to be extended. The </w:t>
      </w:r>
      <w:r w:rsidR="009C2E23" w:rsidRPr="00313E82">
        <w:rPr>
          <w:lang w:val="en-US"/>
        </w:rPr>
        <w:t xml:space="preserve">uncertainty </w:t>
      </w:r>
      <w:r w:rsidRPr="00313E82">
        <w:rPr>
          <w:lang w:val="en-US"/>
        </w:rPr>
        <w:t xml:space="preserve">distribution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is a function of a (countable) number of inputs (parameters, generically with distributions) for the scenarios and the transition to the consequences,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r>
          <w:rPr>
            <w:rFonts w:ascii="Cambria Math" w:hAnsi="Cambria Math"/>
            <w:lang w:val="en-US"/>
          </w:rPr>
          <m:t>=f(</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r>
          <w:rPr>
            <w:rFonts w:ascii="Cambria Math" w:hAnsi="Cambria Math"/>
            <w:lang w:val="en-US"/>
          </w:rPr>
          <m:t>)</m:t>
        </m:r>
      </m:oMath>
      <w:r w:rsidRPr="00313E82">
        <w:rPr>
          <w:lang w:val="en-US"/>
        </w:rPr>
        <w:t xml:space="preserve">. </w:t>
      </w:r>
    </w:p>
    <w:p w:rsidR="001A6984" w:rsidRPr="00313E82" w:rsidRDefault="001A6984" w:rsidP="001A6984">
      <w:pPr>
        <w:rPr>
          <w:rFonts w:eastAsia="Batang"/>
          <w:b/>
          <w:u w:val="single"/>
          <w:lang w:val="en-US"/>
        </w:rPr>
      </w:pPr>
      <w:r w:rsidRPr="00313E82">
        <w:rPr>
          <w:rFonts w:eastAsia="Batang"/>
          <w:b/>
          <w:u w:val="single"/>
          <w:lang w:val="en-US"/>
        </w:rPr>
        <w:t>Use of secondary risk measures:</w:t>
      </w:r>
    </w:p>
    <w:p w:rsidR="001A6984" w:rsidRPr="00313E82" w:rsidRDefault="001A6984" w:rsidP="001A6984">
      <w:pPr>
        <w:rPr>
          <w:rFonts w:eastAsia="Batang"/>
          <w:lang w:val="en-US"/>
        </w:rPr>
      </w:pPr>
      <w:r w:rsidRPr="00313E82">
        <w:rPr>
          <w:rFonts w:eastAsia="Batang"/>
          <w:lang w:val="en-US"/>
        </w:rPr>
        <w:t xml:space="preserve">Regarding the use of secondary risk measures, there are no fundamental differences to CDF, time averaged. </w:t>
      </w:r>
    </w:p>
    <w:p w:rsidR="001A6984" w:rsidRPr="00313E82" w:rsidRDefault="001A6984" w:rsidP="001A6984">
      <w:pPr>
        <w:rPr>
          <w:rFonts w:eastAsia="Batang"/>
          <w:lang w:val="en-US"/>
        </w:rPr>
      </w:pPr>
      <w:r w:rsidRPr="00313E82">
        <w:rPr>
          <w:rFonts w:eastAsia="Batang"/>
          <w:lang w:val="en-US"/>
        </w:rPr>
        <w:lastRenderedPageBreak/>
        <w:t xml:space="preserve">However, the following specific differences should be considered. All secondary risk measures need to be evaluated at a specific point in time, T. For some, like </w:t>
      </w:r>
      <m:oMath>
        <m:r>
          <m:rPr>
            <m:sty m:val="p"/>
          </m:rPr>
          <w:rPr>
            <w:rFonts w:ascii="Cambria Math" w:eastAsia="Batang" w:hAnsi="Cambria Math" w:hint="eastAsia"/>
            <w:lang w:val="en-US"/>
          </w:rPr>
          <m:t>Δ</m:t>
        </m:r>
        <m:r>
          <w:rPr>
            <w:rFonts w:ascii="Cambria Math" w:eastAsia="Batang" w:hAnsi="Cambria Math"/>
            <w:lang w:val="en-US"/>
          </w:rPr>
          <m:t>CDF</m:t>
        </m:r>
      </m:oMath>
      <w:r w:rsidRPr="00313E82">
        <w:rPr>
          <w:rFonts w:eastAsia="Batang"/>
          <w:lang w:val="en-US"/>
        </w:rPr>
        <w:t>, time-averaging actually makes sense.</w:t>
      </w:r>
    </w:p>
    <w:p w:rsidR="001A6984" w:rsidRPr="00313E82" w:rsidRDefault="001A6984" w:rsidP="001A6984">
      <w:pPr>
        <w:rPr>
          <w:rFonts w:eastAsia="Batang"/>
          <w:lang w:val="en-US"/>
        </w:rPr>
      </w:pPr>
      <m:oMathPara>
        <m:oMath>
          <m:r>
            <m:rPr>
              <m:sty m:val="p"/>
            </m:rPr>
            <w:rPr>
              <w:rFonts w:ascii="Cambria Math" w:eastAsia="Batang" w:hAnsi="Cambria Math" w:hint="eastAsia"/>
              <w:lang w:val="en-US"/>
            </w:rPr>
            <m:t>Δ</m:t>
          </m:r>
          <m:r>
            <w:rPr>
              <w:rFonts w:ascii="Cambria Math" w:eastAsia="Batang" w:hAnsi="Cambria Math"/>
              <w:lang w:val="en-US"/>
            </w:rPr>
            <m:t>CDF,</m:t>
          </m:r>
          <m:sSub>
            <m:sSubPr>
              <m:ctrlPr>
                <w:rPr>
                  <w:rFonts w:ascii="Cambria Math" w:eastAsia="Batang" w:hAnsi="Cambria Math"/>
                  <w:lang w:val="en-US"/>
                </w:rPr>
              </m:ctrlPr>
            </m:sSubPr>
            <m:e>
              <m:r>
                <w:rPr>
                  <w:rFonts w:ascii="Cambria Math" w:eastAsia="Batang" w:hAnsi="Cambria Math"/>
                  <w:lang w:val="en-US"/>
                </w:rPr>
                <m:t>T</m:t>
              </m:r>
            </m:e>
            <m:sub>
              <m:r>
                <w:rPr>
                  <w:rFonts w:ascii="Cambria Math" w:eastAsia="Batang" w:hAnsi="Cambria Math"/>
                  <w:lang w:val="en-US"/>
                </w:rPr>
                <m:t>av</m:t>
              </m:r>
            </m:sub>
          </m:sSub>
          <m:r>
            <w:rPr>
              <w:rFonts w:ascii="Cambria Math" w:eastAsia="Batang" w:hAnsi="Cambria Math" w:hint="eastAsia"/>
              <w:lang w:val="en-US"/>
            </w:rPr>
            <m:t xml:space="preserve">= </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r>
                <m:rPr>
                  <m:sty m:val="p"/>
                </m:rPr>
                <w:rPr>
                  <w:rFonts w:ascii="Cambria Math" w:eastAsia="Batang" w:hAnsi="Cambria Math" w:hint="eastAsia"/>
                  <w:lang w:val="en-US"/>
                </w:rPr>
                <m:t>Δ</m:t>
              </m:r>
              <m:r>
                <w:rPr>
                  <w:rFonts w:ascii="Cambria Math" w:eastAsia="Batang" w:hAnsi="Cambria Math"/>
                  <w:lang w:val="en-US"/>
                </w:rPr>
                <m:t>CDF</m:t>
              </m:r>
              <m:d>
                <m:dPr>
                  <m:ctrlPr>
                    <w:rPr>
                      <w:rFonts w:ascii="Cambria Math" w:eastAsia="Batang" w:hAnsi="Cambria Math"/>
                      <w:i/>
                      <w:lang w:val="en-US"/>
                    </w:rPr>
                  </m:ctrlPr>
                </m:dPr>
                <m:e>
                  <m:r>
                    <w:rPr>
                      <w:rFonts w:ascii="Cambria Math" w:eastAsia="Batang" w:hAnsi="Cambria Math"/>
                      <w:lang w:val="en-US"/>
                    </w:rPr>
                    <m:t>t</m:t>
                  </m:r>
                </m:e>
              </m:d>
              <m:r>
                <w:rPr>
                  <w:rFonts w:ascii="Cambria Math" w:eastAsia="Batang" w:hAnsi="Cambria Math"/>
                  <w:lang w:val="en-US"/>
                </w:rPr>
                <m:t>dt</m:t>
              </m:r>
            </m:e>
          </m:nary>
        </m:oMath>
      </m:oMathPara>
    </w:p>
    <w:p w:rsidR="001A6984" w:rsidRPr="00313E82" w:rsidRDefault="001A6984" w:rsidP="001A6984">
      <w:pPr>
        <w:rPr>
          <w:rFonts w:eastAsia="Batang"/>
          <w:lang w:val="en-US"/>
        </w:rPr>
      </w:pPr>
      <w:r w:rsidRPr="00313E82">
        <w:rPr>
          <w:rFonts w:eastAsia="Batang"/>
          <w:lang w:val="en-US"/>
        </w:rPr>
        <w:t>For others, including most importance and sensitivity measures, the results are in general distinct depending on the time integration, for example</w:t>
      </w:r>
      <w:r w:rsidR="00BC1113">
        <w:rPr>
          <w:rFonts w:eastAsia="Batang"/>
          <w:lang w:val="en-US"/>
        </w:rPr>
        <w:t xml:space="preserve"> (See below for more details):</w:t>
      </w:r>
      <w:r w:rsidRPr="00313E82">
        <w:rPr>
          <w:rFonts w:eastAsia="Batang"/>
          <w:lang w:val="en-US"/>
        </w:rPr>
        <w:t xml:space="preserve"> </w:t>
      </w:r>
    </w:p>
    <w:p w:rsidR="001A6984" w:rsidRPr="00313E82" w:rsidRDefault="0043746A" w:rsidP="001A6984">
      <w:pPr>
        <w:rPr>
          <w:rFonts w:eastAsia="Batang"/>
          <w:lang w:val="en-US"/>
        </w:rPr>
      </w:pPr>
      <m:oMathPara>
        <m:oMath>
          <m:sSub>
            <m:sSubPr>
              <m:ctrlPr>
                <w:rPr>
                  <w:rFonts w:ascii="Cambria Math" w:eastAsia="Batang" w:hAnsi="Cambria Math"/>
                  <w:i/>
                  <w:lang w:val="en-US"/>
                </w:rPr>
              </m:ctrlPr>
            </m:sSubPr>
            <m:e>
              <m:r>
                <w:rPr>
                  <w:rFonts w:ascii="Cambria Math" w:eastAsia="Batang" w:hAnsi="Cambria Math"/>
                  <w:lang w:val="en-US"/>
                </w:rPr>
                <m:t>FV</m:t>
              </m:r>
            </m:e>
            <m:sub>
              <m:r>
                <w:rPr>
                  <w:rFonts w:ascii="Cambria Math" w:eastAsia="Batang" w:hAnsi="Cambria Math"/>
                  <w:lang w:val="en-US"/>
                </w:rPr>
                <m:t>i</m:t>
              </m:r>
            </m:sub>
          </m:sSub>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Sub>
                    <m:sSubPr>
                      <m:ctrlPr>
                        <w:rPr>
                          <w:rFonts w:ascii="Cambria Math" w:eastAsia="Batang" w:hAnsi="Cambria Math"/>
                          <w:i/>
                          <w:lang w:val="en-US"/>
                        </w:rPr>
                      </m:ctrlPr>
                    </m:sSubPr>
                    <m:e>
                      <m:r>
                        <w:rPr>
                          <w:rFonts w:ascii="Cambria Math" w:eastAsia="Batang" w:hAnsi="Cambria Math"/>
                          <w:lang w:val="en-US"/>
                        </w:rPr>
                        <m:t>T</m:t>
                      </m:r>
                    </m:e>
                    <m:sub>
                      <m:r>
                        <w:rPr>
                          <w:rFonts w:ascii="Cambria Math" w:eastAsia="Batang" w:hAnsi="Cambria Math"/>
                          <w:lang w:val="en-US"/>
                        </w:rPr>
                        <m:t>av</m:t>
                      </m:r>
                    </m:sub>
                  </m:sSub>
                </m:sub>
              </m:sSub>
            </m:e>
          </m:d>
          <m:r>
            <w:rPr>
              <w:rFonts w:ascii="Cambria Math" w:eastAsia="Batang" w:hAnsi="Cambria Math" w:hint="eastAsia"/>
              <w:lang w:val="en-US"/>
            </w:rPr>
            <m:t>≠</m:t>
          </m:r>
          <m:r>
            <w:rPr>
              <w:rFonts w:ascii="Cambria Math" w:eastAsia="Batang" w:hAnsi="Cambria Math"/>
              <w:lang w:val="en-US"/>
            </w:rPr>
            <m:t xml:space="preserve"> </m:t>
          </m:r>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FV</m:t>
                  </m:r>
                </m:e>
                <m:sub>
                  <m:r>
                    <w:rPr>
                      <w:rFonts w:ascii="Cambria Math" w:eastAsia="Batang" w:hAnsi="Cambria Math"/>
                      <w:lang w:val="en-US"/>
                    </w:rPr>
                    <m:t>i</m:t>
                  </m:r>
                </m:sub>
              </m:sSub>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e>
              </m:d>
              <m:r>
                <w:rPr>
                  <w:rFonts w:ascii="Cambria Math" w:eastAsia="Batang" w:hAnsi="Cambria Math"/>
                  <w:lang w:val="en-US"/>
                </w:rPr>
                <m:t>dt</m:t>
              </m:r>
            </m:e>
          </m:nary>
          <m:r>
            <w:rPr>
              <w:rFonts w:ascii="Cambria Math" w:eastAsia="Batang" w:hAnsi="Cambria Math" w:hint="eastAsia"/>
              <w:lang w:val="en-US"/>
            </w:rPr>
            <m:t>≠</m:t>
          </m:r>
          <m:r>
            <w:rPr>
              <w:rFonts w:ascii="Cambria Math" w:eastAsia="Batang" w:hAnsi="Cambria Math"/>
              <w:lang w:val="en-US"/>
            </w:rPr>
            <m:t xml:space="preserve"> E</m:t>
          </m:r>
          <m:d>
            <m:dPr>
              <m:ctrlPr>
                <w:rPr>
                  <w:rFonts w:ascii="Cambria Math" w:eastAsia="Batang" w:hAnsi="Cambria Math"/>
                  <w:i/>
                  <w:lang w:val="en-US"/>
                </w:rPr>
              </m:ctrlPr>
            </m:dPr>
            <m:e>
              <m:f>
                <m:fPr>
                  <m:ctrlPr>
                    <w:rPr>
                      <w:rFonts w:ascii="Cambria Math" w:eastAsia="Batang" w:hAnsi="Cambria Math"/>
                      <w:i/>
                      <w:lang w:val="en-US"/>
                    </w:rPr>
                  </m:ctrlPr>
                </m:fPr>
                <m:num>
                  <m:r>
                    <w:rPr>
                      <w:rFonts w:ascii="Cambria Math" w:eastAsia="Batang" w:hAnsi="Cambria Math"/>
                      <w:lang w:val="en-US"/>
                    </w:rPr>
                    <m:t>1</m:t>
                  </m:r>
                </m:num>
                <m:den>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den>
              </m:f>
              <m:nary>
                <m:naryPr>
                  <m:limLoc m:val="undOvr"/>
                  <m:ctrlPr>
                    <w:rPr>
                      <w:rFonts w:ascii="Cambria Math" w:eastAsia="Batang" w:hAnsi="Cambria Math"/>
                      <w:i/>
                      <w:lang w:val="en-US"/>
                    </w:rPr>
                  </m:ctrlPr>
                </m:naryPr>
                <m:sub>
                  <m:r>
                    <w:rPr>
                      <w:rFonts w:ascii="Cambria Math" w:eastAsia="Batang" w:hAnsi="Cambria Math"/>
                      <w:lang w:val="en-US"/>
                    </w:rPr>
                    <m:t>0</m:t>
                  </m:r>
                </m:sub>
                <m:sup>
                  <m:sSub>
                    <m:sSubPr>
                      <m:ctrlPr>
                        <w:rPr>
                          <w:rFonts w:ascii="Cambria Math" w:eastAsia="Batang" w:hAnsi="Cambria Math"/>
                          <w:i/>
                          <w:lang w:val="en-US"/>
                        </w:rPr>
                      </m:ctrlPr>
                    </m:sSubPr>
                    <m:e>
                      <m:r>
                        <w:rPr>
                          <w:rFonts w:ascii="Cambria Math" w:eastAsia="Batang" w:hAnsi="Cambria Math"/>
                          <w:lang w:val="en-US"/>
                        </w:rPr>
                        <m:t>T</m:t>
                      </m:r>
                    </m:e>
                    <m:sub>
                      <m:r>
                        <m:rPr>
                          <m:nor/>
                        </m:rPr>
                        <w:rPr>
                          <w:rFonts w:ascii="Cambria Math" w:eastAsia="Batang" w:hAnsi="Cambria Math"/>
                          <w:lang w:val="en-US"/>
                        </w:rPr>
                        <m:t>av</m:t>
                      </m:r>
                    </m:sub>
                  </m:sSub>
                </m:sup>
                <m:e>
                  <m:sSub>
                    <m:sSubPr>
                      <m:ctrlPr>
                        <w:rPr>
                          <w:rFonts w:ascii="Cambria Math" w:eastAsia="Batang" w:hAnsi="Cambria Math"/>
                          <w:i/>
                          <w:lang w:val="en-US"/>
                        </w:rPr>
                      </m:ctrlPr>
                    </m:sSubPr>
                    <m:e>
                      <m:r>
                        <w:rPr>
                          <w:rFonts w:ascii="Cambria Math" w:eastAsia="Batang" w:hAnsi="Cambria Math"/>
                          <w:lang w:val="en-US"/>
                        </w:rPr>
                        <m:t>FV</m:t>
                      </m:r>
                    </m:e>
                    <m:sub>
                      <m:r>
                        <w:rPr>
                          <w:rFonts w:ascii="Cambria Math" w:eastAsia="Batang" w:hAnsi="Cambria Math"/>
                          <w:lang w:val="en-US"/>
                        </w:rPr>
                        <m:t>i</m:t>
                      </m:r>
                    </m:sub>
                  </m:sSub>
                  <m:d>
                    <m:dPr>
                      <m:ctrlPr>
                        <w:rPr>
                          <w:rFonts w:ascii="Cambria Math" w:eastAsia="Batang" w:hAnsi="Cambria Math"/>
                          <w:i/>
                          <w:lang w:val="en-US"/>
                        </w:rPr>
                      </m:ctrlPr>
                    </m:dPr>
                    <m:e>
                      <m:r>
                        <w:rPr>
                          <w:rFonts w:ascii="Cambria Math" w:eastAsia="Batang" w:hAnsi="Cambria Math"/>
                          <w:lang w:val="en-US"/>
                        </w:rPr>
                        <m:t>φ</m:t>
                      </m:r>
                      <m:d>
                        <m:dPr>
                          <m:ctrlPr>
                            <w:rPr>
                              <w:rFonts w:ascii="Cambria Math" w:eastAsia="Batang" w:hAnsi="Cambria Math"/>
                              <w:i/>
                              <w:lang w:val="en-US"/>
                            </w:rPr>
                          </m:ctrlPr>
                        </m:dPr>
                        <m:e>
                          <m:sSub>
                            <m:sSubPr>
                              <m:ctrlPr>
                                <w:rPr>
                                  <w:rFonts w:ascii="Cambria Math" w:eastAsia="Batang" w:hAnsi="Cambria Math"/>
                                  <w:i/>
                                  <w:lang w:val="en-US"/>
                                </w:rPr>
                              </m:ctrlPr>
                            </m:sSubPr>
                            <m:e>
                              <m:r>
                                <w:rPr>
                                  <w:rFonts w:ascii="Cambria Math" w:eastAsia="Batang" w:hAnsi="Cambria Math"/>
                                  <w:lang w:val="en-US"/>
                                </w:rPr>
                                <m:t>l</m:t>
                              </m:r>
                            </m:e>
                            <m:sub>
                              <m:r>
                                <w:rPr>
                                  <w:rFonts w:ascii="Cambria Math" w:eastAsia="Batang" w:hAnsi="Cambria Math"/>
                                  <w:lang w:val="en-US"/>
                                </w:rPr>
                                <m:t>CDF</m:t>
                              </m:r>
                            </m:sub>
                          </m:sSub>
                          <m:d>
                            <m:dPr>
                              <m:ctrlPr>
                                <w:rPr>
                                  <w:rFonts w:ascii="Cambria Math" w:eastAsia="Batang" w:hAnsi="Cambria Math"/>
                                  <w:i/>
                                  <w:lang w:val="en-US"/>
                                </w:rPr>
                              </m:ctrlPr>
                            </m:dPr>
                            <m:e>
                              <m:r>
                                <w:rPr>
                                  <w:rFonts w:ascii="Cambria Math" w:eastAsia="Batang" w:hAnsi="Cambria Math"/>
                                  <w:lang w:val="en-US"/>
                                </w:rPr>
                                <m:t>t</m:t>
                              </m:r>
                            </m:e>
                          </m:d>
                        </m:e>
                      </m:d>
                    </m:e>
                  </m:d>
                  <m:r>
                    <w:rPr>
                      <w:rFonts w:ascii="Cambria Math" w:eastAsia="Batang" w:hAnsi="Cambria Math"/>
                      <w:lang w:val="en-US"/>
                    </w:rPr>
                    <m:t>dt</m:t>
                  </m:r>
                </m:e>
              </m:nary>
            </m:e>
          </m:d>
          <m:r>
            <w:rPr>
              <w:rFonts w:ascii="Cambria Math" w:eastAsia="Batang" w:hAnsi="Cambria Math" w:hint="eastAsia"/>
              <w:lang w:val="en-US"/>
            </w:rPr>
            <m:t>.</m:t>
          </m:r>
        </m:oMath>
      </m:oMathPara>
    </w:p>
    <w:p w:rsidR="001A6984" w:rsidRPr="00313E82" w:rsidRDefault="001A6984" w:rsidP="001A6984">
      <w:pPr>
        <w:rPr>
          <w:rFonts w:eastAsia="Batang"/>
          <w:lang w:val="en-US"/>
        </w:rPr>
      </w:pPr>
      <w:r w:rsidRPr="00313E82">
        <w:rPr>
          <w:rFonts w:eastAsia="Batang"/>
          <w:lang w:val="en-US"/>
        </w:rPr>
        <w:t>There is no simply rule on which of these measures provide valid and useful information and which do not. These kinds of in-depth investigations are outside of the scope of this report.</w:t>
      </w:r>
    </w:p>
    <w:p w:rsidR="00AE198A" w:rsidRPr="00313E82" w:rsidRDefault="00AE198A" w:rsidP="00AE198A">
      <w:pPr>
        <w:rPr>
          <w:lang w:val="en-US"/>
        </w:rPr>
      </w:pPr>
    </w:p>
    <w:p w:rsidR="00AE198A" w:rsidRPr="00313E82" w:rsidRDefault="00AE198A" w:rsidP="00AE198A">
      <w:pPr>
        <w:keepNext/>
        <w:rPr>
          <w:b/>
          <w:lang w:val="en-US"/>
        </w:rPr>
      </w:pPr>
      <w:r w:rsidRPr="00313E82">
        <w:rPr>
          <w:b/>
          <w:lang w:val="en-US"/>
        </w:rPr>
        <w:t>Relative risk measures</w:t>
      </w:r>
    </w:p>
    <w:p w:rsidR="00AE198A" w:rsidRPr="00313E82" w:rsidRDefault="00AE198A" w:rsidP="00AE198A">
      <w:pPr>
        <w:rPr>
          <w:lang w:val="en-US"/>
        </w:rPr>
      </w:pPr>
      <w:r w:rsidRPr="00313E82">
        <w:rPr>
          <w:lang w:val="en-US"/>
        </w:rPr>
        <w:t xml:space="preserve">One obvious risk measure is to define the change in a (direct) risk measure (i.e. distribution) at certain events (i.e. parameter change from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w:r w:rsidRPr="00313E82">
        <w:rPr>
          <w:lang w:val="en-US"/>
        </w:rPr>
        <w:t xml:space="preserve"> to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w:r w:rsidRPr="00313E82">
        <w:rPr>
          <w:lang w:val="en-US"/>
        </w:rPr>
        <w:t xml:space="preserve"> relative to a </w:t>
      </w:r>
      <w:r w:rsidR="00C460A2" w:rsidRPr="00313E82">
        <w:rPr>
          <w:lang w:val="en-US"/>
        </w:rPr>
        <w:t>“</w:t>
      </w:r>
      <w:r w:rsidRPr="00313E82">
        <w:rPr>
          <w:lang w:val="en-US"/>
        </w:rPr>
        <w:t>baseline</w:t>
      </w:r>
      <w:r w:rsidR="00C460A2" w:rsidRPr="00313E82">
        <w:rPr>
          <w:lang w:val="en-US"/>
        </w:rPr>
        <w:t>”</w:t>
      </w:r>
      <w:r w:rsidRPr="00313E82">
        <w:rPr>
          <w:lang w:val="en-US"/>
        </w:rPr>
        <w:t xml:space="preserve"> risk value). Then, the change in the risk measure associated with the measure for metric c</w:t>
      </w:r>
      <w:r w:rsidRPr="00313E82">
        <w:rPr>
          <w:vertAlign w:val="subscript"/>
          <w:lang w:val="en-US"/>
        </w:rPr>
        <w:t>j</w:t>
      </w:r>
      <w:r w:rsidRPr="00313E82">
        <w:rPr>
          <w:lang w:val="en-US"/>
        </w:rPr>
        <w:t xml:space="preserve"> is</w:t>
      </w:r>
    </w:p>
    <w:p w:rsidR="00AE198A" w:rsidRPr="00313E82" w:rsidRDefault="00AE198A" w:rsidP="00AE198A">
      <w:pPr>
        <w:rPr>
          <w:lang w:val="en-US"/>
        </w:rPr>
      </w:pPr>
      <m:oMathPara>
        <m:oMath>
          <m:r>
            <m:rPr>
              <m:sty m:val="p"/>
            </m:rPr>
            <w:rPr>
              <w:rFonts w:ascii="Cambria Math" w:hAnsi="Cambria Math" w:hint="eastAsia"/>
              <w:lang w:val="en-US"/>
            </w:rPr>
            <m:t>Δ</m:t>
          </m:r>
          <m:r>
            <w:rPr>
              <w:rFonts w:ascii="Cambria Math" w:hAnsi="Cambria Math"/>
              <w:lang w:val="en-US"/>
            </w:rPr>
            <m:t xml:space="preserve"> 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m:t>
          </m:r>
        </m:oMath>
      </m:oMathPara>
    </w:p>
    <w:p w:rsidR="00AE198A" w:rsidRPr="00313E82" w:rsidRDefault="00AE198A" w:rsidP="00AE198A">
      <w:pPr>
        <w:rPr>
          <w:lang w:val="en-US"/>
        </w:rPr>
      </w:pPr>
      <w:r w:rsidRPr="00313E82">
        <w:rPr>
          <w:lang w:val="en-US"/>
        </w:rPr>
        <w:t>Important examples of this type of risk measure are changes in the core damage frequency</w:t>
      </w:r>
      <w:r w:rsidR="00C460A2" w:rsidRPr="00313E82">
        <w:rPr>
          <w:lang w:val="en-US"/>
        </w:rPr>
        <w:t xml:space="preserve"> (</w:t>
      </w:r>
      <m:oMath>
        <m:r>
          <m:rPr>
            <m:nor/>
          </m:rPr>
          <w:rPr>
            <w:rFonts w:ascii="Cambria Math" w:hAnsi="Cambria Math" w:hint="eastAsia"/>
            <w:lang w:val="en-US"/>
          </w:rPr>
          <m:t>Δ</m:t>
        </m:r>
        <m:r>
          <m:rPr>
            <m:nor/>
          </m:rPr>
          <w:rPr>
            <w:rFonts w:ascii="Cambria Math" w:hAnsi="Cambria Math"/>
            <w:lang w:val="en-US"/>
          </w:rPr>
          <m:t>CDF</m:t>
        </m:r>
      </m:oMath>
      <w:r w:rsidR="00C460A2" w:rsidRPr="00313E82">
        <w:rPr>
          <w:lang w:val="en-US"/>
        </w:rPr>
        <w:t>)</w:t>
      </w:r>
      <w:r w:rsidRPr="00313E82">
        <w:rPr>
          <w:lang w:val="en-US"/>
        </w:rPr>
        <w:t xml:space="preserve">, which is used for PSA of NPP. The extension to groups of parameters (a subset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oMath>
      <w:r w:rsidRPr="00313E82">
        <w:rPr>
          <w:lang w:val="en-US"/>
        </w:rPr>
        <w:t xml:space="preserve">) exhibiting a change in parameter (distribution) values </w:t>
      </w:r>
      <m:oMath>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m</m:t>
                </m:r>
              </m:sub>
            </m:sSub>
          </m:e>
        </m:d>
      </m:oMath>
      <w:r w:rsidRPr="00313E82">
        <w:rPr>
          <w:lang w:val="en-US"/>
        </w:rPr>
        <w:t xml:space="preserve"> is evident. </w:t>
      </w:r>
    </w:p>
    <w:p w:rsidR="00AE198A" w:rsidRPr="00313E82" w:rsidRDefault="00AE198A" w:rsidP="00AE198A">
      <w:pPr>
        <w:rPr>
          <w:lang w:val="en-US"/>
        </w:rPr>
      </w:pPr>
    </w:p>
    <w:p w:rsidR="00AE198A" w:rsidRPr="00313E82" w:rsidRDefault="00AE198A" w:rsidP="00AE198A">
      <w:pPr>
        <w:rPr>
          <w:b/>
          <w:lang w:val="en-US"/>
        </w:rPr>
      </w:pPr>
      <w:r w:rsidRPr="00313E82">
        <w:rPr>
          <w:b/>
          <w:lang w:val="en-US"/>
        </w:rPr>
        <w:t>Importance and sensitivity measures</w:t>
      </w:r>
    </w:p>
    <w:p w:rsidR="00AE198A" w:rsidRPr="00313E82" w:rsidRDefault="00AE198A" w:rsidP="00AE198A">
      <w:pPr>
        <w:rPr>
          <w:lang w:val="en-US"/>
        </w:rPr>
      </w:pPr>
      <w:r w:rsidRPr="00313E82">
        <w:rPr>
          <w:lang w:val="en-US"/>
        </w:rPr>
        <w:t>A secondary risk metric I</w:t>
      </w:r>
      <w:r w:rsidRPr="00313E82">
        <w:rPr>
          <w:vertAlign w:val="subscript"/>
          <w:lang w:val="en-US"/>
        </w:rPr>
        <w:t>n</w:t>
      </w:r>
      <w:r w:rsidRPr="00313E82">
        <w:rPr>
          <w:lang w:val="en-US"/>
        </w:rPr>
        <w:t xml:space="preserve"> (importance measure) can be defined by investigating the change of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at suitable changes in the (distribution of) values of single parameters (</w:t>
      </w:r>
      <m:oMath>
        <m:r>
          <w:rPr>
            <w:rFonts w:ascii="Cambria Math" w:hAnsi="Cambria Math"/>
            <w:lang w:val="en-US"/>
          </w:rPr>
          <m:t>δ</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w:r w:rsidRPr="00313E82">
        <w:rPr>
          <w:lang w:val="en-US"/>
        </w:rPr>
        <w:t>) as</w:t>
      </w:r>
    </w:p>
    <w:p w:rsidR="00AE198A" w:rsidRPr="00313E82" w:rsidRDefault="0043746A" w:rsidP="00AE198A">
      <w:pP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δ</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num>
            <m:den>
              <m:r>
                <w:rPr>
                  <w:rFonts w:ascii="Cambria Math" w:hAnsi="Cambria Math"/>
                  <w:lang w:val="en-US"/>
                </w:rPr>
                <m:t>K δ</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den>
          </m:f>
          <m:r>
            <w:rPr>
              <w:rFonts w:ascii="Cambria Math" w:hAnsi="Cambria Math"/>
              <w:lang w:val="en-US"/>
            </w:rPr>
            <m:t>,</m:t>
          </m:r>
        </m:oMath>
      </m:oMathPara>
    </w:p>
    <w:p w:rsidR="00AE198A" w:rsidRPr="00313E82" w:rsidRDefault="00AE198A" w:rsidP="00AE198A">
      <w:pPr>
        <w:rPr>
          <w:lang w:val="en-US"/>
        </w:rPr>
      </w:pPr>
      <w:r w:rsidRPr="00313E82">
        <w:rPr>
          <w:lang w:val="en-US"/>
        </w:rPr>
        <w:t>or</w:t>
      </w:r>
    </w:p>
    <w:p w:rsidR="00AE198A" w:rsidRPr="00313E82" w:rsidRDefault="0043746A" w:rsidP="00AE198A">
      <w:pP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d>
                <m:dPr>
                  <m:begChr m:val="|"/>
                  <m:endChr m:val="|"/>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num>
            <m:den>
              <m:r>
                <w:rPr>
                  <w:rFonts w:ascii="Cambria Math" w:hAnsi="Cambria Math"/>
                  <w:lang w:val="en-US"/>
                </w:rPr>
                <m:t xml:space="preserve">K </m:t>
              </m:r>
            </m:den>
          </m:f>
        </m:oMath>
      </m:oMathPara>
    </w:p>
    <w:p w:rsidR="00AE198A" w:rsidRPr="00313E82" w:rsidRDefault="00AE198A" w:rsidP="00AE198A">
      <w:pPr>
        <w:rPr>
          <w:lang w:val="en-US"/>
        </w:rPr>
      </w:pPr>
      <w:r w:rsidRPr="00313E82">
        <w:rPr>
          <w:lang w:val="en-US"/>
        </w:rPr>
        <w:t xml:space="preserve">The factor K is used to normalize these measures. Often K is chosen as </w:t>
      </w:r>
      <m:oMath>
        <m:r>
          <w:rPr>
            <w:rFonts w:ascii="Cambria Math" w:hAnsi="Cambria Math"/>
            <w:lang w:val="en-US"/>
          </w:rPr>
          <m:t>K=μ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w:p>
    <w:p w:rsidR="00AE198A" w:rsidRPr="00313E82" w:rsidRDefault="00AE198A" w:rsidP="00AE198A">
      <w:pPr>
        <w:rPr>
          <w:lang w:val="en-US"/>
        </w:rPr>
      </w:pPr>
      <w:r w:rsidRPr="00313E82">
        <w:rPr>
          <w:lang w:val="en-US"/>
        </w:rPr>
        <w:t xml:space="preserve">Familiar examples are importance measures </w:t>
      </w:r>
      <w:r w:rsidR="009E768B" w:rsidRPr="004D7C87">
        <w:rPr>
          <w:lang w:val="en-US"/>
        </w:rPr>
        <w:fldChar w:fldCharType="begin"/>
      </w:r>
      <w:r w:rsidRPr="00313E82">
        <w:rPr>
          <w:lang w:val="en-US"/>
        </w:rPr>
        <w:instrText xml:space="preserve"> REF _Ref397354130 \r \h </w:instrText>
      </w:r>
      <w:r w:rsidR="009E768B" w:rsidRPr="004D7C87">
        <w:rPr>
          <w:lang w:val="en-US"/>
        </w:rPr>
      </w:r>
      <w:r w:rsidR="009E768B" w:rsidRPr="004D7C87">
        <w:rPr>
          <w:lang w:val="en-US"/>
        </w:rPr>
        <w:fldChar w:fldCharType="separate"/>
      </w:r>
      <w:r w:rsidR="00B772CA">
        <w:rPr>
          <w:lang w:val="en-US"/>
        </w:rPr>
        <w:t>[41]</w:t>
      </w:r>
      <w:r w:rsidR="009E768B" w:rsidRPr="004D7C87">
        <w:rPr>
          <w:lang w:val="en-US"/>
        </w:rPr>
        <w:fldChar w:fldCharType="end"/>
      </w:r>
      <w:r w:rsidRPr="00313E82">
        <w:rPr>
          <w:lang w:val="en-US"/>
        </w:rPr>
        <w:t xml:space="preserve">, </w:t>
      </w:r>
      <w:r w:rsidR="009E768B" w:rsidRPr="004D7C87">
        <w:rPr>
          <w:lang w:val="en-US"/>
        </w:rPr>
        <w:fldChar w:fldCharType="begin"/>
      </w:r>
      <w:r w:rsidRPr="00313E82">
        <w:rPr>
          <w:lang w:val="en-US"/>
        </w:rPr>
        <w:instrText xml:space="preserve"> REF _Ref397352942 \r \h </w:instrText>
      </w:r>
      <w:r w:rsidR="009E768B" w:rsidRPr="004D7C87">
        <w:rPr>
          <w:lang w:val="en-US"/>
        </w:rPr>
      </w:r>
      <w:r w:rsidR="009E768B" w:rsidRPr="004D7C87">
        <w:rPr>
          <w:lang w:val="en-US"/>
        </w:rPr>
        <w:fldChar w:fldCharType="separate"/>
      </w:r>
      <w:r w:rsidR="00B772CA">
        <w:rPr>
          <w:lang w:val="en-US"/>
        </w:rPr>
        <w:t>[24]</w:t>
      </w:r>
      <w:r w:rsidR="009E768B" w:rsidRPr="004D7C87">
        <w:rPr>
          <w:lang w:val="en-US"/>
        </w:rPr>
        <w:fldChar w:fldCharType="end"/>
      </w:r>
      <w:r w:rsidRPr="00313E82">
        <w:rPr>
          <w:lang w:val="en-US"/>
        </w:rPr>
        <w:t xml:space="preserve">, </w:t>
      </w:r>
      <w:r w:rsidR="009E768B" w:rsidRPr="004D7C87">
        <w:rPr>
          <w:lang w:val="en-US"/>
        </w:rPr>
        <w:fldChar w:fldCharType="begin"/>
      </w:r>
      <w:r w:rsidRPr="00313E82">
        <w:rPr>
          <w:lang w:val="en-US"/>
        </w:rPr>
        <w:instrText xml:space="preserve"> REF _Ref397353034 \r \h </w:instrText>
      </w:r>
      <w:r w:rsidR="009E768B" w:rsidRPr="004D7C87">
        <w:rPr>
          <w:lang w:val="en-US"/>
        </w:rPr>
      </w:r>
      <w:r w:rsidR="009E768B" w:rsidRPr="004D7C87">
        <w:rPr>
          <w:lang w:val="en-US"/>
        </w:rPr>
        <w:fldChar w:fldCharType="separate"/>
      </w:r>
      <w:r w:rsidR="00B772CA">
        <w:rPr>
          <w:lang w:val="en-US"/>
        </w:rPr>
        <w:t>[28]</w:t>
      </w:r>
      <w:r w:rsidR="009E768B" w:rsidRPr="004D7C87">
        <w:rPr>
          <w:lang w:val="en-US"/>
        </w:rPr>
        <w:fldChar w:fldCharType="end"/>
      </w:r>
      <w:r w:rsidRPr="00313E82">
        <w:rPr>
          <w:lang w:val="en-US"/>
        </w:rPr>
        <w:t xml:space="preserve"> like Fussel-Vesely importance but also Birnbaum importance or risk achievement worth for one basic event or one reliability parameter, as there are very few restrictions on </w:t>
      </w:r>
      <m:oMath>
        <m:r>
          <w:rPr>
            <w:rFonts w:ascii="Cambria Math" w:hAnsi="Cambria Math"/>
            <w:lang w:val="en-US"/>
          </w:rPr>
          <m:t>δ</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oMath>
      <w:r w:rsidRPr="00313E82">
        <w:rPr>
          <w:lang w:val="en-US"/>
        </w:rPr>
        <w:t xml:space="preserve">. </w:t>
      </w:r>
    </w:p>
    <w:p w:rsidR="00AE198A" w:rsidRPr="00313E82" w:rsidRDefault="00AE198A" w:rsidP="00AE198A">
      <w:pPr>
        <w:rPr>
          <w:lang w:val="en-US"/>
        </w:rPr>
      </w:pPr>
      <w:r w:rsidRPr="00313E82">
        <w:rPr>
          <w:lang w:val="en-US"/>
        </w:rPr>
        <w:t xml:space="preserve">The extension to groups of parameters (a subset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oMath>
      <w:r w:rsidRPr="00313E82">
        <w:rPr>
          <w:lang w:val="en-US"/>
        </w:rPr>
        <w:t>) exhibiting a</w:t>
      </w:r>
      <w:r w:rsidR="001D0D53" w:rsidRPr="00313E82">
        <w:rPr>
          <w:lang w:val="en-US"/>
        </w:rPr>
        <w:t xml:space="preserve"> simultaneous</w:t>
      </w:r>
      <w:r w:rsidRPr="00313E82">
        <w:rPr>
          <w:lang w:val="en-US"/>
        </w:rPr>
        <w:t xml:space="preserve"> change in parameter (distribution) values </w:t>
      </w:r>
      <m:oMath>
        <m:r>
          <w:rPr>
            <w:rFonts w:ascii="Cambria Math" w:hAnsi="Cambria Math"/>
            <w:lang w:val="en-US"/>
          </w:rPr>
          <m:t>δ</m:t>
        </m:r>
        <m:d>
          <m:dPr>
            <m:ctrlPr>
              <w:rPr>
                <w:rFonts w:ascii="Cambria Math" w:hAnsi="Cambria Math"/>
                <w:i/>
                <w:lang w:val="en-US"/>
              </w:rPr>
            </m:ctrlPr>
          </m:d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e>
            </m:d>
          </m:e>
        </m:d>
      </m:oMath>
      <w:r w:rsidRPr="00313E82">
        <w:rPr>
          <w:lang w:val="en-US"/>
        </w:rPr>
        <w:t xml:space="preserve"> is evident. Familiar examples are group importance measures, e.g. the Fussel-Vesely importance for a whole </w:t>
      </w:r>
      <w:r w:rsidR="001D0D53" w:rsidRPr="00313E82">
        <w:rPr>
          <w:lang w:val="en-US"/>
        </w:rPr>
        <w:t xml:space="preserve">plant </w:t>
      </w:r>
      <w:r w:rsidRPr="00313E82">
        <w:rPr>
          <w:lang w:val="en-US"/>
        </w:rPr>
        <w:t xml:space="preserve">system. </w:t>
      </w:r>
    </w:p>
    <w:p w:rsidR="00AE198A" w:rsidRPr="00313E82" w:rsidRDefault="00AE198A" w:rsidP="00AE198A">
      <w:pPr>
        <w:rPr>
          <w:lang w:val="en-US"/>
        </w:rPr>
      </w:pPr>
      <w:r w:rsidRPr="00313E82">
        <w:rPr>
          <w:lang w:val="en-US"/>
        </w:rPr>
        <w:t>Importance measures are highly relevant examples of secondary risk metrics/measures currently used in the PSA for NPP.</w:t>
      </w:r>
    </w:p>
    <w:p w:rsidR="00AE198A" w:rsidRPr="00313E82" w:rsidRDefault="00AE198A" w:rsidP="00AE198A">
      <w:pPr>
        <w:rPr>
          <w:lang w:val="en-US"/>
        </w:rPr>
      </w:pPr>
      <w:r w:rsidRPr="00313E82">
        <w:rPr>
          <w:lang w:val="en-US"/>
        </w:rPr>
        <w:t>It should be noted that importance measures I</w:t>
      </w:r>
      <w:r w:rsidRPr="00313E82">
        <w:rPr>
          <w:vertAlign w:val="subscript"/>
          <w:lang w:val="en-US"/>
        </w:rPr>
        <w:t>n</w:t>
      </w:r>
      <w:r w:rsidRPr="00313E82">
        <w:rPr>
          <w:lang w:val="en-US"/>
        </w:rPr>
        <w:t xml:space="preserve"> are described by distribution functions in the generic case since </w:t>
      </w:r>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as well as the parameters p</w:t>
      </w:r>
      <w:r w:rsidRPr="00313E82">
        <w:rPr>
          <w:vertAlign w:val="subscript"/>
          <w:lang w:val="en-US"/>
        </w:rPr>
        <w:t>n</w:t>
      </w:r>
      <w:r w:rsidRPr="00313E82">
        <w:rPr>
          <w:lang w:val="en-US"/>
        </w:rPr>
        <w:t xml:space="preserve"> are defined by distribution functions as well. The current practice in PSA for </w:t>
      </w:r>
      <w:r w:rsidRPr="00313E82">
        <w:rPr>
          <w:lang w:val="en-US"/>
        </w:rPr>
        <w:lastRenderedPageBreak/>
        <w:t>NPP rarely considers this property. Mostly, importance measures are calculated based on point estimates (e.g. mean values for the underlying parameters).</w:t>
      </w:r>
    </w:p>
    <w:p w:rsidR="00AE198A" w:rsidRPr="00313E82" w:rsidRDefault="00AE198A" w:rsidP="00AE198A">
      <w:pPr>
        <w:rPr>
          <w:lang w:val="en-US"/>
        </w:rPr>
      </w:pPr>
      <w:r w:rsidRPr="00313E82">
        <w:rPr>
          <w:lang w:val="en-US"/>
        </w:rPr>
        <w:t xml:space="preserve">The aforementioned definition of an importance measure also covers a wide range of sensitivity measures. If sensitivity measures are understood as simply shifting parameter values (e.g. by a factor of 10), this simply corresponds to a specific choice of the variation of the parameter. If sensitivity calculations are instead understood as investigations on the influence of uncertainty distributions for selected parameters, this is enclosed via an appropriate choice of parameters (e.g. the distribution parameters for a failure rate distribution of the lognormal type). </w:t>
      </w:r>
    </w:p>
    <w:p w:rsidR="00AE198A" w:rsidRPr="00313E82" w:rsidRDefault="00AE198A" w:rsidP="00AE198A">
      <w:pPr>
        <w:rPr>
          <w:lang w:val="en-US"/>
        </w:rPr>
      </w:pPr>
    </w:p>
    <w:p w:rsidR="00AE198A" w:rsidRPr="00313E82" w:rsidRDefault="00AE198A" w:rsidP="00AE198A">
      <w:pPr>
        <w:rPr>
          <w:b/>
          <w:lang w:val="en-US"/>
        </w:rPr>
      </w:pPr>
      <w:r w:rsidRPr="00313E82">
        <w:rPr>
          <w:b/>
          <w:lang w:val="en-US"/>
        </w:rPr>
        <w:t>Conditional consequence metrics</w:t>
      </w:r>
    </w:p>
    <w:p w:rsidR="00AE198A" w:rsidRPr="00313E82" w:rsidRDefault="00AE198A" w:rsidP="00AE198A">
      <w:pPr>
        <w:rPr>
          <w:lang w:val="en-US"/>
        </w:rPr>
      </w:pPr>
      <w:r w:rsidRPr="00313E82">
        <w:rPr>
          <w:lang w:val="en-US"/>
        </w:rPr>
        <w:t xml:space="preserve">The risk model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 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d>
      </m:oMath>
      <w:r w:rsidRPr="00313E82">
        <w:rPr>
          <w:lang w:val="en-US"/>
        </w:rPr>
        <w:t xml:space="preserve"> can be extended to include intermediate states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lang w:val="en-US"/>
        </w:rPr>
        <w:t>, i.e.</w:t>
      </w:r>
    </w:p>
    <w:p w:rsidR="00AE198A" w:rsidRPr="00313E82" w:rsidRDefault="0043746A" w:rsidP="00AE198A">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φ(t(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r>
                    <w:rPr>
                      <w:rFonts w:ascii="Cambria Math" w:hAnsi="Cambria Math"/>
                      <w:lang w:val="en-US"/>
                    </w:rPr>
                    <m:t>)</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m:oMathPara>
    </w:p>
    <w:p w:rsidR="00AE198A" w:rsidRPr="00313E82" w:rsidRDefault="00AE198A" w:rsidP="00AE198A">
      <w:pPr>
        <w:rPr>
          <w:lang w:val="en-US"/>
        </w:rPr>
      </w:pPr>
      <w:r w:rsidRPr="00313E82">
        <w:rPr>
          <w:lang w:val="en-US"/>
        </w:rPr>
        <w:t xml:space="preserve">with conditional transition probabilities </w:t>
      </w: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oMath>
      <w:r w:rsidRPr="00313E82">
        <w:rPr>
          <w:lang w:val="en-US"/>
        </w:rPr>
        <w:t xml:space="preserve">. The sequences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groupChr>
          </m:e>
        </m:box>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lang w:val="en-US"/>
        </w:rPr>
        <w:t xml:space="preserve"> are the constitutive elements of an event tree (sequence graph). The extension to multiple intermediate states is obvious.</w:t>
      </w:r>
    </w:p>
    <w:p w:rsidR="00AE198A" w:rsidRPr="00313E82" w:rsidRDefault="00AE198A" w:rsidP="00AE198A">
      <w:pPr>
        <w:rPr>
          <w:lang w:val="en-US"/>
        </w:rPr>
      </w:pPr>
      <w:r w:rsidRPr="00313E82">
        <w:rPr>
          <w:lang w:val="en-US"/>
        </w:rPr>
        <w:t xml:space="preserve">With this definition, conditional consequence metrics/measures can be defined as </w:t>
      </w:r>
    </w:p>
    <w:p w:rsidR="00AE198A" w:rsidRPr="00313E82" w:rsidRDefault="00AE198A" w:rsidP="00AE198A">
      <w:pPr>
        <w:rPr>
          <w:lang w:val="en-US"/>
        </w:rPr>
      </w:pPr>
      <m:oMathPara>
        <m:oMath>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e>
          </m:d>
          <m:r>
            <w:rPr>
              <w:rFonts w:ascii="Cambria Math" w:hAnsi="Cambria Math"/>
              <w:lang w:val="en-US"/>
            </w:rPr>
            <m:t>=φ</m:t>
          </m:r>
          <m:d>
            <m:dPr>
              <m:ctrlPr>
                <w:rPr>
                  <w:rFonts w:ascii="Cambria Math" w:hAnsi="Cambria Math"/>
                  <w:i/>
                  <w:lang w:val="en-US"/>
                </w:rPr>
              </m:ctrlPr>
            </m:dPr>
            <m:e>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k</m:t>
                  </m:r>
                </m:sub>
              </m:sSub>
            </m:e>
          </m:d>
        </m:oMath>
      </m:oMathPara>
    </w:p>
    <w:p w:rsidR="00AE198A" w:rsidRPr="00313E82" w:rsidRDefault="00AE198A" w:rsidP="00AE198A">
      <w:pPr>
        <w:rPr>
          <w:lang w:val="en-US"/>
        </w:rPr>
      </w:pPr>
      <w:r w:rsidRPr="00313E82">
        <w:rPr>
          <w:lang w:val="en-US"/>
        </w:rPr>
        <w:t>in a natural way. As examples, conditional core damage probability or conditional containment failure probability or system unavailability upon the condition of IE occurrence (often called system unavailability on demand</w:t>
      </w:r>
      <w:r w:rsidR="00C460A2" w:rsidRPr="00313E82">
        <w:rPr>
          <w:lang w:val="en-US"/>
        </w:rPr>
        <w:t>)</w:t>
      </w:r>
      <w:r w:rsidR="001D0D53" w:rsidRPr="00313E82">
        <w:rPr>
          <w:lang w:val="en-US"/>
        </w:rPr>
        <w:t xml:space="preserve"> </w:t>
      </w:r>
      <w:r w:rsidRPr="00313E82">
        <w:rPr>
          <w:lang w:val="en-US"/>
        </w:rPr>
        <w:t xml:space="preserve">have been used for PSA of NPP. </w:t>
      </w:r>
    </w:p>
    <w:p w:rsidR="00AE198A" w:rsidRPr="00313E82" w:rsidRDefault="00AE198A" w:rsidP="00AE198A">
      <w:pPr>
        <w:rPr>
          <w:lang w:val="en-US"/>
        </w:rPr>
      </w:pPr>
      <w:r w:rsidRPr="00313E82">
        <w:rPr>
          <w:lang w:val="en-US"/>
        </w:rPr>
        <w:t>Obviously, risk aggregation should not be done by summing up, even for the standard definition of the conditional risk measure. The rules for conditional probabilities have to be applied. Finally, whether risk aggregation (over scenarios or over consequences) results in a sensible risk measure is an issue in itself.</w:t>
      </w:r>
    </w:p>
    <w:p w:rsidR="00AE198A" w:rsidRPr="00313E82" w:rsidRDefault="00AE198A" w:rsidP="00AE198A">
      <w:pPr>
        <w:rPr>
          <w:lang w:val="en-US"/>
        </w:rPr>
      </w:pPr>
    </w:p>
    <w:p w:rsidR="00AE198A" w:rsidRPr="00313E82" w:rsidRDefault="00AE198A" w:rsidP="00AE198A">
      <w:pPr>
        <w:keepNext/>
        <w:rPr>
          <w:b/>
          <w:lang w:val="en-US"/>
        </w:rPr>
      </w:pPr>
      <w:r w:rsidRPr="00313E82">
        <w:rPr>
          <w:b/>
          <w:lang w:val="en-US"/>
        </w:rPr>
        <w:t>Statistical measures</w:t>
      </w:r>
    </w:p>
    <w:p w:rsidR="00AE198A" w:rsidRPr="00313E82" w:rsidRDefault="00AE198A" w:rsidP="00AE198A">
      <w:pPr>
        <w:rPr>
          <w:lang w:val="en-US"/>
        </w:rPr>
      </w:pPr>
      <w:r w:rsidRPr="00313E82">
        <w:rPr>
          <w:lang w:val="en-US"/>
        </w:rPr>
        <w:t xml:space="preserve">Since risk measures (direct or derivative) are defined as distributions over </w:t>
      </w:r>
      <m:oMath>
        <m:r>
          <m:rPr>
            <m:scr m:val="double-struck"/>
          </m:rPr>
          <w:rPr>
            <w:rFonts w:ascii="Cambria Math" w:hAnsi="Cambria Math"/>
            <w:lang w:val="en-US"/>
          </w:rPr>
          <m:t>R</m:t>
        </m:r>
      </m:oMath>
      <w:r w:rsidRPr="00313E82">
        <w:rPr>
          <w:lang w:val="en-US"/>
        </w:rPr>
        <w:t xml:space="preserve"> or </w:t>
      </w:r>
      <m:oMath>
        <m:r>
          <m:rPr>
            <m:scr m:val="double-struck"/>
          </m:rPr>
          <w:rPr>
            <w:rFonts w:ascii="Cambria Math" w:hAnsi="Cambria Math"/>
            <w:lang w:val="en-US"/>
          </w:rPr>
          <m:t>Z</m:t>
        </m:r>
      </m:oMath>
      <w:r w:rsidRPr="00313E82">
        <w:rPr>
          <w:lang w:val="en-US"/>
        </w:rPr>
        <w:t>, the usual statistical tools for random variables can be applied. Important examples would be the computation of a covariance for a risk measure and a parameter, e.g.</w:t>
      </w:r>
    </w:p>
    <w:p w:rsidR="00AE198A" w:rsidRPr="00313E82" w:rsidRDefault="00AE198A" w:rsidP="00AE198A">
      <w:pPr>
        <w:rPr>
          <w:lang w:val="en-US"/>
        </w:rPr>
      </w:pPr>
      <m:oMathPara>
        <m:oMath>
          <m:r>
            <w:rPr>
              <w:rFonts w:ascii="Cambria Math" w:hAnsi="Cambria Math"/>
              <w:lang w:val="en-US"/>
            </w:rPr>
            <m:t>cov</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r>
            <w:rPr>
              <w:rFonts w:ascii="Cambria Math" w:hAnsi="Cambria Math"/>
              <w:lang w:val="en-US"/>
            </w:rPr>
            <m:t>=E</m:t>
          </m:r>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acc>
                    <m:accPr>
                      <m:ctrlPr>
                        <w:rPr>
                          <w:rFonts w:ascii="Cambria Math" w:hAnsi="Cambria Math"/>
                          <w:i/>
                          <w:lang w:val="en-US"/>
                        </w:rPr>
                      </m:ctrlPr>
                    </m:accPr>
                    <m:e>
                      <m:r>
                        <w:rPr>
                          <w:rFonts w:ascii="Cambria Math" w:hAnsi="Cambria Math"/>
                          <w:lang w:val="en-US"/>
                        </w:rPr>
                        <m:t>μ</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e>
              </m:d>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e>
              </m:d>
            </m:e>
          </m:d>
          <m:r>
            <w:rPr>
              <w:rFonts w:ascii="Cambria Math" w:hAnsi="Cambria Math"/>
              <w:lang w:val="en-US"/>
            </w:rPr>
            <m:t>,</m:t>
          </m:r>
        </m:oMath>
      </m:oMathPara>
    </w:p>
    <w:p w:rsidR="00AE198A" w:rsidRPr="00313E82" w:rsidRDefault="00AE198A" w:rsidP="00AE198A">
      <w:pPr>
        <w:rPr>
          <w:lang w:val="en-US"/>
        </w:rPr>
      </w:pPr>
      <w:r w:rsidRPr="00313E82">
        <w:rPr>
          <w:lang w:val="en-US"/>
        </w:rPr>
        <w:t xml:space="preserve">where </w:t>
      </w:r>
      <m:oMath>
        <m:acc>
          <m:accPr>
            <m:ctrlPr>
              <w:rPr>
                <w:rFonts w:ascii="Cambria Math" w:hAnsi="Cambria Math"/>
                <w:i/>
                <w:lang w:val="en-US"/>
              </w:rPr>
            </m:ctrlPr>
          </m:accPr>
          <m:e>
            <m:r>
              <w:rPr>
                <w:rFonts w:ascii="Cambria Math" w:hAnsi="Cambria Math"/>
                <w:lang w:val="en-US"/>
              </w:rPr>
              <m:t>μ</m:t>
            </m:r>
          </m:e>
        </m:acc>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oMath>
      <w:r w:rsidRPr="00313E82">
        <w:rPr>
          <w:lang w:val="en-US"/>
        </w:rPr>
        <w:t xml:space="preserv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p</m:t>
                </m:r>
              </m:e>
            </m:acc>
          </m:e>
          <m:sub>
            <m:r>
              <w:rPr>
                <w:rFonts w:ascii="Cambria Math" w:hAnsi="Cambria Math"/>
                <w:lang w:val="en-US"/>
              </w:rPr>
              <m:t>n</m:t>
            </m:r>
          </m:sub>
        </m:sSub>
      </m:oMath>
      <w:r w:rsidRPr="00313E82">
        <w:rPr>
          <w:lang w:val="en-US"/>
        </w:rPr>
        <w:t xml:space="preserve"> denote the mean values and </w:t>
      </w:r>
      <m:oMath>
        <m:r>
          <w:rPr>
            <w:rFonts w:ascii="Cambria Math" w:hAnsi="Cambria Math"/>
            <w:lang w:val="en-US"/>
          </w:rPr>
          <m:t>E</m:t>
        </m:r>
      </m:oMath>
      <w:r w:rsidRPr="00313E82">
        <w:rPr>
          <w:lang w:val="en-US"/>
        </w:rPr>
        <w:t xml:space="preserve"> the expectation of the joint distribution. With the standard deviations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μ</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p</m:t>
            </m:r>
          </m:sub>
        </m:sSub>
      </m:oMath>
      <w:r w:rsidRPr="00313E82">
        <w:rPr>
          <w:lang w:val="en-US"/>
        </w:rPr>
        <w:t>, this can be used to compute Pearson’s correlation coefficient</w:t>
      </w:r>
    </w:p>
    <w:p w:rsidR="00AE198A" w:rsidRPr="00313E82" w:rsidRDefault="0043746A" w:rsidP="00AE198A">
      <w:pPr>
        <w:rPr>
          <w:lang w:val="en-US"/>
        </w:rPr>
      </w:pPr>
      <m:oMathPara>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μ,p</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cov</m:t>
              </m:r>
              <m:d>
                <m:dPr>
                  <m:ctrlPr>
                    <w:rPr>
                      <w:rFonts w:ascii="Cambria Math" w:hAnsi="Cambria Math"/>
                      <w:i/>
                      <w:lang w:val="en-US"/>
                    </w:rPr>
                  </m:ctrlPr>
                </m:dPr>
                <m:e>
                  <m:r>
                    <w:rPr>
                      <w:rFonts w:ascii="Cambria Math" w:hAnsi="Cambria Math"/>
                      <w:lang w:val="en-US"/>
                    </w:rPr>
                    <m:t>μ</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μ</m:t>
                  </m:r>
                </m:sub>
              </m:s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p</m:t>
                  </m:r>
                </m:sub>
              </m:sSub>
            </m:den>
          </m:f>
          <m:r>
            <w:rPr>
              <w:rFonts w:ascii="Cambria Math" w:hAnsi="Cambria Math"/>
              <w:lang w:val="en-US"/>
            </w:rPr>
            <m:t>.</m:t>
          </m:r>
        </m:oMath>
      </m:oMathPara>
    </w:p>
    <w:p w:rsidR="00AE198A" w:rsidRPr="00313E82" w:rsidRDefault="00AE198A" w:rsidP="00AE198A">
      <w:pPr>
        <w:rPr>
          <w:lang w:val="en-US"/>
        </w:rPr>
      </w:pPr>
      <w:r w:rsidRPr="00313E82">
        <w:rPr>
          <w:lang w:val="en-US"/>
        </w:rPr>
        <w:t>Analogously, other statistical measures can be used to analyse the risk measure distributions, their properties and correlations. Currently, this is rarely done in PSA for NPP.</w:t>
      </w:r>
    </w:p>
    <w:p w:rsidR="00AE198A" w:rsidRPr="00313E82" w:rsidRDefault="00AE198A" w:rsidP="00AE198A">
      <w:pPr>
        <w:rPr>
          <w:lang w:val="en-US"/>
        </w:rPr>
      </w:pPr>
    </w:p>
    <w:p w:rsidR="00AE198A" w:rsidRPr="00313E82" w:rsidRDefault="00AE198A" w:rsidP="00AE198A">
      <w:pPr>
        <w:keepNext/>
        <w:rPr>
          <w:b/>
          <w:lang w:val="en-US"/>
        </w:rPr>
      </w:pPr>
      <w:r w:rsidRPr="00313E82">
        <w:rPr>
          <w:b/>
          <w:lang w:val="en-US"/>
        </w:rPr>
        <w:t>Risk indices</w:t>
      </w:r>
    </w:p>
    <w:p w:rsidR="00AE198A" w:rsidRPr="00313E82" w:rsidRDefault="00AE198A" w:rsidP="00AE198A">
      <w:pPr>
        <w:rPr>
          <w:lang w:val="en-US"/>
        </w:rPr>
      </w:pPr>
      <w:r w:rsidRPr="00313E82">
        <w:rPr>
          <w:lang w:val="en-US"/>
        </w:rPr>
        <w:t xml:space="preserve">If certain properties or parameters are ranked based on another risk measure, this (formally) constitutes a derivative risk measure (a mapping on a subset of </w:t>
      </w:r>
      <m:oMath>
        <m:r>
          <m:rPr>
            <m:scr m:val="double-struck"/>
          </m:rPr>
          <w:rPr>
            <w:rFonts w:ascii="Cambria Math" w:hAnsi="Cambria Math"/>
            <w:lang w:val="en-US"/>
          </w:rPr>
          <m:t>Z</m:t>
        </m:r>
      </m:oMath>
      <w:r w:rsidRPr="00313E82">
        <w:rPr>
          <w:lang w:val="en-US"/>
        </w:rPr>
        <w:t xml:space="preserve">). Such a ranking is properly called an index </w:t>
      </w:r>
      <w:r w:rsidR="009E768B" w:rsidRPr="004D7C87">
        <w:rPr>
          <w:lang w:val="en-US"/>
        </w:rPr>
        <w:fldChar w:fldCharType="begin"/>
      </w:r>
      <w:r w:rsidRPr="00313E82">
        <w:rPr>
          <w:lang w:val="en-US"/>
        </w:rPr>
        <w:instrText xml:space="preserve"> REF _Ref396320286 \r \h </w:instrText>
      </w:r>
      <w:r w:rsidR="009E768B" w:rsidRPr="004D7C87">
        <w:rPr>
          <w:lang w:val="en-US"/>
        </w:rPr>
      </w:r>
      <w:r w:rsidR="009E768B" w:rsidRPr="004D7C87">
        <w:rPr>
          <w:lang w:val="en-US"/>
        </w:rPr>
        <w:fldChar w:fldCharType="separate"/>
      </w:r>
      <w:r w:rsidR="00B772CA">
        <w:rPr>
          <w:lang w:val="en-US"/>
        </w:rPr>
        <w:t>[32]</w:t>
      </w:r>
      <w:r w:rsidR="009E768B" w:rsidRPr="004D7C87">
        <w:rPr>
          <w:lang w:val="en-US"/>
        </w:rPr>
        <w:fldChar w:fldCharType="end"/>
      </w:r>
      <w:r w:rsidRPr="00313E82">
        <w:rPr>
          <w:lang w:val="en-US"/>
        </w:rPr>
        <w:t xml:space="preserve">. Obviously, risk indices can be defined for a lot of quantities, e.g. scenarios, consequences, parameters, etc. and these can be </w:t>
      </w:r>
      <w:r w:rsidRPr="00313E82">
        <w:rPr>
          <w:lang w:val="en-US"/>
        </w:rPr>
        <w:lastRenderedPageBreak/>
        <w:t xml:space="preserve">based on direct risk metrics (e.g. core damage frequency) or derivative ones (e.g. Fussel-Vesely importance). As these risk indices contain very little information about the actual underlying risk metric (and measure), pure ranking schemes will not be investigated in this report. </w:t>
      </w:r>
    </w:p>
    <w:p w:rsidR="001179E9" w:rsidRPr="00313E82" w:rsidRDefault="001179E9" w:rsidP="00413DDA">
      <w:pPr>
        <w:pStyle w:val="Titre2"/>
        <w:rPr>
          <w:lang w:val="en-US"/>
        </w:rPr>
      </w:pPr>
      <w:bookmarkStart w:id="550" w:name="_Toc452560504"/>
      <w:bookmarkStart w:id="551" w:name="_Toc452561445"/>
      <w:bookmarkStart w:id="552" w:name="_Toc452561661"/>
      <w:bookmarkStart w:id="553" w:name="_Toc474430248"/>
      <w:bookmarkEnd w:id="550"/>
      <w:bookmarkEnd w:id="551"/>
      <w:bookmarkEnd w:id="552"/>
      <w:r w:rsidRPr="00313E82">
        <w:rPr>
          <w:lang w:val="en-US"/>
        </w:rPr>
        <w:t>Risk Measures and Minimal Cut Sets</w:t>
      </w:r>
      <w:bookmarkEnd w:id="553"/>
    </w:p>
    <w:p w:rsidR="003E0644" w:rsidRPr="00313E82" w:rsidRDefault="001179E9" w:rsidP="00413DDA">
      <w:pPr>
        <w:rPr>
          <w:lang w:val="en-US"/>
        </w:rPr>
      </w:pPr>
      <w:r w:rsidRPr="00313E82">
        <w:rPr>
          <w:lang w:val="en-US"/>
        </w:rPr>
        <w:t xml:space="preserve">The relation between risk measures, event tree/fault tree models, and mininal cut sets merits some remarks. When constructing a risk model (i.e. PSA model) for a specific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 xml:space="preserve">        </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Pr="00313E82">
        <w:rPr>
          <w:lang w:val="en-US"/>
        </w:rPr>
        <w:t xml:space="preserve"> in order to quantify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ij</m:t>
            </m:r>
          </m:sub>
        </m:sSub>
      </m:oMath>
      <w:r w:rsidRPr="00313E82">
        <w:rPr>
          <w:lang w:val="en-US"/>
        </w:rPr>
        <w:t xml:space="preserve">, the </w:t>
      </w:r>
      <w:r w:rsidR="003E0644" w:rsidRPr="00313E82">
        <w:rPr>
          <w:lang w:val="en-US"/>
        </w:rPr>
        <w:t xml:space="preserve">event tree/fault tree model for the sequence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 xml:space="preserve">        </m:t>
                </m:r>
              </m:e>
            </m:groupChr>
          </m:e>
        </m:box>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oMath>
      <w:r w:rsidR="003E0644" w:rsidRPr="00313E82">
        <w:rPr>
          <w:lang w:val="en-US"/>
        </w:rPr>
        <w:t xml:space="preserve"> describes the </w:t>
      </w:r>
      <w:r w:rsidRPr="00313E82">
        <w:rPr>
          <w:lang w:val="en-US"/>
        </w:rPr>
        <w:t xml:space="preserve">system </w:t>
      </w:r>
      <w:r w:rsidR="003E0644" w:rsidRPr="00313E82">
        <w:rPr>
          <w:lang w:val="en-US"/>
        </w:rPr>
        <w:t xml:space="preserve">failure </w:t>
      </w:r>
      <w:r w:rsidRPr="00313E82">
        <w:rPr>
          <w:lang w:val="en-US"/>
        </w:rPr>
        <w:t xml:space="preserve">function </w:t>
      </w:r>
    </w:p>
    <w:p w:rsidR="001179E9" w:rsidRPr="00313E82" w:rsidRDefault="0043746A" w:rsidP="00413DDA">
      <w:pPr>
        <w:jc w:val="center"/>
        <w:rPr>
          <w:lang w:val="en-US"/>
        </w:rPr>
      </w:pPr>
      <m:oMathPara>
        <m:oMath>
          <m:sSub>
            <m:sSubPr>
              <m:ctrlPr>
                <w:rPr>
                  <w:rFonts w:ascii="Cambria Math" w:hAnsi="Cambria Math"/>
                  <w:i/>
                  <w:lang w:val="en-US"/>
                </w:rPr>
              </m:ctrlPr>
            </m:sSubPr>
            <m:e>
              <m:r>
                <w:rPr>
                  <w:rFonts w:ascii="Cambria Math" w:hAnsi="Cambria Math"/>
                  <w:lang w:val="en-US"/>
                </w:rPr>
                <m:t>f</m:t>
              </m:r>
            </m:e>
            <m: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0, 1</m:t>
              </m:r>
            </m:e>
          </m:d>
          <m:r>
            <w:rPr>
              <w:rFonts w:ascii="Cambria Math" w:hAnsi="Cambria Math"/>
              <w:lang w:val="en-US"/>
            </w:rPr>
            <m:t>.</m:t>
          </m:r>
        </m:oMath>
      </m:oMathPara>
    </w:p>
    <w:p w:rsidR="003E0644" w:rsidRPr="00313E82" w:rsidRDefault="003E0644" w:rsidP="00413DDA">
      <w:pPr>
        <w:jc w:val="left"/>
        <w:rPr>
          <w:lang w:val="en-US"/>
        </w:rPr>
      </w:pPr>
      <w:r w:rsidRPr="00313E82">
        <w:rPr>
          <w:lang w:val="en-US"/>
        </w:rPr>
        <w:t xml:space="preserve">Here,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d>
      </m:oMath>
      <w:r w:rsidRPr="00313E82">
        <w:rPr>
          <w:lang w:val="en-US"/>
        </w:rPr>
        <w:t xml:space="preserve"> denotes the set of basic events (and initiating events and logical switches/house events) in the event tree/fault tree model. The system failure function can be described (in case of the rare event approximation) by the set of minimal cuts, i.e. minimal combinations of basic event failures </w:t>
      </w:r>
      <m:oMath>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i1</m:t>
                </m:r>
              </m:sub>
            </m:sSub>
            <m:r>
              <w:rPr>
                <w:rFonts w:ascii="Cambria Math" w:hAnsi="Cambria Math"/>
                <w:lang w:val="en-US"/>
              </w:rPr>
              <m:t>=1</m:t>
            </m:r>
          </m:e>
        </m:d>
        <m:r>
          <w:rPr>
            <w:rFonts w:ascii="Cambria Math" w:hAnsi="Cambria Math"/>
            <w:lang w:val="en-US"/>
          </w:rPr>
          <m:t>∧…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ik</m:t>
                </m:r>
              </m:sub>
            </m:sSub>
            <m:r>
              <w:rPr>
                <w:rFonts w:ascii="Cambria Math" w:hAnsi="Cambria Math"/>
                <w:lang w:val="en-US"/>
              </w:rPr>
              <m:t>=1</m:t>
            </m:r>
          </m:e>
        </m:d>
      </m:oMath>
      <w:r w:rsidRPr="00313E82">
        <w:rPr>
          <w:lang w:val="en-US"/>
        </w:rPr>
        <w:t xml:space="preserve">. </w:t>
      </w:r>
      <w:r w:rsidR="00A77ACA" w:rsidRPr="00313E82">
        <w:rPr>
          <w:lang w:val="en-US"/>
        </w:rPr>
        <w:t xml:space="preserve">The list of m mutually exclusive minimal cuts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d>
        <m:r>
          <w:rPr>
            <w:rFonts w:ascii="Cambria Math" w:hAnsi="Cambria Math"/>
            <w:lang w:val="en-US"/>
          </w:rPr>
          <m:t>=</m:t>
        </m:r>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nary>
      </m:oMath>
      <w:r w:rsidR="00A77ACA" w:rsidRPr="00313E82">
        <w:rPr>
          <w:lang w:val="en-US"/>
        </w:rPr>
        <w:t xml:space="preserve"> is often a good approximation to the system failure function </w:t>
      </w:r>
      <w:r w:rsidR="00801FEC" w:rsidRPr="00313E82">
        <w:rPr>
          <w:lang w:val="en-US"/>
        </w:rPr>
        <w:t>in terms of the likelihood l, i.e.</w:t>
      </w:r>
    </w:p>
    <w:p w:rsidR="00A77ACA" w:rsidRPr="00313E82" w:rsidRDefault="00A77ACA" w:rsidP="00413DDA">
      <w:pPr>
        <w:jc w:val="left"/>
        <w:rPr>
          <w:lang w:val="en-US"/>
        </w:rPr>
      </w:pPr>
    </w:p>
    <w:p w:rsidR="00A77ACA" w:rsidRPr="00313E82" w:rsidRDefault="00801FEC" w:rsidP="00A77ACA">
      <w:pPr>
        <w:jc w:val="center"/>
        <w:rPr>
          <w:lang w:val="en-US"/>
        </w:rPr>
      </w:pPr>
      <m:oMathPara>
        <m:oMath>
          <m:r>
            <w:rPr>
              <w:rFonts w:ascii="Cambria Math" w:hAnsi="Cambria Math"/>
              <w:lang w:val="en-US"/>
            </w:rPr>
            <m:t>l(</m:t>
          </m:r>
          <m:sSub>
            <m:sSubPr>
              <m:ctrlPr>
                <w:rPr>
                  <w:rFonts w:ascii="Cambria Math" w:hAnsi="Cambria Math"/>
                  <w:i/>
                  <w:lang w:val="en-US"/>
                </w:rPr>
              </m:ctrlPr>
            </m:sSubPr>
            <m:e>
              <m:r>
                <w:rPr>
                  <w:rFonts w:ascii="Cambria Math" w:hAnsi="Cambria Math"/>
                  <w:lang w:val="en-US"/>
                </w:rPr>
                <m:t>f</m:t>
              </m:r>
            </m:e>
            <m: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=1)=l</m:t>
          </m:r>
          <m:d>
            <m:dPr>
              <m:ctrlPr>
                <w:rPr>
                  <w:rFonts w:ascii="Cambria Math" w:hAnsi="Cambria Math"/>
                  <w:i/>
                  <w:lang w:val="en-US"/>
                </w:rPr>
              </m:ctrlPr>
            </m:d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e>
              </m:d>
            </m:e>
          </m:d>
          <m:sSub>
            <m:sSubPr>
              <m:ctrlPr>
                <w:rPr>
                  <w:rFonts w:ascii="Cambria Math" w:hAnsi="Cambria Math"/>
                  <w:i/>
                  <w:lang w:val="en-US"/>
                </w:rPr>
              </m:ctrlPr>
            </m:sSubPr>
            <m:e>
              <m:r>
                <w:rPr>
                  <w:rFonts w:ascii="Cambria Math" w:hAnsi="Cambria Math"/>
                  <w:lang w:val="en-US"/>
                </w:rPr>
                <m:t>|</m:t>
              </m:r>
            </m:e>
            <m: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j</m:t>
                  </m:r>
                </m:sub>
              </m:sSub>
            </m:sub>
          </m:sSub>
          <m:r>
            <w:rPr>
              <w:rFonts w:ascii="Cambria Math" w:hAnsi="Cambria Math"/>
              <w:lang w:val="en-US"/>
            </w:rPr>
            <m:t>=l</m:t>
          </m:r>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m</m:t>
                  </m:r>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i1</m:t>
                          </m:r>
                        </m:sub>
                      </m:sSub>
                      <m:r>
                        <w:rPr>
                          <w:rFonts w:ascii="Cambria Math" w:hAnsi="Cambria Math"/>
                          <w:lang w:val="en-US"/>
                        </w:rPr>
                        <m:t>=1</m:t>
                      </m:r>
                    </m:e>
                  </m:d>
                  <m:r>
                    <w:rPr>
                      <w:rFonts w:ascii="Cambria Math" w:hAnsi="Cambria Math"/>
                      <w:lang w:val="en-US"/>
                    </w:rPr>
                    <m:t>∧…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ik</m:t>
                          </m:r>
                        </m:sub>
                      </m:sSub>
                      <m:r>
                        <w:rPr>
                          <w:rFonts w:ascii="Cambria Math" w:hAnsi="Cambria Math"/>
                          <w:lang w:val="en-US"/>
                        </w:rPr>
                        <m:t>=1</m:t>
                      </m:r>
                    </m:e>
                  </m:d>
                </m:e>
              </m:nary>
            </m:e>
          </m:d>
          <m:r>
            <w:rPr>
              <w:rFonts w:ascii="Cambria Math" w:hAnsi="Cambria Math"/>
              <w:lang w:val="en-US"/>
            </w:rPr>
            <m:t>.</m:t>
          </m:r>
        </m:oMath>
      </m:oMathPara>
    </w:p>
    <w:p w:rsidR="003E0644" w:rsidRPr="00313E82" w:rsidRDefault="00A77ACA" w:rsidP="003E0644">
      <w:pPr>
        <w:rPr>
          <w:lang w:val="en-US"/>
        </w:rPr>
      </w:pPr>
      <w:r w:rsidRPr="00313E82">
        <w:rPr>
          <w:lang w:val="en-US"/>
        </w:rPr>
        <w:t>The arguments in the previous section on risk model sequences being disjoint can be translated directly into (and should be interpreted as) arguments on the lists of cut sets being disjoint, i.e. all cuts being mutually exclusive.</w:t>
      </w:r>
      <w:r w:rsidR="00801FEC" w:rsidRPr="00313E82">
        <w:rPr>
          <w:lang w:val="en-US"/>
        </w:rPr>
        <w:t xml:space="preserve"> Moreover, risk measures in PSA for NPP (regarding their frequency or probability aspect) are usually quantified </w:t>
      </w:r>
      <w:r w:rsidR="009C2E23" w:rsidRPr="00313E82">
        <w:rPr>
          <w:lang w:val="en-US"/>
        </w:rPr>
        <w:t xml:space="preserve">by </w:t>
      </w:r>
      <w:r w:rsidR="00801FEC" w:rsidRPr="00313E82">
        <w:rPr>
          <w:lang w:val="en-US"/>
        </w:rPr>
        <w:t xml:space="preserve">computing the likelihood of each cut </w:t>
      </w:r>
      <m:oMath>
        <m:r>
          <w:rPr>
            <w:rFonts w:ascii="Cambria Math" w:hAnsi="Cambria Math"/>
            <w:lang w:val="en-US"/>
          </w:rPr>
          <m:t>l(</m:t>
        </m:r>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i</m:t>
            </m:r>
          </m:sub>
        </m:sSub>
        <m:r>
          <w:rPr>
            <w:rFonts w:ascii="Cambria Math" w:hAnsi="Cambria Math"/>
            <w:lang w:val="en-US"/>
          </w:rPr>
          <m:t>)=l</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i1</m:t>
                </m:r>
              </m:sub>
            </m:sSub>
            <m:r>
              <w:rPr>
                <w:rFonts w:ascii="Cambria Math" w:hAnsi="Cambria Math"/>
                <w:lang w:val="en-US"/>
              </w:rPr>
              <m:t>=1</m:t>
            </m:r>
          </m:e>
        </m:d>
        <m:r>
          <w:rPr>
            <w:rFonts w:ascii="Cambria Math" w:hAnsi="Cambria Math"/>
            <w:lang w:val="en-US"/>
          </w:rPr>
          <m:t>∙… ∙l</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ik</m:t>
                </m:r>
              </m:sub>
            </m:sSub>
            <m:r>
              <w:rPr>
                <w:rFonts w:ascii="Cambria Math" w:hAnsi="Cambria Math"/>
                <w:lang w:val="en-US"/>
              </w:rPr>
              <m:t>=1</m:t>
            </m:r>
          </m:e>
        </m:d>
      </m:oMath>
      <w:r w:rsidR="00801FEC" w:rsidRPr="00313E82">
        <w:rPr>
          <w:lang w:val="en-US"/>
        </w:rPr>
        <w:t xml:space="preserve"> in the (mostly truncated) list and summing up the contributions with e.g. the Min Cut Upper Bound formula. In uncertainty analysis, the respective distributions can be determined, usually with a Monte Carlo approach.  </w:t>
      </w:r>
    </w:p>
    <w:p w:rsidR="00A322D5" w:rsidRPr="00313E82" w:rsidRDefault="00A322D5" w:rsidP="003E0644">
      <w:pPr>
        <w:rPr>
          <w:lang w:val="en-US"/>
        </w:rPr>
      </w:pPr>
      <w:r w:rsidRPr="00313E82">
        <w:rPr>
          <w:lang w:val="en-US"/>
        </w:rPr>
        <w:t xml:space="preserve">Furthermore, it is well known that the mean value for a minimum cut set likelihood can be estimated from the mean likelihoods of its constituent basic event, if (and only if) the respective basic events are mutually not correlated. If the basic events are correlated, e.g. by the same failure rate, then the minimum cut mean value will depend on the respective distributions and may deviate significantly. </w:t>
      </w:r>
    </w:p>
    <w:p w:rsidR="000D2880" w:rsidRPr="00313E82" w:rsidRDefault="000D2880" w:rsidP="003E0644">
      <w:pPr>
        <w:rPr>
          <w:lang w:val="en-US"/>
        </w:rPr>
      </w:pPr>
    </w:p>
    <w:p w:rsidR="000D2880" w:rsidRPr="00313E82" w:rsidRDefault="000D2880" w:rsidP="000D2880">
      <w:pPr>
        <w:pStyle w:val="Titre2"/>
        <w:rPr>
          <w:lang w:val="en-US"/>
        </w:rPr>
      </w:pPr>
      <w:bookmarkStart w:id="554" w:name="_Toc428956916"/>
      <w:bookmarkStart w:id="555" w:name="_Toc474430249"/>
      <w:r w:rsidRPr="00313E82">
        <w:rPr>
          <w:lang w:val="en-US"/>
        </w:rPr>
        <w:t>Model Representations</w:t>
      </w:r>
      <w:bookmarkEnd w:id="554"/>
      <w:bookmarkEnd w:id="555"/>
    </w:p>
    <w:p w:rsidR="000D2880" w:rsidRPr="00313E82" w:rsidRDefault="000D2880" w:rsidP="000D2880">
      <w:pPr>
        <w:spacing w:before="120" w:line="360" w:lineRule="auto"/>
        <w:rPr>
          <w:rFonts w:eastAsia="Batang"/>
          <w:lang w:val="en-US"/>
        </w:rPr>
      </w:pPr>
      <w:r w:rsidRPr="00313E82">
        <w:rPr>
          <w:lang w:val="en-US"/>
        </w:rPr>
        <w:t xml:space="preserve">Some </w:t>
      </w:r>
      <w:r w:rsidR="006E44B0">
        <w:rPr>
          <w:lang w:val="en-US"/>
        </w:rPr>
        <w:t>i</w:t>
      </w:r>
      <w:r w:rsidR="006E44B0" w:rsidRPr="00313E82">
        <w:rPr>
          <w:lang w:val="en-US"/>
        </w:rPr>
        <w:t xml:space="preserve">mportance </w:t>
      </w:r>
      <w:r w:rsidRPr="00313E82">
        <w:rPr>
          <w:lang w:val="en-US"/>
        </w:rPr>
        <w:t xml:space="preserve">and </w:t>
      </w:r>
      <w:r w:rsidR="006E44B0">
        <w:rPr>
          <w:lang w:val="en-US"/>
        </w:rPr>
        <w:t>s</w:t>
      </w:r>
      <w:r w:rsidR="006E44B0" w:rsidRPr="00313E82">
        <w:rPr>
          <w:lang w:val="en-US"/>
        </w:rPr>
        <w:t xml:space="preserve">ensitivity </w:t>
      </w:r>
      <w:r w:rsidRPr="00313E82">
        <w:rPr>
          <w:lang w:val="en-US"/>
        </w:rPr>
        <w:t>measures are based on two different representations of the model output (</w:t>
      </w:r>
      <w:r w:rsidR="006E44B0">
        <w:rPr>
          <w:lang w:val="en-US"/>
        </w:rPr>
        <w:t>for a direct</w:t>
      </w:r>
      <w:r w:rsidR="006E44B0" w:rsidRPr="00313E82">
        <w:rPr>
          <w:lang w:val="en-US"/>
        </w:rPr>
        <w:t xml:space="preserve"> </w:t>
      </w:r>
      <w:r w:rsidRPr="00313E82">
        <w:rPr>
          <w:lang w:val="en-US"/>
        </w:rPr>
        <w:t xml:space="preserve">risk measure): </w:t>
      </w:r>
      <w:r w:rsidRPr="00313E82">
        <w:rPr>
          <w:rFonts w:eastAsia="Batang"/>
          <w:lang w:val="en-US"/>
        </w:rPr>
        <w:t>Taylor series representation and High Dimensional Model Representation (HDMR).</w:t>
      </w:r>
    </w:p>
    <w:p w:rsidR="000D2880" w:rsidRPr="00313E82" w:rsidRDefault="000D2880" w:rsidP="006E44B0">
      <w:pPr>
        <w:pStyle w:val="Titre3"/>
        <w:numPr>
          <w:ilvl w:val="2"/>
          <w:numId w:val="40"/>
        </w:numPr>
        <w:rPr>
          <w:lang w:val="en-US"/>
        </w:rPr>
      </w:pPr>
      <w:bookmarkStart w:id="556" w:name="_Ref428960811"/>
      <w:bookmarkStart w:id="557" w:name="_Toc428956918"/>
      <w:bookmarkStart w:id="558" w:name="_Ref428890561"/>
      <w:bookmarkStart w:id="559" w:name="_Toc363588680"/>
      <w:bookmarkStart w:id="560" w:name="_Toc474430250"/>
      <w:r w:rsidRPr="00313E82">
        <w:rPr>
          <w:lang w:val="en-US"/>
        </w:rPr>
        <w:t>Taylor series representation</w:t>
      </w:r>
      <w:bookmarkEnd w:id="556"/>
      <w:bookmarkEnd w:id="557"/>
      <w:bookmarkEnd w:id="558"/>
      <w:bookmarkEnd w:id="559"/>
      <w:bookmarkEnd w:id="560"/>
      <w:r w:rsidRPr="00313E82">
        <w:rPr>
          <w:lang w:val="en-US"/>
        </w:rPr>
        <w:t xml:space="preserve"> </w:t>
      </w:r>
    </w:p>
    <w:p w:rsidR="000D2880" w:rsidRPr="00313E82" w:rsidRDefault="000D2880" w:rsidP="000D2880">
      <w:pPr>
        <w:spacing w:before="120" w:line="360" w:lineRule="auto"/>
        <w:rPr>
          <w:lang w:val="en-US"/>
        </w:rPr>
      </w:pPr>
      <w:r w:rsidRPr="00313E82">
        <w:rPr>
          <w:lang w:val="en-US"/>
        </w:rPr>
        <w:t xml:space="preserve">The Taylor series representation of the function </w:t>
      </w:r>
      <m:oMath>
        <m:r>
          <w:rPr>
            <w:rFonts w:ascii="Cambria Math" w:hAnsi="Cambria Math"/>
            <w:lang w:val="en-US"/>
          </w:rPr>
          <m:t>f</m:t>
        </m:r>
        <m:d>
          <m:dPr>
            <m:ctrlPr>
              <w:rPr>
                <w:rFonts w:ascii="Cambria Math" w:hAnsi="Cambria Math"/>
                <w:lang w:val="en-US"/>
              </w:rPr>
            </m:ctrlPr>
          </m:dPr>
          <m:e>
            <m:r>
              <m:rPr>
                <m:sty m:val="p"/>
              </m:rPr>
              <w:rPr>
                <w:rFonts w:ascii="Cambria Math" w:hAnsi="Cambria Math"/>
                <w:lang w:val="en-US"/>
              </w:rPr>
              <m:t>x</m:t>
            </m:r>
          </m:e>
        </m:d>
        <m:r>
          <m:rPr>
            <m:sty m:val="p"/>
          </m:rPr>
          <w:rPr>
            <w:rFonts w:ascii="Cambria Math" w:hAnsi="Cambria Math"/>
            <w:lang w:val="en-US"/>
          </w:rPr>
          <m:t>=</m:t>
        </m:r>
        <m:sSup>
          <m:sSupPr>
            <m:ctrlPr>
              <w:rPr>
                <w:rFonts w:ascii="Cambria Math" w:hAnsi="Cambria Math"/>
                <w:lang w:val="en-US"/>
              </w:rPr>
            </m:ctrlPr>
          </m:sSupPr>
          <m:e>
            <m:r>
              <m:rPr>
                <m:scr m:val="double-struck"/>
                <m:sty m:val="p"/>
              </m:rPr>
              <w:rPr>
                <w:rFonts w:ascii="Cambria Math" w:hAnsi="Cambria Math"/>
                <w:lang w:val="en-US"/>
              </w:rPr>
              <m:t>R</m:t>
            </m:r>
          </m:e>
          <m:sup>
            <m:r>
              <m:rPr>
                <m:sty m:val="p"/>
              </m:rPr>
              <w:rPr>
                <w:rFonts w:ascii="Cambria Math" w:hAnsi="Cambria Math"/>
                <w:lang w:val="en-US"/>
              </w:rPr>
              <m:t>n</m:t>
            </m:r>
          </m:sup>
        </m:sSup>
        <m:r>
          <m:rPr>
            <m:scr m:val="double-struck"/>
            <m:sty m:val="p"/>
          </m:rPr>
          <w:rPr>
            <w:rFonts w:ascii="Cambria Math" w:hAnsi="Cambria Math"/>
            <w:lang w:val="en-US"/>
          </w:rPr>
          <m:t>→R</m:t>
        </m:r>
      </m:oMath>
      <w:r w:rsidRPr="00313E82">
        <w:rPr>
          <w:lang w:val="en-US"/>
        </w:rPr>
        <w:t xml:space="preserve"> with respect to the change </w:t>
      </w:r>
      <m:oMath>
        <m:r>
          <m:rPr>
            <m:sty m:val="p"/>
          </m:rPr>
          <w:rPr>
            <w:rFonts w:ascii="Cambria Math" w:hAnsi="Cambria Math" w:hint="eastAsia"/>
            <w:lang w:val="en-US"/>
          </w:rPr>
          <m:t>Δ</m:t>
        </m:r>
        <m:sSub>
          <m:sSubPr>
            <m:ctrlPr>
              <w:rPr>
                <w:rFonts w:ascii="Cambria Math" w:hAnsi="Cambria Math"/>
                <w:lang w:val="en-US"/>
              </w:rPr>
            </m:ctrlPr>
          </m:sSubPr>
          <m:e>
            <m:r>
              <m:rPr>
                <m:sty m:val="p"/>
              </m:rPr>
              <w:rPr>
                <w:rFonts w:ascii="Cambria Math" w:hAnsi="Cambria Math"/>
                <w:lang w:val="en-US"/>
              </w:rPr>
              <m:t>x</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x</m:t>
            </m:r>
          </m:e>
          <m:sub>
            <m:r>
              <m:rPr>
                <m:sty m:val="p"/>
              </m:rPr>
              <w:rPr>
                <w:rFonts w:ascii="Cambria Math" w:hAnsi="Cambria Math"/>
                <w:lang w:val="en-US"/>
              </w:rPr>
              <m:t>i</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x</m:t>
            </m:r>
          </m:e>
          <m:sub>
            <m:r>
              <m:rPr>
                <m:sty m:val="p"/>
              </m:rPr>
              <w:rPr>
                <w:rFonts w:ascii="Cambria Math" w:hAnsi="Cambria Math"/>
                <w:lang w:val="en-US"/>
              </w:rPr>
              <m:t>i</m:t>
            </m:r>
          </m:sub>
          <m:sup>
            <m:r>
              <m:rPr>
                <m:sty m:val="p"/>
              </m:rPr>
              <w:rPr>
                <w:rFonts w:ascii="Cambria Math" w:hAnsi="Cambria Math"/>
                <w:lang w:val="en-US"/>
              </w:rPr>
              <m:t>0</m:t>
            </m:r>
          </m:sup>
        </m:sSubSup>
        <m:r>
          <m:rPr>
            <m:sty m:val="p"/>
          </m:rPr>
          <w:rPr>
            <w:rFonts w:ascii="Cambria Math" w:hAnsi="Cambria Math"/>
            <w:lang w:val="en-US"/>
          </w:rPr>
          <m:t xml:space="preserve"> i=1…n</m:t>
        </m:r>
      </m:oMath>
      <w:r w:rsidRPr="00313E82">
        <w:rPr>
          <w:lang w:val="en-US"/>
        </w:rPr>
        <w:t xml:space="preserve"> of the input variables is:</w:t>
      </w:r>
    </w:p>
    <w:p w:rsidR="000D2880" w:rsidRPr="00313E82" w:rsidRDefault="006E44B0" w:rsidP="000D2880">
      <w:pPr>
        <w:spacing w:before="120" w:line="360" w:lineRule="auto"/>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sup>
              <m:r>
                <w:rPr>
                  <w:rFonts w:ascii="Cambria Math" w:hAnsi="Cambria Math"/>
                  <w:lang w:val="en-US"/>
                </w:rPr>
                <m:t>0</m:t>
              </m:r>
            </m:sup>
          </m:sSubSup>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1</m:t>
                      </m:r>
                    </m:sup>
                    <m:e>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f</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e>
                      </m:d>
                    </m:e>
                  </m:nary>
                </m:e>
              </m:nary>
            </m:e>
          </m:nary>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n</m:t>
                      </m:r>
                    </m:sup>
                    <m:e>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f</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Δ</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e>
                  </m:nary>
                </m:e>
              </m:nary>
            </m:e>
          </m:nary>
          <m:r>
            <w:rPr>
              <w:rFonts w:ascii="Cambria Math" w:hAnsi="Cambria Math"/>
              <w:lang w:val="en-US"/>
            </w:rPr>
            <m:t xml:space="preserve">+... </m:t>
          </m:r>
        </m:oMath>
      </m:oMathPara>
    </w:p>
    <w:p w:rsidR="000D2880" w:rsidRPr="00313E82" w:rsidRDefault="000D2880" w:rsidP="000D2880">
      <w:pPr>
        <w:spacing w:before="120" w:line="360" w:lineRule="auto"/>
        <w:rPr>
          <w:lang w:val="en-US"/>
        </w:rPr>
      </w:pPr>
      <w:r w:rsidRPr="00313E82">
        <w:rPr>
          <w:lang w:val="en-US"/>
        </w:rPr>
        <w:lastRenderedPageBreak/>
        <w:t xml:space="preserve">where </w:t>
      </w:r>
      <m:oMath>
        <m:sSubSup>
          <m:sSubSupPr>
            <m:ctrlPr>
              <w:rPr>
                <w:rFonts w:ascii="Cambria Math" w:hAnsi="Cambria Math"/>
                <w:i/>
                <w:lang w:val="en-US"/>
              </w:rPr>
            </m:ctrlPr>
          </m:sSubSupPr>
          <m:e>
            <m:r>
              <w:rPr>
                <w:rFonts w:ascii="Cambria Math" w:hAnsi="Cambria Math"/>
                <w:lang w:val="en-US"/>
              </w:rPr>
              <m:t>f</m:t>
            </m:r>
          </m:e>
          <m:sub/>
          <m:sup>
            <m:r>
              <w:rPr>
                <w:rFonts w:ascii="Cambria Math" w:hAnsi="Cambria Math"/>
                <w:lang w:val="en-US"/>
              </w:rPr>
              <m:t>0</m:t>
            </m:r>
          </m:sup>
        </m:sSubSup>
        <m:r>
          <w:rPr>
            <w:rFonts w:ascii="Cambria Math" w:hAnsi="Cambria Math"/>
            <w:lang w:val="en-US"/>
          </w:rPr>
          <m:t>=f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0</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l</m:t>
                </m:r>
              </m:sub>
              <m:sup>
                <m:r>
                  <w:rPr>
                    <w:rFonts w:ascii="Cambria Math" w:hAnsi="Cambria Math"/>
                    <w:lang w:val="en-US"/>
                  </w:rPr>
                  <m:t>0</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n</m:t>
                </m:r>
              </m:sub>
              <m:sup>
                <m:r>
                  <w:rPr>
                    <w:rFonts w:ascii="Cambria Math" w:hAnsi="Cambria Math"/>
                    <w:lang w:val="en-US"/>
                  </w:rPr>
                  <m:t>0</m:t>
                </m:r>
              </m:sup>
            </m:sSubSup>
          </m:e>
        </m:d>
      </m:oMath>
      <w:r w:rsidRPr="00313E82">
        <w:rPr>
          <w:lang w:val="en-US"/>
        </w:rPr>
        <w:t xml:space="preserve">. </w:t>
      </w:r>
    </w:p>
    <w:p w:rsidR="000D2880" w:rsidRPr="00C94556" w:rsidRDefault="000D2880" w:rsidP="00C94556">
      <w:pPr>
        <w:pStyle w:val="Titre3"/>
        <w:numPr>
          <w:ilvl w:val="2"/>
          <w:numId w:val="40"/>
        </w:numPr>
        <w:rPr>
          <w:lang w:val="en-US"/>
        </w:rPr>
      </w:pPr>
      <w:bookmarkStart w:id="561" w:name="_Toc428956917"/>
      <w:bookmarkStart w:id="562" w:name="_Toc474430251"/>
      <w:r w:rsidRPr="00313E82">
        <w:rPr>
          <w:lang w:val="en-US"/>
        </w:rPr>
        <w:t>High Dimensional Model</w:t>
      </w:r>
      <w:bookmarkEnd w:id="561"/>
      <w:bookmarkEnd w:id="562"/>
    </w:p>
    <w:p w:rsidR="000D2880" w:rsidRPr="006E44B0" w:rsidRDefault="000D2880" w:rsidP="000D2880">
      <w:pPr>
        <w:spacing w:before="120" w:line="360" w:lineRule="auto"/>
        <w:rPr>
          <w:rFonts w:cs="Arial"/>
          <w:szCs w:val="18"/>
          <w:lang w:val="en-US"/>
        </w:rPr>
      </w:pPr>
      <w:r w:rsidRPr="006E44B0">
        <w:rPr>
          <w:rFonts w:cs="Arial"/>
          <w:szCs w:val="18"/>
          <w:lang w:val="en-US"/>
        </w:rPr>
        <w:t>Consider a function</w:t>
      </w:r>
      <m:oMath>
        <m:r>
          <w:rPr>
            <w:rFonts w:ascii="Cambria Math" w:hAnsi="Cambria Math" w:cs="Arial"/>
            <w:szCs w:val="18"/>
            <w:lang w:val="en-US"/>
          </w:rPr>
          <m:t xml:space="preserve">  </m:t>
        </m:r>
        <m:r>
          <w:rPr>
            <w:rFonts w:ascii="Cambria Math" w:hAnsi="Cambria Math"/>
            <w:szCs w:val="18"/>
            <w:lang w:val="en-US"/>
          </w:rPr>
          <m:t xml:space="preserve"> f</m:t>
        </m:r>
        <m:d>
          <m:dPr>
            <m:ctrlPr>
              <w:rPr>
                <w:rFonts w:ascii="Cambria Math" w:hAnsi="Cambria Math"/>
                <w:lang w:val="en-US"/>
              </w:rPr>
            </m:ctrlPr>
          </m:dPr>
          <m:e>
            <m:r>
              <m:rPr>
                <m:sty m:val="p"/>
              </m:rPr>
              <w:rPr>
                <w:rFonts w:ascii="Cambria Math" w:hAnsi="Cambria Math"/>
                <w:lang w:val="en-US"/>
              </w:rPr>
              <m:t>X</m:t>
            </m:r>
          </m:e>
        </m:d>
        <m:r>
          <m:rPr>
            <m:sty m:val="p"/>
          </m:rPr>
          <w:rPr>
            <w:rFonts w:ascii="Cambria Math" w:hAnsi="Cambria Math"/>
            <w:lang w:val="en-US"/>
          </w:rPr>
          <m:t>:</m:t>
        </m:r>
        <m:sSup>
          <m:sSupPr>
            <m:ctrlPr>
              <w:rPr>
                <w:rFonts w:ascii="Cambria Math" w:hAnsi="Cambria Math"/>
                <w:lang w:val="en-US"/>
              </w:rPr>
            </m:ctrlPr>
          </m:sSupPr>
          <m:e>
            <m:r>
              <m:rPr>
                <m:scr m:val="double-struck"/>
                <m:sty m:val="p"/>
              </m:rPr>
              <w:rPr>
                <w:rFonts w:ascii="Cambria Math" w:hAnsi="Cambria Math"/>
                <w:lang w:val="en-US"/>
              </w:rPr>
              <m:t>R</m:t>
            </m:r>
          </m:e>
          <m:sup>
            <m:r>
              <m:rPr>
                <m:sty m:val="p"/>
              </m:rPr>
              <w:rPr>
                <w:rFonts w:ascii="Cambria Math" w:hAnsi="Cambria Math"/>
                <w:lang w:val="en-US"/>
              </w:rPr>
              <m:t>n</m:t>
            </m:r>
          </m:sup>
        </m:sSup>
        <m:r>
          <m:rPr>
            <m:scr m:val="double-struck"/>
            <m:sty m:val="p"/>
          </m:rPr>
          <w:rPr>
            <w:rFonts w:ascii="Cambria Math" w:hAnsi="Cambria Math"/>
            <w:lang w:val="en-US"/>
          </w:rPr>
          <m:t>→R</m:t>
        </m:r>
      </m:oMath>
      <w:r w:rsidRPr="00313E82">
        <w:rPr>
          <w:lang w:val="en-US"/>
        </w:rPr>
        <w:t xml:space="preserve"> </w:t>
      </w:r>
      <w:r w:rsidRPr="006E44B0">
        <w:rPr>
          <w:rFonts w:cs="Arial"/>
          <w:szCs w:val="18"/>
          <w:lang w:val="en-US"/>
        </w:rPr>
        <w:t xml:space="preserve">of a random variable </w:t>
      </w:r>
      <m:oMath>
        <m:r>
          <w:rPr>
            <w:rFonts w:ascii="Cambria Math" w:hAnsi="Cambria Math"/>
            <w:lang w:val="en-US"/>
          </w:rPr>
          <m:t>Xϵ</m:t>
        </m:r>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m</m:t>
            </m:r>
          </m:sup>
        </m:sSup>
      </m:oMath>
      <w:r w:rsidRPr="006E44B0">
        <w:rPr>
          <w:rFonts w:cs="Arial"/>
          <w:szCs w:val="18"/>
          <w:lang w:val="en-US"/>
        </w:rPr>
        <w:t xml:space="preserve"> with a probability density function </w:t>
      </w:r>
      <w:r w:rsidR="009623FD">
        <w:rPr>
          <w:rFonts w:cs="Arial"/>
          <w:noProof/>
          <w:position w:val="-28"/>
          <w:szCs w:val="18"/>
        </w:rPr>
        <w:drawing>
          <wp:inline distT="0" distB="0" distL="0" distR="0" wp14:anchorId="04458687" wp14:editId="7A469300">
            <wp:extent cx="1295400" cy="381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6E44B0">
        <w:rPr>
          <w:rFonts w:cs="Arial"/>
          <w:szCs w:val="18"/>
          <w:lang w:val="en-US"/>
        </w:rPr>
        <w:t xml:space="preserve">. </w:t>
      </w:r>
    </w:p>
    <w:p w:rsidR="000D2880" w:rsidRPr="00313E82" w:rsidRDefault="000D2880" w:rsidP="000D2880">
      <w:pPr>
        <w:spacing w:before="120" w:line="360" w:lineRule="auto"/>
        <w:rPr>
          <w:lang w:val="en-US"/>
        </w:rPr>
      </w:pPr>
      <w:r w:rsidRPr="00313E82">
        <w:rPr>
          <w:lang w:val="en-US"/>
        </w:rPr>
        <w:t xml:space="preserve">According to the </w:t>
      </w:r>
      <w:r w:rsidR="006E44B0">
        <w:rPr>
          <w:lang w:val="en-US"/>
        </w:rPr>
        <w:t>h</w:t>
      </w:r>
      <w:r w:rsidR="006E44B0" w:rsidRPr="00313E82">
        <w:rPr>
          <w:lang w:val="en-US"/>
        </w:rPr>
        <w:t xml:space="preserve">igh </w:t>
      </w:r>
      <w:r w:rsidRPr="00313E82">
        <w:rPr>
          <w:lang w:val="en-US"/>
        </w:rPr>
        <w:t xml:space="preserve">dimensional model representation (HDMR),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w:r w:rsidRPr="00313E82">
        <w:rPr>
          <w:lang w:val="en-US"/>
        </w:rPr>
        <w:t xml:space="preserve"> can be written as the sum of terms which depend on an increasing number of input variables:</w:t>
      </w:r>
    </w:p>
    <w:p w:rsidR="000D2880" w:rsidRPr="00313E82" w:rsidRDefault="006E44B0" w:rsidP="000D2880">
      <w:pPr>
        <w:spacing w:before="120" w:line="360" w:lineRule="auto"/>
        <w:jc w:val="center"/>
        <w:rPr>
          <w:i/>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nary>
                    <m:naryPr>
                      <m:chr m:val="∑"/>
                      <m:limLoc m:val="undOvr"/>
                      <m:ctrlPr>
                        <w:rPr>
                          <w:rFonts w:ascii="Cambria Math" w:hAnsi="Cambria Math"/>
                          <w:i/>
                          <w:lang w:val="en-US"/>
                        </w:rPr>
                      </m:ctrlPr>
                    </m:naryPr>
                    <m:sub>
                      <m:r>
                        <w:rPr>
                          <w:rFonts w:ascii="Cambria Math" w:hAnsi="Cambria Math"/>
                          <w:lang w:val="en-US"/>
                        </w:rPr>
                        <m:t>j=i+1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ij</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e>
                      </m:d>
                      <m:r>
                        <w:rPr>
                          <w:rFonts w:ascii="Cambria Math" w:hAnsi="Cambria Math"/>
                          <w:lang w:val="en-US"/>
                        </w:rPr>
                        <m:t>+. . .+</m:t>
                      </m:r>
                    </m:e>
                  </m:nary>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e>
              </m:nary>
            </m:e>
          </m:nary>
        </m:oMath>
      </m:oMathPara>
    </w:p>
    <w:p w:rsidR="000D2880" w:rsidRPr="006E44B0" w:rsidRDefault="000D2880" w:rsidP="000D2880">
      <w:pPr>
        <w:spacing w:before="120" w:line="360" w:lineRule="auto"/>
        <w:rPr>
          <w:rFonts w:cs="Arial"/>
          <w:sz w:val="20"/>
          <w:szCs w:val="20"/>
          <w:lang w:val="en-US"/>
        </w:rPr>
      </w:pPr>
      <w:r w:rsidRPr="00313E82">
        <w:rPr>
          <w:lang w:val="en-US"/>
        </w:rPr>
        <w:t xml:space="preserve">The constant term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oMath>
      <w:r w:rsidRPr="00313E82">
        <w:rPr>
          <w:i/>
          <w:lang w:val="en-US"/>
        </w:rPr>
        <w:t xml:space="preserve"> </w:t>
      </w:r>
      <w:r w:rsidRPr="00313E82">
        <w:rPr>
          <w:lang w:val="en-US"/>
        </w:rPr>
        <w:t xml:space="preserve">corresponds to the average value of </w:t>
      </w:r>
      <m:oMath>
        <m:r>
          <m:rPr>
            <m:sty m:val="p"/>
          </m:rPr>
          <w:rPr>
            <w:rFonts w:ascii="Cambria Math" w:hAnsi="Cambria Math"/>
            <w:lang w:val="en-US"/>
          </w:rPr>
          <m:t>f</m:t>
        </m:r>
        <m:d>
          <m:dPr>
            <m:ctrlPr>
              <w:rPr>
                <w:rFonts w:ascii="Cambria Math" w:hAnsi="Cambria Math"/>
                <w:lang w:val="en-US"/>
              </w:rPr>
            </m:ctrlPr>
          </m:dPr>
          <m:e>
            <m:r>
              <m:rPr>
                <m:sty m:val="p"/>
              </m:rPr>
              <w:rPr>
                <w:rFonts w:ascii="Cambria Math" w:hAnsi="Cambria Math"/>
                <w:lang w:val="en-US"/>
              </w:rPr>
              <m:t>x</m:t>
            </m:r>
          </m:e>
        </m:d>
      </m:oMath>
      <w:r w:rsidRPr="00313E82">
        <w:rPr>
          <w:lang w:val="en-US"/>
        </w:rPr>
        <w:t xml:space="preserve"> with respect to all variables:</w:t>
      </w:r>
      <w:r w:rsidRPr="006E44B0">
        <w:rPr>
          <w:rFonts w:cs="Arial"/>
          <w:sz w:val="20"/>
          <w:szCs w:val="20"/>
          <w:lang w:val="en-US"/>
        </w:rPr>
        <w:t xml:space="preserve"> </w:t>
      </w:r>
    </w:p>
    <w:p w:rsidR="000D2880" w:rsidRPr="00313E82" w:rsidRDefault="0043746A" w:rsidP="000D2880">
      <w:pPr>
        <w:spacing w:before="120" w:line="360" w:lineRule="auto"/>
        <w:rPr>
          <w:rFonts w:ascii="Cambria Math" w:hAnsi="Cambria Math"/>
          <w:i/>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r>
            <w:rPr>
              <w:rFonts w:ascii="Cambria Math" w:hAnsi="Cambria Math"/>
              <w:lang w:val="en-US"/>
            </w:rPr>
            <m:t>=</m:t>
          </m:r>
          <m:nary>
            <m:naryPr>
              <m:limLoc m:val="undOvr"/>
              <m:subHide m:val="1"/>
              <m:supHide m:val="1"/>
              <m:ctrlPr>
                <w:rPr>
                  <w:rFonts w:ascii="Cambria Math" w:hAnsi="Cambria Math"/>
                  <w:i/>
                  <w:lang w:val="en-US"/>
                </w:rPr>
              </m:ctrlPr>
            </m:naryPr>
            <m:sub/>
            <m:sup/>
            <m:e>
              <m:r>
                <w:rPr>
                  <w:rFonts w:ascii="Cambria Math" w:hAnsi="Cambria Math"/>
                  <w:lang w:val="en-US"/>
                </w:rPr>
                <m:t>φ(X)∙</m:t>
              </m:r>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nary>
            </m:e>
          </m:nary>
        </m:oMath>
      </m:oMathPara>
    </w:p>
    <w:p w:rsidR="000D2880" w:rsidRPr="006E44B0" w:rsidRDefault="000D2880" w:rsidP="000D2880">
      <w:pPr>
        <w:spacing w:before="120" w:line="360" w:lineRule="auto"/>
        <w:rPr>
          <w:rFonts w:cs="Arial"/>
          <w:sz w:val="20"/>
          <w:szCs w:val="20"/>
          <w:lang w:val="en-US"/>
        </w:rPr>
      </w:pPr>
      <w:r w:rsidRPr="00313E82">
        <w:rPr>
          <w:lang w:val="en-US"/>
        </w:rPr>
        <w:t xml:space="preserve">The </w:t>
      </w:r>
      <w:r w:rsidRPr="00313E82">
        <w:rPr>
          <w:i/>
          <w:lang w:val="en-US"/>
        </w:rPr>
        <w:t>n</w:t>
      </w:r>
      <w:r w:rsidRPr="00313E82">
        <w:rPr>
          <w:lang w:val="en-US"/>
        </w:rPr>
        <w:t xml:space="preserve"> terms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oMath>
      <w:r w:rsidRPr="00313E82">
        <w:rPr>
          <w:lang w:val="en-US"/>
        </w:rPr>
        <w:t xml:space="preserve"> are the "</w:t>
      </w:r>
      <w:r w:rsidR="006E44B0">
        <w:rPr>
          <w:lang w:val="en-US"/>
        </w:rPr>
        <w:t>m</w:t>
      </w:r>
      <w:r w:rsidR="006E44B0" w:rsidRPr="00313E82">
        <w:rPr>
          <w:lang w:val="en-US"/>
        </w:rPr>
        <w:t xml:space="preserve">ain </w:t>
      </w:r>
      <w:r w:rsidRPr="00313E82">
        <w:rPr>
          <w:lang w:val="en-US"/>
        </w:rPr>
        <w:t xml:space="preserve">effects"; each term depends on a single variable and is the difference between the average value of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w:r w:rsidRPr="00313E82">
        <w:rPr>
          <w:lang w:val="en-US"/>
        </w:rPr>
        <w:t xml:space="preserve"> with respect to all the variables but the one at issue (which is fixed) and the constant term</w:t>
      </w:r>
      <w:r w:rsidRPr="006E44B0">
        <w:rPr>
          <w:rFonts w:cs="Arial"/>
          <w:sz w:val="20"/>
          <w:szCs w:val="20"/>
          <w:lang w:val="en-US"/>
        </w:rPr>
        <w:t>:</w:t>
      </w:r>
    </w:p>
    <w:p w:rsidR="000D2880" w:rsidRPr="006E44B0" w:rsidRDefault="0043746A" w:rsidP="000D2880">
      <w:pPr>
        <w:spacing w:before="120" w:line="360" w:lineRule="auto"/>
        <w:jc w:val="center"/>
        <w:rPr>
          <w:rFonts w:cs="Arial"/>
          <w:i/>
          <w:sz w:val="20"/>
          <w:szCs w:val="20"/>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r>
            <w:rPr>
              <w:rFonts w:ascii="Cambria Math" w:hAnsi="Cambria Math"/>
              <w:lang w:val="en-US"/>
            </w:rPr>
            <m:t>=</m:t>
          </m:r>
          <m:nary>
            <m:naryPr>
              <m:limLoc m:val="undOvr"/>
              <m:subHide m:val="1"/>
              <m:supHide m:val="1"/>
              <m:ctrlPr>
                <w:rPr>
                  <w:rFonts w:ascii="Cambria Math" w:hAnsi="Cambria Math"/>
                  <w:i/>
                  <w:lang w:val="en-US"/>
                </w:rPr>
              </m:ctrlPr>
            </m:naryPr>
            <m:sub/>
            <m:sup/>
            <m:e>
              <m:r>
                <w:rPr>
                  <w:rFonts w:ascii="Cambria Math" w:hAnsi="Cambria Math"/>
                  <w:lang w:val="en-US"/>
                </w:rPr>
                <m:t>f(X)∙</m:t>
              </m:r>
              <m:nary>
                <m:naryPr>
                  <m:chr m:val="∏"/>
                  <m:limLoc m:val="undOvr"/>
                  <m:ctrlPr>
                    <w:rPr>
                      <w:rFonts w:ascii="Cambria Math" w:hAnsi="Cambria Math"/>
                      <w:i/>
                      <w:lang w:val="en-US"/>
                    </w:rPr>
                  </m:ctrlPr>
                </m:naryPr>
                <m:sub>
                  <m:eqArr>
                    <m:eqArrPr>
                      <m:ctrlPr>
                        <w:rPr>
                          <w:rFonts w:ascii="Cambria Math" w:hAnsi="Cambria Math"/>
                          <w:i/>
                          <w:lang w:val="en-US"/>
                        </w:rPr>
                      </m:ctrlPr>
                    </m:eqArrPr>
                    <m:e>
                      <m:r>
                        <w:rPr>
                          <w:rFonts w:ascii="Cambria Math" w:hAnsi="Cambria Math"/>
                          <w:lang w:val="en-US"/>
                        </w:rPr>
                        <m:t>k=1</m:t>
                      </m:r>
                    </m:e>
                    <m:e>
                      <m:r>
                        <w:rPr>
                          <w:rFonts w:ascii="Cambria Math" w:hAnsi="Cambria Math"/>
                          <w:lang w:val="en-US"/>
                        </w:rPr>
                        <m:t>k≠i</m:t>
                      </m:r>
                    </m:e>
                  </m:eqAr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nary>
            </m:e>
          </m:nary>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0</m:t>
              </m:r>
            </m:sub>
          </m:sSub>
        </m:oMath>
      </m:oMathPara>
    </w:p>
    <w:p w:rsidR="000D2880" w:rsidRPr="006E44B0" w:rsidRDefault="000D2880" w:rsidP="000D2880">
      <w:pPr>
        <w:spacing w:before="120" w:line="360" w:lineRule="auto"/>
        <w:rPr>
          <w:rFonts w:cs="Arial"/>
          <w:sz w:val="20"/>
          <w:szCs w:val="20"/>
          <w:lang w:val="en-US"/>
        </w:rPr>
      </w:pPr>
      <w:r w:rsidRPr="00313E82">
        <w:rPr>
          <w:lang w:val="en-US"/>
        </w:rPr>
        <w:t xml:space="preserve">The </w:t>
      </w:r>
      <m:oMath>
        <m:f>
          <m:fPr>
            <m:ctrlPr>
              <w:rPr>
                <w:rFonts w:ascii="Cambria Math" w:hAnsi="Cambria Math"/>
                <w:lang w:val="en-US"/>
              </w:rPr>
            </m:ctrlPr>
          </m:fPr>
          <m:num>
            <m:r>
              <w:rPr>
                <w:rFonts w:ascii="Cambria Math" w:hAnsi="Cambria Math"/>
                <w:lang w:val="en-US"/>
              </w:rPr>
              <m:t>n</m:t>
            </m:r>
            <m:d>
              <m:dPr>
                <m:ctrlPr>
                  <w:rPr>
                    <w:rFonts w:ascii="Cambria Math" w:hAnsi="Cambria Math"/>
                    <w:i/>
                    <w:lang w:val="en-US"/>
                  </w:rPr>
                </m:ctrlPr>
              </m:dPr>
              <m:e>
                <m:r>
                  <w:rPr>
                    <w:rFonts w:ascii="Cambria Math" w:hAnsi="Cambria Math"/>
                    <w:lang w:val="en-US"/>
                  </w:rPr>
                  <m:t>n-1</m:t>
                </m:r>
              </m:e>
            </m:d>
            <m:ctrlPr>
              <w:rPr>
                <w:rFonts w:ascii="Cambria Math" w:hAnsi="Cambria Math"/>
                <w:i/>
                <w:lang w:val="en-US"/>
              </w:rPr>
            </m:ctrlPr>
          </m:num>
          <m:den>
            <m:r>
              <w:rPr>
                <w:rFonts w:ascii="Cambria Math" w:hAnsi="Cambria Math"/>
                <w:lang w:val="en-US"/>
              </w:rPr>
              <m:t>2</m:t>
            </m:r>
          </m:den>
        </m:f>
      </m:oMath>
      <w:r w:rsidRPr="00313E82">
        <w:rPr>
          <w:lang w:val="en-US"/>
        </w:rPr>
        <w:t xml:space="preserve"> terms</w:t>
      </w:r>
      <w:r w:rsidRPr="00C94556">
        <w:rPr>
          <w:rFonts w:cs="Arial"/>
          <w:sz w:val="20"/>
          <w:szCs w:val="20"/>
          <w:lang w:val="en-US"/>
        </w:rPr>
        <w:t xml:space="preserve"> </w:t>
      </w:r>
      <m:oMath>
        <m:sSub>
          <m:sSubPr>
            <m:ctrlPr>
              <w:rPr>
                <w:rFonts w:ascii="Cambria Math" w:hAnsi="Cambria Math" w:cs="Arial"/>
                <w:i/>
                <w:lang w:val="en-US"/>
              </w:rPr>
            </m:ctrlPr>
          </m:sSubPr>
          <m:e>
            <m:r>
              <w:rPr>
                <w:rFonts w:ascii="Cambria Math" w:hAnsi="Cambria Math" w:cs="Arial"/>
                <w:sz w:val="20"/>
                <w:szCs w:val="20"/>
                <w:lang w:val="en-US"/>
              </w:rPr>
              <m:t>f</m:t>
            </m:r>
          </m:e>
          <m:sub>
            <m:r>
              <w:rPr>
                <w:rFonts w:ascii="Cambria Math" w:hAnsi="Cambria Math" w:cs="Arial"/>
                <w:sz w:val="20"/>
                <w:szCs w:val="20"/>
                <w:lang w:val="en-US"/>
              </w:rPr>
              <m:t>ij</m:t>
            </m:r>
          </m:sub>
        </m:sSub>
      </m:oMath>
      <w:r w:rsidRPr="00C94556">
        <w:rPr>
          <w:rFonts w:cs="Arial"/>
          <w:sz w:val="20"/>
          <w:szCs w:val="20"/>
          <w:lang w:val="en-US"/>
        </w:rPr>
        <w:t xml:space="preserve"> </w:t>
      </w:r>
      <w:r w:rsidRPr="00313E82">
        <w:rPr>
          <w:lang w:val="en-US"/>
        </w:rPr>
        <w:t>are the “</w:t>
      </w:r>
      <w:r w:rsidR="006E44B0">
        <w:rPr>
          <w:lang w:val="en-US"/>
        </w:rPr>
        <w:t>s</w:t>
      </w:r>
      <w:r w:rsidR="006E44B0" w:rsidRPr="00313E82">
        <w:rPr>
          <w:lang w:val="en-US"/>
        </w:rPr>
        <w:t xml:space="preserve">econd </w:t>
      </w:r>
      <w:r w:rsidRPr="00313E82">
        <w:rPr>
          <w:lang w:val="en-US"/>
        </w:rPr>
        <w:t>order interaction”; each term depends on two variables and is the difference between the average value of</w:t>
      </w:r>
      <w:r w:rsidRPr="006E44B0">
        <w:rPr>
          <w:rFonts w:cs="Arial"/>
          <w:sz w:val="20"/>
          <w:szCs w:val="20"/>
          <w:lang w:val="en-US"/>
        </w:rPr>
        <w:t xml:space="preserve">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w:r w:rsidRPr="006E44B0">
        <w:rPr>
          <w:rFonts w:cs="Arial"/>
          <w:sz w:val="20"/>
          <w:szCs w:val="20"/>
          <w:lang w:val="en-US"/>
        </w:rPr>
        <w:t xml:space="preserve"> </w:t>
      </w:r>
      <w:r w:rsidRPr="00313E82">
        <w:rPr>
          <w:lang w:val="en-US"/>
        </w:rPr>
        <w:t>with respect to all the variables but the two variables at issue (which are fixed) and the terms previously estimated (Main effects and constant term):</w:t>
      </w:r>
      <w:r w:rsidRPr="006E44B0">
        <w:rPr>
          <w:rFonts w:cs="Arial"/>
          <w:sz w:val="20"/>
          <w:szCs w:val="20"/>
          <w:lang w:val="en-US"/>
        </w:rPr>
        <w:t xml:space="preserve"> </w:t>
      </w:r>
    </w:p>
    <w:p w:rsidR="000D2880" w:rsidRPr="006E44B0" w:rsidRDefault="0043746A" w:rsidP="000D2880">
      <w:pPr>
        <w:spacing w:before="120" w:line="360" w:lineRule="auto"/>
        <w:rPr>
          <w:rFonts w:cs="Arial"/>
          <w:sz w:val="20"/>
          <w:szCs w:val="20"/>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ij</m:t>
              </m:r>
            </m:sub>
          </m:sSub>
          <m:r>
            <w:rPr>
              <w:rFonts w:ascii="Cambria Math" w:hAnsi="Cambria Math"/>
              <w:lang w:val="en-US"/>
            </w:rPr>
            <m:t>=</m:t>
          </m:r>
          <m:nary>
            <m:naryPr>
              <m:limLoc m:val="undOvr"/>
              <m:subHide m:val="1"/>
              <m:supHide m:val="1"/>
              <m:ctrlPr>
                <w:rPr>
                  <w:rFonts w:ascii="Cambria Math" w:hAnsi="Cambria Math"/>
                  <w:i/>
                  <w:lang w:val="en-US"/>
                </w:rPr>
              </m:ctrlPr>
            </m:naryPr>
            <m:sub/>
            <m:sup/>
            <m:e>
              <m:r>
                <w:rPr>
                  <w:rFonts w:ascii="Cambria Math" w:hAnsi="Cambria Math"/>
                  <w:lang w:val="en-US"/>
                </w:rPr>
                <m:t>f(X)∙</m:t>
              </m:r>
              <m:nary>
                <m:naryPr>
                  <m:chr m:val="∏"/>
                  <m:limLoc m:val="undOvr"/>
                  <m:ctrlPr>
                    <w:rPr>
                      <w:rFonts w:ascii="Cambria Math" w:hAnsi="Cambria Math"/>
                      <w:i/>
                      <w:lang w:val="en-US"/>
                    </w:rPr>
                  </m:ctrlPr>
                </m:naryPr>
                <m:sub>
                  <m:eqArr>
                    <m:eqArrPr>
                      <m:ctrlPr>
                        <w:rPr>
                          <w:rFonts w:ascii="Cambria Math" w:hAnsi="Cambria Math"/>
                          <w:i/>
                          <w:lang w:val="en-US"/>
                        </w:rPr>
                      </m:ctrlPr>
                    </m:eqArrPr>
                    <m:e>
                      <m:r>
                        <w:rPr>
                          <w:rFonts w:ascii="Cambria Math" w:hAnsi="Cambria Math"/>
                          <w:lang w:val="en-US"/>
                        </w:rPr>
                        <m:t>k=1</m:t>
                      </m:r>
                    </m:e>
                    <m:e>
                      <m:r>
                        <w:rPr>
                          <w:rFonts w:ascii="Cambria Math" w:hAnsi="Cambria Math"/>
                          <w:lang w:val="en-US"/>
                        </w:rPr>
                        <m:t>k≠i,j</m:t>
                      </m:r>
                    </m:e>
                  </m:eqAr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nary>
            </m:e>
          </m:nary>
          <m:r>
            <w:rPr>
              <w:rFonts w:ascii="Cambria Math" w:hAnsi="Cambria Math" w:cs="Arial"/>
              <w:lang w:val="en-US"/>
            </w:rPr>
            <m:t>-</m:t>
          </m:r>
          <m:sSub>
            <m:sSubPr>
              <m:ctrlPr>
                <w:rPr>
                  <w:rFonts w:ascii="Cambria Math" w:hAnsi="Cambria Math" w:cs="Arial"/>
                  <w:i/>
                  <w:lang w:val="en-US"/>
                </w:rPr>
              </m:ctrlPr>
            </m:sSubPr>
            <m:e>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j</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j</m:t>
                  </m:r>
                </m:sub>
              </m:sSub>
              <m:r>
                <w:rPr>
                  <w:rFonts w:ascii="Cambria Math" w:hAnsi="Cambria Math" w:cs="Arial"/>
                  <w:lang w:val="en-US"/>
                </w:rPr>
                <m:t>)-f</m:t>
              </m:r>
            </m:e>
            <m:sub>
              <m:r>
                <w:rPr>
                  <w:rFonts w:ascii="Cambria Math" w:hAnsi="Cambria Math" w:cs="Arial"/>
                  <w:lang w:val="en-US"/>
                </w:rPr>
                <m:t>0</m:t>
              </m:r>
            </m:sub>
          </m:sSub>
        </m:oMath>
      </m:oMathPara>
    </w:p>
    <w:p w:rsidR="000D2880" w:rsidRPr="00313E82" w:rsidRDefault="000D2880" w:rsidP="000D2880">
      <w:pPr>
        <w:rPr>
          <w:lang w:val="en-US"/>
        </w:rPr>
      </w:pPr>
      <w:r w:rsidRPr="00313E82">
        <w:rPr>
          <w:lang w:val="en-US"/>
        </w:rPr>
        <w:t>In general, the interaction term</w:t>
      </w:r>
      <w:r w:rsidRPr="00C94556">
        <w:rPr>
          <w:rFonts w:cs="Arial"/>
          <w:sz w:val="20"/>
          <w:szCs w:val="20"/>
          <w:lang w:val="en-US"/>
        </w:rPr>
        <w:t xml:space="preserve"> </w:t>
      </w:r>
      <m:oMath>
        <m:sSub>
          <m:sSubPr>
            <m:ctrlPr>
              <w:rPr>
                <w:rFonts w:ascii="Cambria Math" w:hAnsi="Cambria Math" w:cs="Arial"/>
                <w:i/>
                <w:lang w:val="en-US"/>
              </w:rPr>
            </m:ctrlPr>
          </m:sSubPr>
          <m:e>
            <m:r>
              <w:rPr>
                <w:rFonts w:ascii="Cambria Math" w:hAnsi="Cambria Math" w:cs="Arial"/>
                <w:sz w:val="20"/>
                <w:szCs w:val="20"/>
                <w:lang w:val="en-US"/>
              </w:rPr>
              <m:t>f</m:t>
            </m:r>
          </m:e>
          <m:sub>
            <m:r>
              <w:rPr>
                <w:rFonts w:ascii="Cambria Math" w:hAnsi="Cambria Math" w:cs="Arial"/>
                <w:sz w:val="20"/>
                <w:szCs w:val="20"/>
                <w:lang w:val="en-US"/>
              </w:rPr>
              <m:t>i…m</m:t>
            </m:r>
          </m:sub>
        </m:sSub>
      </m:oMath>
      <w:r w:rsidRPr="00C94556">
        <w:rPr>
          <w:rFonts w:cs="Arial"/>
          <w:position w:val="-12"/>
          <w:sz w:val="20"/>
          <w:szCs w:val="20"/>
          <w:lang w:val="en-US"/>
        </w:rPr>
        <w:t xml:space="preserve"> </w:t>
      </w:r>
      <w:r w:rsidRPr="00313E82">
        <w:rPr>
          <w:lang w:val="en-US"/>
        </w:rPr>
        <w:t xml:space="preserve">is the difference between the average value of </w:t>
      </w:r>
      <m:oMath>
        <m:r>
          <w:rPr>
            <w:rFonts w:ascii="Cambria Math" w:hAnsi="Cambria Math"/>
            <w:lang w:val="en-US"/>
          </w:rPr>
          <m:t>φ</m:t>
        </m:r>
        <m:r>
          <w:rPr>
            <w:rFonts w:ascii="Cambria Math" w:hAnsi="Cambria Math" w:cs="Arial"/>
            <w:sz w:val="20"/>
            <w:szCs w:val="20"/>
            <w:lang w:val="en-US"/>
          </w:rPr>
          <m:t>(X)</m:t>
        </m:r>
      </m:oMath>
      <w:r w:rsidRPr="00313E82">
        <w:rPr>
          <w:lang w:val="en-US"/>
        </w:rPr>
        <w:t xml:space="preserve"> with respect to all the remaining variables </w:t>
      </w:r>
      <m:oMath>
        <m:r>
          <w:rPr>
            <w:rFonts w:ascii="Cambria Math" w:hAnsi="Cambria Math" w:cs="Arial"/>
            <w:sz w:val="20"/>
            <w:szCs w:val="20"/>
            <w:lang w:val="en-US"/>
          </w:rPr>
          <m:t>n-m</m:t>
        </m:r>
      </m:oMath>
      <w:r w:rsidRPr="00C94556">
        <w:rPr>
          <w:sz w:val="20"/>
          <w:szCs w:val="20"/>
          <w:lang w:val="en-US"/>
        </w:rPr>
        <w:t xml:space="preserve"> </w:t>
      </w:r>
      <w:r w:rsidRPr="00313E82">
        <w:rPr>
          <w:lang w:val="en-US"/>
        </w:rPr>
        <w:t>and the contribution due to any lower order terms.</w:t>
      </w:r>
    </w:p>
    <w:p w:rsidR="000D2880" w:rsidRPr="00313E82" w:rsidRDefault="000D2880" w:rsidP="000D2880">
      <w:pPr>
        <w:rPr>
          <w:lang w:val="en-US"/>
        </w:rPr>
      </w:pPr>
    </w:p>
    <w:p w:rsidR="000D2880" w:rsidRPr="00313E82" w:rsidRDefault="000D2880" w:rsidP="003E0644">
      <w:pPr>
        <w:rPr>
          <w:lang w:val="en-US"/>
        </w:rPr>
      </w:pPr>
    </w:p>
    <w:p w:rsidR="00AE198A" w:rsidRPr="00313E82" w:rsidRDefault="00AE198A" w:rsidP="00AE198A">
      <w:pPr>
        <w:rPr>
          <w:lang w:val="en-US"/>
        </w:rPr>
      </w:pPr>
    </w:p>
    <w:p w:rsidR="00872B08" w:rsidRPr="00313E82" w:rsidRDefault="00872B08" w:rsidP="009A1C44">
      <w:pPr>
        <w:rPr>
          <w:lang w:val="en-US"/>
        </w:rPr>
        <w:sectPr w:rsidR="00872B08" w:rsidRPr="00313E82" w:rsidSect="0042104F">
          <w:headerReference w:type="even" r:id="rId35"/>
          <w:headerReference w:type="first" r:id="rId36"/>
          <w:pgSz w:w="11907" w:h="16840" w:code="9"/>
          <w:pgMar w:top="1304" w:right="1134" w:bottom="1588" w:left="567" w:header="567" w:footer="0" w:gutter="851"/>
          <w:cols w:space="380"/>
          <w:noEndnote/>
        </w:sectPr>
      </w:pPr>
      <w:bookmarkStart w:id="563" w:name="_Toc279080504"/>
      <w:bookmarkStart w:id="564" w:name="_Toc279080506"/>
      <w:bookmarkStart w:id="565" w:name="_Toc279080507"/>
      <w:bookmarkEnd w:id="563"/>
      <w:bookmarkEnd w:id="564"/>
      <w:bookmarkEnd w:id="565"/>
    </w:p>
    <w:p w:rsidR="00AF7197" w:rsidRPr="00853725" w:rsidRDefault="00872B08" w:rsidP="00AF7197">
      <w:pPr>
        <w:pStyle w:val="Titre1"/>
        <w:rPr>
          <w:lang w:val="en-US"/>
        </w:rPr>
      </w:pPr>
      <w:bookmarkStart w:id="566" w:name="_Ref305145158"/>
      <w:bookmarkStart w:id="567" w:name="_Toc474430252"/>
      <w:r w:rsidRPr="00853725">
        <w:rPr>
          <w:lang w:val="en-US"/>
        </w:rPr>
        <w:lastRenderedPageBreak/>
        <w:t>Appendix</w:t>
      </w:r>
      <w:r w:rsidR="002D3B69" w:rsidRPr="00853725">
        <w:rPr>
          <w:lang w:val="en-US"/>
        </w:rPr>
        <w:t xml:space="preserve"> B</w:t>
      </w:r>
      <w:r w:rsidRPr="00853725">
        <w:rPr>
          <w:lang w:val="en-US"/>
        </w:rPr>
        <w:t xml:space="preserve">: </w:t>
      </w:r>
      <w:bookmarkStart w:id="568" w:name="_Toc435438141"/>
      <w:bookmarkEnd w:id="566"/>
      <w:r w:rsidR="00AF7197" w:rsidRPr="00853725">
        <w:rPr>
          <w:lang w:val="en-US"/>
        </w:rPr>
        <w:t>Appendix B: Nuclear power plant Risk</w:t>
      </w:r>
      <w:r w:rsidR="006565BB" w:rsidRPr="00853725">
        <w:rPr>
          <w:lang w:val="en-US"/>
        </w:rPr>
        <w:t>s</w:t>
      </w:r>
      <w:r w:rsidR="00AF7197" w:rsidRPr="00853725">
        <w:rPr>
          <w:lang w:val="en-US"/>
        </w:rPr>
        <w:t xml:space="preserve"> </w:t>
      </w:r>
      <w:bookmarkEnd w:id="568"/>
      <w:r w:rsidR="00A97367" w:rsidRPr="00853725">
        <w:rPr>
          <w:lang w:val="en-US"/>
        </w:rPr>
        <w:t>(from CCA)</w:t>
      </w:r>
      <w:bookmarkEnd w:id="567"/>
      <w:r w:rsidR="00C57ED4" w:rsidRPr="00CF57A4">
        <w:rPr>
          <w:lang w:val="en-US"/>
        </w:rPr>
        <w:t xml:space="preserve"> </w:t>
      </w:r>
    </w:p>
    <w:p w:rsidR="00AF7197" w:rsidRPr="00313E82" w:rsidRDefault="00AF7197" w:rsidP="00AF7197">
      <w:pPr>
        <w:pStyle w:val="NormalText"/>
        <w:rPr>
          <w:color w:val="000000"/>
        </w:rPr>
      </w:pPr>
    </w:p>
    <w:p w:rsidR="00AF7197" w:rsidRPr="00313E82" w:rsidRDefault="00AF7197" w:rsidP="00AF7197">
      <w:pPr>
        <w:rPr>
          <w:lang w:val="en-US"/>
        </w:rPr>
      </w:pPr>
      <w:r w:rsidRPr="00313E82">
        <w:rPr>
          <w:lang w:val="en-US"/>
        </w:rPr>
        <w:t>This appendix provides further background on potential effects of accidental releases, which should be considered for the definition</w:t>
      </w:r>
      <w:r w:rsidR="00BB6D0E" w:rsidRPr="00313E82">
        <w:rPr>
          <w:lang w:val="en-US"/>
        </w:rPr>
        <w:t xml:space="preserve"> and interpretation</w:t>
      </w:r>
      <w:r w:rsidRPr="00313E82">
        <w:rPr>
          <w:lang w:val="en-US"/>
        </w:rPr>
        <w:t xml:space="preserve"> of </w:t>
      </w:r>
      <w:r w:rsidR="00BB6D0E" w:rsidRPr="00313E82">
        <w:rPr>
          <w:lang w:val="en-US"/>
        </w:rPr>
        <w:t xml:space="preserve">PSA </w:t>
      </w:r>
      <w:r w:rsidRPr="00313E82">
        <w:rPr>
          <w:lang w:val="en-US"/>
        </w:rPr>
        <w:t>L</w:t>
      </w:r>
      <w:r w:rsidR="00BB6D0E" w:rsidRPr="00313E82">
        <w:rPr>
          <w:lang w:val="en-US"/>
        </w:rPr>
        <w:t xml:space="preserve">evel </w:t>
      </w:r>
      <w:r w:rsidRPr="00313E82">
        <w:rPr>
          <w:lang w:val="en-US"/>
        </w:rPr>
        <w:t>2</w:t>
      </w:r>
      <w:r w:rsidR="00BB6D0E" w:rsidRPr="00313E82">
        <w:rPr>
          <w:lang w:val="en-US"/>
        </w:rPr>
        <w:t xml:space="preserve"> and Level 2</w:t>
      </w:r>
      <w:r w:rsidRPr="00313E82">
        <w:rPr>
          <w:lang w:val="en-US"/>
        </w:rPr>
        <w:t xml:space="preserve">+ </w:t>
      </w:r>
      <w:r w:rsidR="00BB6D0E" w:rsidRPr="00313E82">
        <w:rPr>
          <w:lang w:val="en-US"/>
        </w:rPr>
        <w:t xml:space="preserve">risk </w:t>
      </w:r>
      <w:r w:rsidRPr="00313E82">
        <w:rPr>
          <w:lang w:val="en-US"/>
        </w:rPr>
        <w:t>measures.</w:t>
      </w:r>
    </w:p>
    <w:p w:rsidR="00AF7197" w:rsidRPr="00313E82" w:rsidRDefault="00AF7197" w:rsidP="00AF7197">
      <w:pPr>
        <w:rPr>
          <w:lang w:val="en-US"/>
        </w:rPr>
      </w:pPr>
    </w:p>
    <w:p w:rsidR="00AF7197" w:rsidRPr="00313E82" w:rsidRDefault="00AF7197" w:rsidP="00AF7197">
      <w:pPr>
        <w:rPr>
          <w:lang w:val="en-US"/>
        </w:rPr>
      </w:pPr>
      <w:r w:rsidRPr="00313E82">
        <w:rPr>
          <w:lang w:val="en-US"/>
        </w:rPr>
        <w:t>According to [B.2] “More than five millions people live in areas of Belarus, Russia and Ukraine that are classified as ‘contaminated’ with radionuclides due to the Chernobyl accident (above 37 kBq/m</w:t>
      </w:r>
      <w:r w:rsidRPr="00313E82">
        <w:rPr>
          <w:vertAlign w:val="superscript"/>
          <w:lang w:val="en-US"/>
        </w:rPr>
        <w:t>2</w:t>
      </w:r>
      <w:r w:rsidRPr="00313E82">
        <w:rPr>
          <w:lang w:val="en-US"/>
        </w:rPr>
        <w:t xml:space="preserve"> of Cs</w:t>
      </w:r>
      <w:r w:rsidRPr="00313E82">
        <w:rPr>
          <w:lang w:val="en-US"/>
        </w:rPr>
        <w:noBreakHyphen/>
        <w:t>137). Amongst them about 400 000 people lived in more contaminated areas – classified by Soviet authorities as areas of strict radiation control (above 555 kBq/ m</w:t>
      </w:r>
      <w:r w:rsidRPr="00313E82">
        <w:rPr>
          <w:vertAlign w:val="superscript"/>
          <w:lang w:val="en-US"/>
        </w:rPr>
        <w:t>2</w:t>
      </w:r>
      <w:r w:rsidRPr="00313E82">
        <w:rPr>
          <w:lang w:val="en-US"/>
        </w:rPr>
        <w:t xml:space="preserve"> of Cs</w:t>
      </w:r>
      <w:r w:rsidRPr="00313E82">
        <w:rPr>
          <w:lang w:val="en-US"/>
        </w:rPr>
        <w:noBreakHyphen/>
        <w:t xml:space="preserve">137). … However, about 100 000 residents of the more contaminated areas receive more than 1mSv annually from the Chernobyl fallout. Although future reduction of exposure levels is expected rather slow, i.e. of about 3 to 5% per year, the great majority of dose from the accident has already been accumulated.” </w:t>
      </w:r>
    </w:p>
    <w:p w:rsidR="00AF7197" w:rsidRPr="00680B18" w:rsidRDefault="00AF7197" w:rsidP="00AF7197">
      <w:pPr>
        <w:rPr>
          <w:lang w:val="de-DE" w:eastAsia="en-GB"/>
        </w:rPr>
      </w:pPr>
      <w:r w:rsidRPr="00313E82">
        <w:rPr>
          <w:lang w:val="en-US"/>
        </w:rPr>
        <w:t xml:space="preserve">The global aspect of the area affected by a nuclear accident can be demonstrated also by measurements and assessments performed by various independent organizations. For instance, after the Chernobyl accident a world map on Cs-137 contamination was constructed and issued by European Commission Joint Research Centre, Institute for transuranium elements – Radioactivity Environmental Monitoring [B.3]. Also numerous measurements of radiation contamination after the Fukushima accident were performed. For example the German Federal Institute for Geoscience and Natural Resources simulated the dispersion of radioactivity released from the Fukushima accident [B.4]. </w:t>
      </w:r>
      <w:r w:rsidRPr="00C96F34">
        <w:rPr>
          <w:lang w:val="de-DE" w:eastAsia="en-GB"/>
        </w:rPr>
        <w:t>Also the German Bundesamt für Strahlenschutz (BfS), die Physikalisch-Technische Bundesanstalt (PTB) und der Deutsche Wetterdienst (</w:t>
      </w:r>
      <w:r w:rsidRPr="00680B18">
        <w:rPr>
          <w:lang w:val="de-DE" w:eastAsia="en-GB"/>
        </w:rPr>
        <w:t>DWD) Luftstaubsammler performed measurements in 49 locations [B.5].</w:t>
      </w:r>
    </w:p>
    <w:p w:rsidR="00AF7197" w:rsidRPr="00313E82" w:rsidRDefault="00AF7197" w:rsidP="00AF7197">
      <w:pPr>
        <w:rPr>
          <w:lang w:val="en-US"/>
        </w:rPr>
      </w:pPr>
      <w:r w:rsidRPr="00313E82">
        <w:rPr>
          <w:lang w:val="en-US"/>
        </w:rPr>
        <w:t>Also information is available, issued in Slovakia about two weeks after the Fukushima accident based on measurements performed at the Faculty of Mathematics and Physics of the University of Comenius in Bratislava [B.6]. Whereas 20</w:t>
      </w:r>
      <w:r w:rsidRPr="00313E82">
        <w:rPr>
          <w:vertAlign w:val="superscript"/>
          <w:lang w:val="en-US"/>
        </w:rPr>
        <w:t>th</w:t>
      </w:r>
      <w:r w:rsidRPr="00313E82">
        <w:rPr>
          <w:lang w:val="en-US"/>
        </w:rPr>
        <w:t xml:space="preserve"> March (9 days after Fukushima accident) physicists measured activity 0</w:t>
      </w:r>
      <w:r w:rsidR="000B2D86">
        <w:rPr>
          <w:lang w:val="en-US"/>
        </w:rPr>
        <w:t>.</w:t>
      </w:r>
      <w:r w:rsidRPr="00313E82">
        <w:rPr>
          <w:lang w:val="en-US"/>
        </w:rPr>
        <w:t>7</w:t>
      </w:r>
      <w:r w:rsidR="000B2D86">
        <w:rPr>
          <w:lang w:val="en-US"/>
        </w:rPr>
        <w:t xml:space="preserve"> </w:t>
      </w:r>
      <w:r w:rsidRPr="00313E82">
        <w:rPr>
          <w:lang w:val="en-US"/>
        </w:rPr>
        <w:t>mBq/liter of I-131 in rain waters, in a sample from 28</w:t>
      </w:r>
      <w:r w:rsidRPr="00313E82">
        <w:rPr>
          <w:vertAlign w:val="superscript"/>
          <w:lang w:val="en-US"/>
        </w:rPr>
        <w:t>th</w:t>
      </w:r>
      <w:r w:rsidRPr="00313E82">
        <w:rPr>
          <w:lang w:val="en-US"/>
        </w:rPr>
        <w:t xml:space="preserve"> March they recorded 500-fold increase (0</w:t>
      </w:r>
      <w:r w:rsidR="000B2D86">
        <w:rPr>
          <w:lang w:val="en-US"/>
        </w:rPr>
        <w:t>.</w:t>
      </w:r>
      <w:r w:rsidRPr="00313E82">
        <w:rPr>
          <w:lang w:val="en-US"/>
        </w:rPr>
        <w:t>43</w:t>
      </w:r>
      <w:r w:rsidR="000B2D86">
        <w:rPr>
          <w:lang w:val="en-US"/>
        </w:rPr>
        <w:t xml:space="preserve"> </w:t>
      </w:r>
      <w:r w:rsidRPr="00313E82">
        <w:rPr>
          <w:lang w:val="en-US"/>
        </w:rPr>
        <w:t>Bq/liter)</w:t>
      </w:r>
      <w:r w:rsidRPr="00313E82">
        <w:rPr>
          <w:b/>
          <w:lang w:val="en-US"/>
        </w:rPr>
        <w:t xml:space="preserve">. </w:t>
      </w:r>
      <w:r w:rsidRPr="00313E82">
        <w:rPr>
          <w:lang w:val="en-US"/>
        </w:rPr>
        <w:t xml:space="preserve">After the Chernobyl accident the detailed report for needs of the Scientific Committee of United Nations Organization was processed, based on measurements of 29 Czechoslovak institutions including NPPs. The highest contamination of the ground due to Cs-137 was in the areas </w:t>
      </w:r>
      <w:r w:rsidRPr="00313E82">
        <w:rPr>
          <w:lang w:val="en-US" w:eastAsia="sk-SK"/>
        </w:rPr>
        <w:t>Dunajská Streda 12,200 Bq/m</w:t>
      </w:r>
      <w:r w:rsidRPr="00313E82">
        <w:rPr>
          <w:vertAlign w:val="superscript"/>
          <w:lang w:val="en-US" w:eastAsia="sk-SK"/>
        </w:rPr>
        <w:t>2</w:t>
      </w:r>
      <w:r w:rsidRPr="00313E82">
        <w:rPr>
          <w:lang w:val="en-US" w:eastAsia="sk-SK"/>
        </w:rPr>
        <w:t>, Komárno 10,510 Bq/m</w:t>
      </w:r>
      <w:r w:rsidRPr="00313E82">
        <w:rPr>
          <w:vertAlign w:val="superscript"/>
          <w:lang w:val="en-US" w:eastAsia="sk-SK"/>
        </w:rPr>
        <w:t>2</w:t>
      </w:r>
      <w:r w:rsidRPr="00313E82">
        <w:rPr>
          <w:lang w:val="en-US" w:eastAsia="sk-SK"/>
        </w:rPr>
        <w:t>, Žiar nad Hronom 8,470 Bq/m</w:t>
      </w:r>
      <w:r w:rsidRPr="00313E82">
        <w:rPr>
          <w:vertAlign w:val="superscript"/>
          <w:lang w:val="en-US" w:eastAsia="sk-SK"/>
        </w:rPr>
        <w:t>2</w:t>
      </w:r>
      <w:r w:rsidRPr="00313E82">
        <w:rPr>
          <w:lang w:val="en-US" w:eastAsia="sk-SK"/>
        </w:rPr>
        <w:t>, Galanta 7,270 Bq/m</w:t>
      </w:r>
      <w:r w:rsidRPr="00313E82">
        <w:rPr>
          <w:vertAlign w:val="superscript"/>
          <w:lang w:val="en-US" w:eastAsia="sk-SK"/>
        </w:rPr>
        <w:t>2</w:t>
      </w:r>
      <w:r w:rsidRPr="00313E82">
        <w:rPr>
          <w:lang w:val="en-US" w:eastAsia="sk-SK"/>
        </w:rPr>
        <w:t>, Nitra 6,980 Bq/m</w:t>
      </w:r>
      <w:r w:rsidRPr="00313E82">
        <w:rPr>
          <w:vertAlign w:val="superscript"/>
          <w:lang w:val="en-US" w:eastAsia="sk-SK"/>
        </w:rPr>
        <w:t>2</w:t>
      </w:r>
      <w:r w:rsidRPr="00313E82">
        <w:rPr>
          <w:lang w:val="en-US" w:eastAsia="sk-SK"/>
        </w:rPr>
        <w:t>, Levice 6,410 Bq/m</w:t>
      </w:r>
      <w:r w:rsidRPr="00313E82">
        <w:rPr>
          <w:vertAlign w:val="superscript"/>
          <w:lang w:val="en-US" w:eastAsia="sk-SK"/>
        </w:rPr>
        <w:t>2</w:t>
      </w:r>
      <w:r w:rsidRPr="00313E82">
        <w:rPr>
          <w:lang w:val="en-US" w:eastAsia="sk-SK"/>
        </w:rPr>
        <w:t>, Stará Ľubovňa 5,270 Bq/m</w:t>
      </w:r>
      <w:r w:rsidRPr="00313E82">
        <w:rPr>
          <w:vertAlign w:val="superscript"/>
          <w:lang w:val="en-US" w:eastAsia="sk-SK"/>
        </w:rPr>
        <w:t>2</w:t>
      </w:r>
      <w:r w:rsidRPr="00313E82">
        <w:rPr>
          <w:lang w:val="en-US" w:eastAsia="sk-SK"/>
        </w:rPr>
        <w:t>, Nové Zámky 4,670 Bq/m</w:t>
      </w:r>
      <w:r w:rsidRPr="00313E82">
        <w:rPr>
          <w:vertAlign w:val="superscript"/>
          <w:lang w:val="en-US" w:eastAsia="sk-SK"/>
        </w:rPr>
        <w:t>2</w:t>
      </w:r>
      <w:r w:rsidRPr="00313E82">
        <w:rPr>
          <w:lang w:val="en-US" w:eastAsia="sk-SK"/>
        </w:rPr>
        <w:t>, Lučenec 4,670 Bq/m</w:t>
      </w:r>
      <w:r w:rsidRPr="00313E82">
        <w:rPr>
          <w:vertAlign w:val="superscript"/>
          <w:lang w:val="en-US" w:eastAsia="sk-SK"/>
        </w:rPr>
        <w:t>2</w:t>
      </w:r>
      <w:r w:rsidRPr="00313E82">
        <w:rPr>
          <w:lang w:val="en-US" w:eastAsia="sk-SK"/>
        </w:rPr>
        <w:t>, Dolný Kubín 4,430 Bq/m</w:t>
      </w:r>
      <w:r w:rsidRPr="00313E82">
        <w:rPr>
          <w:vertAlign w:val="superscript"/>
          <w:lang w:val="en-US" w:eastAsia="sk-SK"/>
        </w:rPr>
        <w:t>2</w:t>
      </w:r>
      <w:r w:rsidRPr="00313E82">
        <w:rPr>
          <w:lang w:val="en-US" w:eastAsia="sk-SK"/>
        </w:rPr>
        <w:t xml:space="preserve">. (Tables 1.4.9 and 1.4.10, measured 17.6.1986, [B.7]). </w:t>
      </w:r>
      <w:r w:rsidRPr="00313E82">
        <w:rPr>
          <w:lang w:val="en-US"/>
        </w:rPr>
        <w:t>The measurements of agricultural products in Slovakia showed the following mean contamination (range in brackets): root crops and corn - under 10</w:t>
      </w:r>
      <w:r w:rsidR="000B2D86">
        <w:rPr>
          <w:lang w:val="en-US"/>
        </w:rPr>
        <w:t> </w:t>
      </w:r>
      <w:r w:rsidRPr="00313E82">
        <w:rPr>
          <w:lang w:val="en-US"/>
        </w:rPr>
        <w:t>Bq/kg, fodder crops – Ru-103 150</w:t>
      </w:r>
      <w:r w:rsidR="000B2D86">
        <w:rPr>
          <w:lang w:val="en-US"/>
        </w:rPr>
        <w:t> </w:t>
      </w:r>
      <w:r w:rsidRPr="00313E82">
        <w:rPr>
          <w:lang w:val="en-US"/>
        </w:rPr>
        <w:t>Bq/kg (0 to 600), Cs-134 240</w:t>
      </w:r>
      <w:r w:rsidR="000B2D86">
        <w:rPr>
          <w:lang w:val="en-US"/>
        </w:rPr>
        <w:t> </w:t>
      </w:r>
      <w:r w:rsidRPr="00313E82">
        <w:rPr>
          <w:lang w:val="en-US"/>
        </w:rPr>
        <w:t>Bq/kg, (20 to 1000), Cs-137 440 Bq/kg (40 to 2,000), mushrooms Cs-137 290</w:t>
      </w:r>
      <w:r w:rsidR="000B2D86">
        <w:rPr>
          <w:lang w:val="en-US"/>
        </w:rPr>
        <w:t> </w:t>
      </w:r>
      <w:r w:rsidRPr="00313E82">
        <w:rPr>
          <w:lang w:val="en-US"/>
        </w:rPr>
        <w:t>Bq/kg, Cs-134 130</w:t>
      </w:r>
      <w:r w:rsidR="000B2D86">
        <w:rPr>
          <w:lang w:val="en-US"/>
        </w:rPr>
        <w:t> </w:t>
      </w:r>
      <w:r w:rsidRPr="00313E82">
        <w:rPr>
          <w:lang w:val="en-US"/>
        </w:rPr>
        <w:t>Bq/kg.</w:t>
      </w:r>
    </w:p>
    <w:p w:rsidR="00AF7197" w:rsidRPr="00313E82" w:rsidRDefault="00AF7197" w:rsidP="00AF7197">
      <w:pPr>
        <w:pStyle w:val="NormalText"/>
        <w:rPr>
          <w:color w:val="000000"/>
        </w:rPr>
      </w:pPr>
    </w:p>
    <w:p w:rsidR="00AF7197" w:rsidRPr="00313E82" w:rsidRDefault="00AF7197" w:rsidP="00AF7197">
      <w:pPr>
        <w:rPr>
          <w:lang w:val="en-US"/>
        </w:rPr>
      </w:pPr>
      <w:r w:rsidRPr="00313E82">
        <w:rPr>
          <w:lang w:val="en-US" w:eastAsia="sk-SK"/>
        </w:rPr>
        <w:t xml:space="preserve">Measured background </w:t>
      </w:r>
      <w:r w:rsidRPr="00313E82">
        <w:rPr>
          <w:lang w:val="en-US"/>
        </w:rPr>
        <w:t>in the above given Slovak areas (photons dose equivalent above the surface) was in the range</w:t>
      </w:r>
      <w:r w:rsidRPr="00313E82">
        <w:rPr>
          <w:b/>
          <w:lang w:val="en-US"/>
        </w:rPr>
        <w:t xml:space="preserve"> </w:t>
      </w:r>
      <w:r w:rsidRPr="00313E82">
        <w:rPr>
          <w:lang w:val="en-US"/>
        </w:rPr>
        <w:t xml:space="preserve">0.09 to 0.12 μSv/h, it means ~ 0.8 to 1mSv/yr ([B.7], Table 1.1.2). Average natural background worldwide is reported currently to be in total 2.4 mSv/yr, and the man made fallout as 0.007 mSv per year (averaged over the </w:t>
      </w:r>
      <w:r w:rsidRPr="00313E82">
        <w:rPr>
          <w:lang w:val="en-US"/>
        </w:rPr>
        <w:lastRenderedPageBreak/>
        <w:t>planet, quantification before Fukushima) [B.8]. The level of man-made fallout corresponds more or less to releases due to all atomic tests and mainly the Chernobyl accident that emerged within last 50 years. Professor Koprda from the Slovak University of Technology alleges the total amount of Cs-137 releases due to atomic tests as of order of magnitude 1.2 E</w:t>
      </w:r>
      <w:r w:rsidRPr="00313E82">
        <w:rPr>
          <w:vertAlign w:val="superscript"/>
          <w:lang w:val="en-US"/>
        </w:rPr>
        <w:t>22</w:t>
      </w:r>
      <w:r w:rsidRPr="00313E82">
        <w:rPr>
          <w:lang w:val="en-US"/>
        </w:rPr>
        <w:t> Bq [B.9], which decayed in 2011 to level of 9.8 E</w:t>
      </w:r>
      <w:r w:rsidRPr="00313E82">
        <w:rPr>
          <w:vertAlign w:val="superscript"/>
          <w:lang w:val="en-US"/>
        </w:rPr>
        <w:t>21</w:t>
      </w:r>
      <w:r w:rsidRPr="00313E82">
        <w:rPr>
          <w:lang w:val="en-US"/>
        </w:rPr>
        <w:t>Bq, corresponding to an average world value about E</w:t>
      </w:r>
      <w:r w:rsidRPr="00313E82">
        <w:rPr>
          <w:vertAlign w:val="superscript"/>
          <w:lang w:val="en-US"/>
        </w:rPr>
        <w:t>-5</w:t>
      </w:r>
      <w:r w:rsidRPr="00313E82">
        <w:rPr>
          <w:lang w:val="en-US"/>
        </w:rPr>
        <w:t xml:space="preserve"> Sv/yr (about 0.01mSv/yr). This number corresponds well with the reported background in Japan [B.10].</w:t>
      </w:r>
    </w:p>
    <w:p w:rsidR="00AF7197" w:rsidRPr="00313E82" w:rsidRDefault="00AF7197" w:rsidP="00AF7197">
      <w:pPr>
        <w:pStyle w:val="NormalText"/>
        <w:rPr>
          <w:color w:val="000000"/>
        </w:rPr>
      </w:pPr>
    </w:p>
    <w:p w:rsidR="00AF7197" w:rsidRPr="00313E82" w:rsidRDefault="00AF7197" w:rsidP="00AF7197">
      <w:pPr>
        <w:rPr>
          <w:lang w:val="en-US"/>
        </w:rPr>
      </w:pPr>
      <w:r w:rsidRPr="00313E82">
        <w:rPr>
          <w:lang w:val="en-US"/>
        </w:rPr>
        <w:t xml:space="preserve">It is obvious that the natural background is 3 orders of magnitude higher than the averaged fallout from man-made nuclear activities and thus, the risks coming from man-made nuclear activities seem to be </w:t>
      </w:r>
      <w:r w:rsidR="00BB6D0E" w:rsidRPr="00313E82">
        <w:rPr>
          <w:lang w:val="en-US"/>
        </w:rPr>
        <w:t>small</w:t>
      </w:r>
      <w:r w:rsidRPr="00313E82">
        <w:rPr>
          <w:lang w:val="en-US"/>
        </w:rPr>
        <w:t xml:space="preserve">. </w:t>
      </w:r>
    </w:p>
    <w:p w:rsidR="00AF7197" w:rsidRPr="00313E82" w:rsidRDefault="00AF7197" w:rsidP="00AF7197">
      <w:pPr>
        <w:pStyle w:val="NormalText"/>
        <w:rPr>
          <w:color w:val="000000"/>
        </w:rPr>
      </w:pPr>
    </w:p>
    <w:p w:rsidR="00AF7197" w:rsidRPr="00313E82" w:rsidRDefault="00AF7197" w:rsidP="00AF7197">
      <w:pPr>
        <w:rPr>
          <w:i/>
          <w:lang w:val="en-US"/>
        </w:rPr>
      </w:pPr>
      <w:r w:rsidRPr="00313E82">
        <w:rPr>
          <w:lang w:val="en-US"/>
        </w:rPr>
        <w:t>The economic global impact was obvious immediately after the Chernobyl accident, since Ukraine has always been held to be a significant producer of various agricultural products, mainly sunflower seed oil. A total 7,843 km</w:t>
      </w:r>
      <w:r w:rsidRPr="00313E82">
        <w:rPr>
          <w:vertAlign w:val="superscript"/>
          <w:lang w:val="en-US"/>
        </w:rPr>
        <w:t>2</w:t>
      </w:r>
      <w:r w:rsidRPr="00313E82">
        <w:rPr>
          <w:lang w:val="en-US"/>
        </w:rPr>
        <w:t xml:space="preserve"> of agricultural land was removed from service in the three countries affected by the accident (Belarus, Ukraine and Russia) and timber production was halted for a total 6,942 km</w:t>
      </w:r>
      <w:r w:rsidRPr="00313E82">
        <w:rPr>
          <w:vertAlign w:val="superscript"/>
          <w:lang w:val="en-US"/>
        </w:rPr>
        <w:t>2</w:t>
      </w:r>
      <w:r w:rsidRPr="00313E82">
        <w:rPr>
          <w:lang w:val="en-US"/>
        </w:rPr>
        <w:t xml:space="preserve"> of forest [B.11]. According to the Chernobyl Forum as an initiative of the IAEA, in cooperation with the WHO, UNDP, FAO, UNEP, UN-OCHA, UNSCEAR, the World Bank and the governments of Belarus, the Russian Federation and Ukraine [B.2]“</w:t>
      </w:r>
      <w:r w:rsidRPr="00313E82">
        <w:rPr>
          <w:i/>
          <w:lang w:val="en-US"/>
        </w:rPr>
        <w:t>The Chernobyl accident, and government policies adopted to cope with its consequences, imposed huge costs on the Soviet Union and three successor countries Belarus, the Russian Federation and Ukraine. Although these three countries bore the brunt of the impact, given the spread of radiation outside the borders of the Soviet Union, other countries (in Scandinavia, for instance) sustained economic losses as well.</w:t>
      </w:r>
      <w:r w:rsidRPr="00313E82">
        <w:rPr>
          <w:lang w:val="en-US"/>
        </w:rPr>
        <w:t xml:space="preserve"> “… </w:t>
      </w:r>
      <w:r w:rsidRPr="00313E82">
        <w:rPr>
          <w:i/>
          <w:lang w:val="en-US"/>
        </w:rPr>
        <w:t>However, the magnitude of impact is clear from a variety of government estimates from 1990s, which put the cost of the accident, over two decades, at hundreds of billions of dollars</w:t>
      </w:r>
      <w:r w:rsidRPr="00313E82">
        <w:rPr>
          <w:lang w:val="en-US"/>
        </w:rPr>
        <w:t xml:space="preserve">.” … </w:t>
      </w:r>
      <w:r w:rsidRPr="00313E82">
        <w:rPr>
          <w:i/>
          <w:lang w:val="en-US"/>
        </w:rPr>
        <w:t>In Ukraine, 5-7 percent of government spending each year is still devoted to Chernobyl-related benefits and programs</w:t>
      </w:r>
      <w:r w:rsidRPr="00313E82">
        <w:rPr>
          <w:lang w:val="en-US"/>
        </w:rPr>
        <w:t xml:space="preserve">. </w:t>
      </w:r>
      <w:r w:rsidRPr="00313E82">
        <w:rPr>
          <w:i/>
          <w:lang w:val="en-US"/>
        </w:rPr>
        <w:t xml:space="preserve">In Belarus, government spending in Chernobyl amounted to 22.3 percent of national budget in 1991, declining gradually to 6.1 percent in 2002.” </w:t>
      </w:r>
      <w:r w:rsidRPr="00313E82">
        <w:rPr>
          <w:lang w:val="en-US"/>
        </w:rPr>
        <w:t>According to [B.12] total spending by Ukraine on Chernobyl in 25 years after the accident makes about US$198 billion.</w:t>
      </w:r>
    </w:p>
    <w:p w:rsidR="00AF7197" w:rsidRPr="00313E82" w:rsidRDefault="00AF7197" w:rsidP="00AF7197">
      <w:pPr>
        <w:pStyle w:val="NormalText"/>
        <w:rPr>
          <w:color w:val="000000"/>
        </w:rPr>
      </w:pPr>
    </w:p>
    <w:p w:rsidR="00AF7197" w:rsidRPr="00C94556" w:rsidRDefault="00AF7197" w:rsidP="00AF7197">
      <w:pPr>
        <w:rPr>
          <w:lang w:val="en-US"/>
        </w:rPr>
      </w:pPr>
      <w:r w:rsidRPr="00313E82">
        <w:rPr>
          <w:lang w:val="en-US"/>
        </w:rPr>
        <w:t xml:space="preserve">The immediate economic impact after the </w:t>
      </w:r>
      <w:r w:rsidR="00CF4F0A">
        <w:rPr>
          <w:lang w:val="en-US"/>
        </w:rPr>
        <w:t>tsunami</w:t>
      </w:r>
      <w:r w:rsidR="00CF4F0A" w:rsidRPr="00313E82">
        <w:rPr>
          <w:lang w:val="en-US"/>
        </w:rPr>
        <w:t xml:space="preserve"> </w:t>
      </w:r>
      <w:r w:rsidRPr="00313E82">
        <w:rPr>
          <w:lang w:val="en-US"/>
        </w:rPr>
        <w:t>disaster in Japan was a reduction of export of many industrial products as well as agricultural products. In the first three months Japan lost about 3.5 % of total GDP which is about 1.6 E</w:t>
      </w:r>
      <w:r w:rsidRPr="00313E82">
        <w:rPr>
          <w:vertAlign w:val="superscript"/>
          <w:lang w:val="en-US"/>
        </w:rPr>
        <w:t>11</w:t>
      </w:r>
      <w:r w:rsidRPr="00313E82">
        <w:rPr>
          <w:lang w:val="en-US"/>
        </w:rPr>
        <w:t xml:space="preserve"> USD [B.13]. Farmers in Fukushima prefecture, Japan’s fourth-biggest rice producer, may not plant the grain this year, which represents ~15% of Japan’s total output. The drain on growth of Japanese economy will be 2 to 4% of GDP [B.14], which represents about 8.4 E</w:t>
      </w:r>
      <w:r w:rsidRPr="00313E82">
        <w:rPr>
          <w:vertAlign w:val="superscript"/>
          <w:lang w:val="en-US"/>
        </w:rPr>
        <w:t>10</w:t>
      </w:r>
      <w:r w:rsidRPr="00313E82">
        <w:rPr>
          <w:lang w:val="en-US"/>
        </w:rPr>
        <w:t xml:space="preserve"> to 1.7E</w:t>
      </w:r>
      <w:r w:rsidRPr="00313E82">
        <w:rPr>
          <w:vertAlign w:val="superscript"/>
          <w:lang w:val="en-US"/>
        </w:rPr>
        <w:t>11</w:t>
      </w:r>
      <w:r w:rsidRPr="00313E82">
        <w:rPr>
          <w:lang w:val="en-US"/>
        </w:rPr>
        <w:t xml:space="preserve"> USD per year</w:t>
      </w:r>
      <w:r w:rsidR="00CF4F0A">
        <w:rPr>
          <w:lang w:val="en-US"/>
        </w:rPr>
        <w:t>.</w:t>
      </w:r>
      <w:r w:rsidRPr="00313E82">
        <w:rPr>
          <w:lang w:val="en-US"/>
        </w:rPr>
        <w:t xml:space="preserve"> </w:t>
      </w:r>
    </w:p>
    <w:p w:rsidR="00AF7197" w:rsidRPr="00313E82" w:rsidRDefault="00AF7197" w:rsidP="00AF7197">
      <w:pPr>
        <w:rPr>
          <w:sz w:val="28"/>
          <w:szCs w:val="28"/>
          <w:lang w:val="en-US"/>
        </w:rPr>
      </w:pPr>
    </w:p>
    <w:p w:rsidR="00AF7197" w:rsidRPr="00313E82" w:rsidRDefault="005F0AE3" w:rsidP="00AF7197">
      <w:pPr>
        <w:rPr>
          <w:sz w:val="28"/>
          <w:szCs w:val="28"/>
          <w:lang w:val="en-US"/>
        </w:rPr>
      </w:pPr>
      <w:r>
        <w:rPr>
          <w:lang w:val="en-US"/>
        </w:rPr>
        <w:t>T</w:t>
      </w:r>
      <w:r w:rsidR="00AF7197" w:rsidRPr="00313E82">
        <w:rPr>
          <w:lang w:val="en-US"/>
        </w:rPr>
        <w:t>he risk of such event</w:t>
      </w:r>
      <w:r>
        <w:rPr>
          <w:lang w:val="en-US"/>
        </w:rPr>
        <w:t>s as Chernobyl and Fukushima</w:t>
      </w:r>
      <w:r w:rsidR="00AF7197" w:rsidRPr="00313E82">
        <w:rPr>
          <w:lang w:val="en-US"/>
        </w:rPr>
        <w:t xml:space="preserve"> is of potentially very high level, and therefore should be carefully considered in analyses. </w:t>
      </w:r>
      <w:r>
        <w:rPr>
          <w:lang w:val="en-US"/>
        </w:rPr>
        <w:t>These a</w:t>
      </w:r>
      <w:r w:rsidRPr="00313E82">
        <w:rPr>
          <w:lang w:val="en-US"/>
        </w:rPr>
        <w:t xml:space="preserve">ccidents </w:t>
      </w:r>
      <w:r w:rsidR="00AF7197" w:rsidRPr="00313E82">
        <w:rPr>
          <w:lang w:val="en-US"/>
        </w:rPr>
        <w:t>show that severe accidents with large consequences having large impact happen, therefore it is not sufficient to treat nuclear safety as safety of a design of nuclear power plants at an individual (as far as plant/site) or local (as far as consequences) level. Nuclear safety is a global issue and therefore, common risk targets-common safety limits as repeatedly required by the IAEA and the European community have a real reason to be defined.</w:t>
      </w:r>
    </w:p>
    <w:p w:rsidR="00AF7197" w:rsidRPr="00313E82" w:rsidRDefault="00AF7197" w:rsidP="00AF7197">
      <w:pPr>
        <w:rPr>
          <w:sz w:val="28"/>
          <w:szCs w:val="28"/>
          <w:lang w:val="en-US"/>
        </w:rPr>
      </w:pPr>
    </w:p>
    <w:p w:rsidR="00AF7197" w:rsidRPr="00EE400B" w:rsidRDefault="00AF7197" w:rsidP="00EE400B">
      <w:pPr>
        <w:rPr>
          <w:b/>
          <w:lang w:val="en-US"/>
        </w:rPr>
      </w:pPr>
      <w:bookmarkStart w:id="569" w:name="_Toc435438143"/>
      <w:r w:rsidRPr="00EE400B">
        <w:rPr>
          <w:b/>
          <w:lang w:val="en-US"/>
        </w:rPr>
        <w:t>References</w:t>
      </w:r>
      <w:bookmarkEnd w:id="569"/>
      <w:r w:rsidR="00EE400B">
        <w:rPr>
          <w:b/>
          <w:lang w:val="en-US"/>
        </w:rPr>
        <w:t>:</w:t>
      </w:r>
    </w:p>
    <w:p w:rsidR="00AF7197" w:rsidRPr="00313E82" w:rsidRDefault="00AF7197" w:rsidP="00C94556">
      <w:pPr>
        <w:pStyle w:val="Paragraphedeliste"/>
        <w:numPr>
          <w:ilvl w:val="0"/>
          <w:numId w:val="38"/>
        </w:numPr>
        <w:spacing w:before="100" w:beforeAutospacing="1" w:after="100" w:afterAutospacing="1"/>
        <w:rPr>
          <w:szCs w:val="18"/>
          <w:lang w:val="en-US"/>
        </w:rPr>
      </w:pPr>
      <w:r w:rsidRPr="00313E82">
        <w:rPr>
          <w:szCs w:val="18"/>
          <w:lang w:val="en-US"/>
        </w:rPr>
        <w:lastRenderedPageBreak/>
        <w:t xml:space="preserve">IAEA AND INITED STATES GEOLOGICAL SURVEY. </w:t>
      </w:r>
      <w:r w:rsidRPr="00313E82">
        <w:rPr>
          <w:i/>
          <w:szCs w:val="18"/>
          <w:lang w:val="en-US"/>
        </w:rPr>
        <w:t>Worldwide map of nuclear power stations and earthquake zones.</w:t>
      </w:r>
      <w:r w:rsidRPr="00313E82">
        <w:rPr>
          <w:szCs w:val="18"/>
          <w:lang w:val="en-US"/>
        </w:rPr>
        <w:t xml:space="preserve"> available on </w:t>
      </w:r>
      <w:hyperlink r:id="rId37" w:history="1">
        <w:r w:rsidRPr="00313E82">
          <w:rPr>
            <w:rStyle w:val="Lienhypertexte"/>
            <w:szCs w:val="18"/>
            <w:lang w:val="en-US"/>
          </w:rPr>
          <w:t>http://maptd.com/wp-content/uploads/2011/03/global-earthquake-activity-vs-nuclear-power-plant-locations.jpg</w:t>
        </w:r>
      </w:hyperlink>
      <w:r w:rsidRPr="00313E82">
        <w:rPr>
          <w:i/>
          <w:szCs w:val="18"/>
          <w:lang w:val="en-US"/>
        </w:rPr>
        <w:t xml:space="preserve"> </w:t>
      </w:r>
      <w:r w:rsidRPr="00313E82">
        <w:rPr>
          <w:szCs w:val="18"/>
          <w:lang w:val="en-US"/>
        </w:rPr>
        <w:t>[retrieved 5.3.2012]</w:t>
      </w:r>
    </w:p>
    <w:p w:rsidR="00AF7197" w:rsidRPr="00313E82" w:rsidRDefault="00AF7197" w:rsidP="00C94556">
      <w:pPr>
        <w:pStyle w:val="Paragraphedeliste"/>
        <w:numPr>
          <w:ilvl w:val="0"/>
          <w:numId w:val="38"/>
        </w:numPr>
        <w:spacing w:before="100" w:beforeAutospacing="1" w:after="100" w:afterAutospacing="1"/>
        <w:rPr>
          <w:szCs w:val="18"/>
          <w:lang w:val="en-US"/>
        </w:rPr>
      </w:pPr>
      <w:r w:rsidRPr="00313E82">
        <w:rPr>
          <w:szCs w:val="18"/>
          <w:lang w:val="en-US"/>
        </w:rPr>
        <w:t>IAEA, WHO, UNDP, FAO, UNEP, UN-OCHA, UNSCEAR, WORLD BANK GROUP: Chernobyl’s</w:t>
      </w:r>
      <w:r w:rsidRPr="00313E82">
        <w:rPr>
          <w:i/>
          <w:szCs w:val="18"/>
          <w:lang w:val="en-US"/>
        </w:rPr>
        <w:t xml:space="preserve"> Legacy: Health, Environmental and Socio-Economic Impacts and Recommendations to the Governments of Belarus, the Russian Federation and Ukraine</w:t>
      </w:r>
      <w:r w:rsidRPr="00313E82">
        <w:rPr>
          <w:szCs w:val="18"/>
          <w:lang w:val="en-US"/>
        </w:rPr>
        <w:t xml:space="preserve">. The Chernobyl Forum 2003-2005, Second revised version,; [online, cit. 12.3.2012] available on </w:t>
      </w:r>
      <w:hyperlink r:id="rId38" w:history="1">
        <w:r w:rsidRPr="00313E82">
          <w:rPr>
            <w:rStyle w:val="Lienhypertexte"/>
            <w:szCs w:val="18"/>
            <w:lang w:val="en-US"/>
          </w:rPr>
          <w:t>http://www.iaea.org/Publications/Booklets/Chernobyl/chernobyl.pdf</w:t>
        </w:r>
      </w:hyperlink>
      <w:r w:rsidRPr="00313E82">
        <w:rPr>
          <w:szCs w:val="18"/>
          <w:u w:val="single"/>
          <w:lang w:val="en-US"/>
        </w:rPr>
        <w:t xml:space="preserve"> </w:t>
      </w:r>
    </w:p>
    <w:p w:rsidR="00AF7197" w:rsidRPr="00313E82" w:rsidRDefault="00AF7197" w:rsidP="00C94556">
      <w:pPr>
        <w:pStyle w:val="Paragraphedeliste"/>
        <w:numPr>
          <w:ilvl w:val="0"/>
          <w:numId w:val="38"/>
        </w:numPr>
        <w:spacing w:before="100" w:beforeAutospacing="1" w:after="100" w:afterAutospacing="1"/>
        <w:rPr>
          <w:szCs w:val="18"/>
          <w:lang w:val="en-US"/>
        </w:rPr>
      </w:pPr>
      <w:r w:rsidRPr="00313E82">
        <w:rPr>
          <w:caps/>
          <w:szCs w:val="18"/>
          <w:lang w:val="en-US"/>
        </w:rPr>
        <w:t>European Commission Joint Research Centre</w:t>
      </w:r>
      <w:r w:rsidRPr="00313E82">
        <w:rPr>
          <w:szCs w:val="18"/>
          <w:lang w:val="en-US"/>
        </w:rPr>
        <w:t xml:space="preserve"> , </w:t>
      </w:r>
      <w:r w:rsidRPr="00313E82">
        <w:rPr>
          <w:caps/>
          <w:szCs w:val="18"/>
          <w:lang w:val="en-US"/>
        </w:rPr>
        <w:t>Institute for transuranium elements – Radioactivity Environmental Monitoring</w:t>
      </w:r>
      <w:r w:rsidRPr="00313E82">
        <w:rPr>
          <w:szCs w:val="18"/>
          <w:lang w:val="en-US"/>
        </w:rPr>
        <w:t xml:space="preserve">:: </w:t>
      </w:r>
      <w:r w:rsidRPr="00313E82">
        <w:rPr>
          <w:i/>
          <w:szCs w:val="18"/>
          <w:lang w:val="en-US"/>
        </w:rPr>
        <w:t>Atlas on the Cesium deposition across Europe after the Chernobyl Accident (JSP6),</w:t>
      </w:r>
      <w:r w:rsidRPr="00313E82">
        <w:rPr>
          <w:szCs w:val="18"/>
          <w:lang w:val="en-US"/>
        </w:rPr>
        <w:t xml:space="preserve"> [online, cit,. 6.3.2014] </w:t>
      </w:r>
      <w:hyperlink r:id="rId39" w:history="1">
        <w:r w:rsidRPr="00313E82">
          <w:rPr>
            <w:rStyle w:val="Lienhypertexte"/>
            <w:szCs w:val="18"/>
            <w:lang w:val="en-US"/>
          </w:rPr>
          <w:t>http://rem.jrc.ec.europa.eu/RemWeb/pastprojects/Atlas.aspx</w:t>
        </w:r>
      </w:hyperlink>
      <w:r w:rsidRPr="00313E82">
        <w:rPr>
          <w:szCs w:val="18"/>
          <w:lang w:val="en-US"/>
        </w:rPr>
        <w:t xml:space="preserve"> </w:t>
      </w:r>
    </w:p>
    <w:p w:rsidR="00AF7197" w:rsidRPr="00313E82" w:rsidRDefault="00AF7197" w:rsidP="00C94556">
      <w:pPr>
        <w:pStyle w:val="Paragraphedeliste"/>
        <w:numPr>
          <w:ilvl w:val="0"/>
          <w:numId w:val="38"/>
        </w:numPr>
        <w:spacing w:before="100" w:beforeAutospacing="1" w:after="100" w:afterAutospacing="1"/>
        <w:rPr>
          <w:szCs w:val="18"/>
          <w:lang w:val="en-US"/>
        </w:rPr>
      </w:pPr>
      <w:r w:rsidRPr="00313E82">
        <w:rPr>
          <w:caps/>
          <w:szCs w:val="18"/>
          <w:lang w:val="en-US"/>
        </w:rPr>
        <w:t>Preparatory Commission for the comprehensive nuclear-test- treaty organization</w:t>
      </w:r>
      <w:r w:rsidRPr="00313E82">
        <w:rPr>
          <w:szCs w:val="18"/>
          <w:lang w:val="en-US"/>
        </w:rPr>
        <w:t xml:space="preserve">: </w:t>
      </w:r>
      <w:r w:rsidRPr="00313E82">
        <w:rPr>
          <w:i/>
          <w:szCs w:val="18"/>
          <w:lang w:val="en-US"/>
        </w:rPr>
        <w:t>Fukushima related measurements by the CTBTO</w:t>
      </w:r>
      <w:r w:rsidRPr="00313E82">
        <w:rPr>
          <w:szCs w:val="18"/>
          <w:lang w:val="en-US"/>
        </w:rPr>
        <w:t xml:space="preserve"> / Page 1, [online, retrieved 11.12.2011] </w:t>
      </w:r>
      <w:hyperlink r:id="rId40" w:history="1">
        <w:r w:rsidRPr="00313E82">
          <w:rPr>
            <w:rStyle w:val="Lienhypertexte"/>
            <w:szCs w:val="18"/>
            <w:lang w:val="en-US"/>
          </w:rPr>
          <w:t>http://www.ctbto.org/press-centre/highlights/2011/fukushima-related-measurements-by-the-ctbto/fukushima-related-measurements-by-the-ctbto-page-1/</w:t>
        </w:r>
      </w:hyperlink>
    </w:p>
    <w:p w:rsidR="00AF7197" w:rsidRPr="00C96F34" w:rsidRDefault="00AF7197" w:rsidP="00C94556">
      <w:pPr>
        <w:pStyle w:val="Paragraphedeliste"/>
        <w:numPr>
          <w:ilvl w:val="0"/>
          <w:numId w:val="38"/>
        </w:numPr>
        <w:spacing w:before="100" w:beforeAutospacing="1" w:after="100" w:afterAutospacing="1"/>
        <w:rPr>
          <w:rStyle w:val="Lienhypertexte"/>
          <w:szCs w:val="18"/>
          <w:lang w:val="de-DE"/>
        </w:rPr>
      </w:pPr>
      <w:r w:rsidRPr="00C96F34">
        <w:rPr>
          <w:rStyle w:val="citationnews"/>
          <w:caps/>
          <w:szCs w:val="18"/>
          <w:lang w:val="de-DE"/>
        </w:rPr>
        <w:t>Bundesamt for Stralentschutz</w:t>
      </w:r>
      <w:r w:rsidRPr="00680B18">
        <w:rPr>
          <w:rStyle w:val="citationnews"/>
          <w:szCs w:val="18"/>
          <w:lang w:val="de-DE"/>
        </w:rPr>
        <w:t xml:space="preserve">: </w:t>
      </w:r>
      <w:r w:rsidRPr="00680B18">
        <w:rPr>
          <w:rStyle w:val="citationnews"/>
          <w:i/>
          <w:szCs w:val="18"/>
          <w:lang w:val="de-DE"/>
        </w:rPr>
        <w:t xml:space="preserve">Spurenanalyse </w:t>
      </w:r>
      <w:r w:rsidRPr="00C96F34">
        <w:rPr>
          <w:rStyle w:val="citationnews"/>
          <w:i/>
          <w:szCs w:val="18"/>
          <w:lang w:val="de-DE"/>
        </w:rPr>
        <w:t>in Deutschland</w:t>
      </w:r>
      <w:r w:rsidRPr="00C96F34">
        <w:rPr>
          <w:rStyle w:val="citationnews"/>
          <w:szCs w:val="18"/>
          <w:lang w:val="de-DE"/>
        </w:rPr>
        <w:t xml:space="preserve">, [online, retrieved 15.5.2012] </w:t>
      </w:r>
    </w:p>
    <w:p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rStyle w:val="citationnews"/>
          <w:szCs w:val="18"/>
          <w:lang w:val="en-US"/>
        </w:rPr>
        <w:t xml:space="preserve">UNIVERZITA KOMENSKEHO: </w:t>
      </w:r>
      <w:r w:rsidRPr="00313E82">
        <w:rPr>
          <w:rStyle w:val="citationnews"/>
          <w:i/>
          <w:szCs w:val="18"/>
          <w:lang w:val="en-US"/>
        </w:rPr>
        <w:t>Merania po havárii vo Fukušime</w:t>
      </w:r>
      <w:r w:rsidRPr="00313E82">
        <w:rPr>
          <w:rStyle w:val="citationnews"/>
          <w:szCs w:val="18"/>
          <w:lang w:val="en-US"/>
        </w:rPr>
        <w:t xml:space="preserve">. available on </w:t>
      </w:r>
      <w:hyperlink r:id="rId41" w:history="1">
        <w:r w:rsidRPr="00313E82">
          <w:rPr>
            <w:rStyle w:val="Lienhypertexte"/>
            <w:szCs w:val="18"/>
            <w:lang w:val="en-US"/>
          </w:rPr>
          <w:t>http://m.tvnoviny.sk/index.php?article_id=586200</w:t>
        </w:r>
      </w:hyperlink>
      <w:r w:rsidRPr="00313E82">
        <w:rPr>
          <w:szCs w:val="18"/>
          <w:lang w:val="en-US"/>
        </w:rPr>
        <w:t xml:space="preserve"> [online, cit. 14.3.2012]</w:t>
      </w:r>
    </w:p>
    <w:p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caps/>
          <w:szCs w:val="18"/>
          <w:lang w:val="en-US"/>
        </w:rPr>
        <w:t>Institut hygieny a epidemiologie, Centrum hygieny záření</w:t>
      </w:r>
      <w:r w:rsidRPr="00313E82">
        <w:rPr>
          <w:szCs w:val="18"/>
          <w:lang w:val="en-US"/>
        </w:rPr>
        <w:t xml:space="preserve">: </w:t>
      </w:r>
      <w:r w:rsidRPr="00313E82">
        <w:rPr>
          <w:i/>
          <w:szCs w:val="18"/>
          <w:lang w:val="en-US"/>
        </w:rPr>
        <w:t>Zpráva o radiační situaci na území Československa po havárii jaderné elektrárny Černobyl</w:t>
      </w:r>
      <w:r w:rsidRPr="00313E82">
        <w:rPr>
          <w:szCs w:val="18"/>
          <w:lang w:val="en-US"/>
        </w:rPr>
        <w:t>, Praha 10, Šrobárova 48, 1987.</w:t>
      </w:r>
    </w:p>
    <w:p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szCs w:val="18"/>
          <w:lang w:val="en-US"/>
        </w:rPr>
        <w:t xml:space="preserve">UNSCEAR: </w:t>
      </w:r>
      <w:r w:rsidRPr="00313E82">
        <w:rPr>
          <w:i/>
          <w:szCs w:val="18"/>
          <w:lang w:val="en-US"/>
        </w:rPr>
        <w:t>Sources and Effects of Ionizing Radiation</w:t>
      </w:r>
      <w:r w:rsidRPr="00313E82">
        <w:rPr>
          <w:szCs w:val="18"/>
          <w:lang w:val="en-US"/>
        </w:rPr>
        <w:t>, Report 2008/09 - 86753, page 339.</w:t>
      </w:r>
    </w:p>
    <w:p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caps/>
          <w:szCs w:val="18"/>
          <w:lang w:val="en-US"/>
        </w:rPr>
        <w:t>Koprda, V</w:t>
      </w:r>
      <w:r w:rsidRPr="00313E82">
        <w:rPr>
          <w:szCs w:val="18"/>
          <w:lang w:val="en-US"/>
        </w:rPr>
        <w:t xml:space="preserve">.: </w:t>
      </w:r>
      <w:r w:rsidRPr="00313E82">
        <w:rPr>
          <w:i/>
          <w:szCs w:val="18"/>
          <w:lang w:val="en-US"/>
        </w:rPr>
        <w:t>Vnútorná kontaminácia rádioaktívnymi látkami</w:t>
      </w:r>
      <w:r w:rsidRPr="00313E82">
        <w:rPr>
          <w:szCs w:val="18"/>
          <w:lang w:val="en-US"/>
        </w:rPr>
        <w:t>, Veda vydavateľstvo Slovenskej akadémie vied, SAV Ústav experimentálnej farmakologie, Centrum fyziologických vied SAV, Bratislava 1986</w:t>
      </w:r>
    </w:p>
    <w:p w:rsidR="00AF7197" w:rsidRPr="00313E82" w:rsidRDefault="00AF7197" w:rsidP="00C94556">
      <w:pPr>
        <w:pStyle w:val="Paragraphedeliste"/>
        <w:numPr>
          <w:ilvl w:val="0"/>
          <w:numId w:val="38"/>
        </w:numPr>
        <w:spacing w:before="100" w:beforeAutospacing="1" w:after="100" w:afterAutospacing="1"/>
        <w:ind w:left="425"/>
        <w:rPr>
          <w:rStyle w:val="citationnews"/>
          <w:szCs w:val="18"/>
          <w:lang w:val="en-US"/>
        </w:rPr>
      </w:pPr>
      <w:r w:rsidRPr="00313E82">
        <w:rPr>
          <w:szCs w:val="18"/>
          <w:lang w:val="en-US"/>
        </w:rPr>
        <w:t xml:space="preserve">MEXT: </w:t>
      </w:r>
      <w:r w:rsidRPr="00313E82">
        <w:rPr>
          <w:i/>
          <w:szCs w:val="18"/>
          <w:lang w:val="en-US"/>
        </w:rPr>
        <w:t>Radiation in Environment. Ministry of Education, Culture, Sports, Science and Technology of Japan</w:t>
      </w:r>
      <w:r w:rsidRPr="00313E82">
        <w:rPr>
          <w:szCs w:val="18"/>
          <w:lang w:val="en-US"/>
        </w:rPr>
        <w:t xml:space="preserve">. 29/06/2011, </w:t>
      </w:r>
      <w:hyperlink r:id="rId42" w:history="1">
        <w:r w:rsidRPr="00313E82">
          <w:rPr>
            <w:rStyle w:val="Lienhypertexte"/>
            <w:szCs w:val="18"/>
            <w:lang w:val="en-US"/>
          </w:rPr>
          <w:t>http://www.kankyo-hoshano.go.jp/04/04-1.html</w:t>
        </w:r>
      </w:hyperlink>
      <w:r w:rsidRPr="00313E82">
        <w:rPr>
          <w:szCs w:val="18"/>
          <w:u w:val="single"/>
          <w:lang w:val="en-US"/>
        </w:rPr>
        <w:t xml:space="preserve"> [</w:t>
      </w:r>
      <w:r w:rsidRPr="00313E82">
        <w:rPr>
          <w:rStyle w:val="citationnews"/>
          <w:szCs w:val="18"/>
          <w:lang w:val="en-US"/>
        </w:rPr>
        <w:t>online, cit. 21 July 2011]</w:t>
      </w:r>
    </w:p>
    <w:p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caps/>
          <w:szCs w:val="18"/>
          <w:lang w:val="en-US"/>
        </w:rPr>
        <w:t>Shestopalov, V.M, Naboka, M.V</w:t>
      </w:r>
      <w:r w:rsidRPr="00313E82">
        <w:rPr>
          <w:szCs w:val="18"/>
          <w:lang w:val="en-US"/>
        </w:rPr>
        <w:t xml:space="preserve">.: </w:t>
      </w:r>
      <w:r w:rsidRPr="00313E82">
        <w:rPr>
          <w:i/>
          <w:szCs w:val="18"/>
          <w:lang w:val="en-US"/>
        </w:rPr>
        <w:t>Medical Consequences of the Accident at CHNPP</w:t>
      </w:r>
      <w:r w:rsidRPr="00313E82">
        <w:rPr>
          <w:szCs w:val="18"/>
          <w:lang w:val="en-US"/>
        </w:rPr>
        <w:t>, Chornobilskiy naukovyj visnik, Bjuletenj ekologichnogo stanu zony vidchuzhenija, 25 rokovini Chornobilskoj katastrofi, No.1 (37) 2011</w:t>
      </w:r>
    </w:p>
    <w:p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caps/>
          <w:szCs w:val="18"/>
          <w:lang w:val="en-US"/>
        </w:rPr>
        <w:t>Ministry of Ukraine of Emergencies, All-Ukrainian Scientific Research Institute for Civil Defence of population and territories from technogenic and natural emergences</w:t>
      </w:r>
      <w:r w:rsidRPr="00313E82">
        <w:rPr>
          <w:szCs w:val="18"/>
          <w:lang w:val="en-US"/>
        </w:rPr>
        <w:t xml:space="preserve">: </w:t>
      </w:r>
      <w:r w:rsidRPr="00313E82">
        <w:rPr>
          <w:i/>
          <w:szCs w:val="18"/>
          <w:lang w:val="en-US"/>
        </w:rPr>
        <w:t>Twenty-five Years after Chornobyl Accident: Safety for the Future, National Report of Ukraine</w:t>
      </w:r>
      <w:r w:rsidRPr="00313E82">
        <w:rPr>
          <w:szCs w:val="18"/>
          <w:lang w:val="en-US"/>
        </w:rPr>
        <w:t>, Kyiv, 2011, UDK 621.311.25:621.039.586/(477.41-21), BBK 31.47 (4Ukr-4kij)-08 D22</w:t>
      </w:r>
    </w:p>
    <w:p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szCs w:val="18"/>
          <w:lang w:val="en-US"/>
        </w:rPr>
        <w:t xml:space="preserve">IAEA: </w:t>
      </w:r>
      <w:r w:rsidRPr="00313E82">
        <w:rPr>
          <w:i/>
          <w:szCs w:val="18"/>
          <w:lang w:val="en-US"/>
        </w:rPr>
        <w:t>Nuclear Decommissioning report. Fukushima Impact</w:t>
      </w:r>
      <w:r w:rsidRPr="00313E82">
        <w:rPr>
          <w:szCs w:val="18"/>
          <w:lang w:val="en-US"/>
        </w:rPr>
        <w:t xml:space="preserve">, [online, retrieved 14.1.2012] </w:t>
      </w:r>
      <w:hyperlink r:id="rId43" w:history="1">
        <w:r w:rsidRPr="00313E82">
          <w:rPr>
            <w:rStyle w:val="Lienhypertexte"/>
            <w:szCs w:val="18"/>
            <w:lang w:val="en-US"/>
          </w:rPr>
          <w:t>http://www.iaea.org/newscenter/news/2012/decommissioning/fukushimaimpact2</w:t>
        </w:r>
      </w:hyperlink>
    </w:p>
    <w:p w:rsidR="00AF7197" w:rsidRPr="00313E82" w:rsidRDefault="00AF7197" w:rsidP="00C94556">
      <w:pPr>
        <w:pStyle w:val="Paragraphedeliste"/>
        <w:numPr>
          <w:ilvl w:val="0"/>
          <w:numId w:val="38"/>
        </w:numPr>
        <w:spacing w:before="100" w:beforeAutospacing="1" w:after="100" w:afterAutospacing="1"/>
        <w:ind w:left="425"/>
        <w:rPr>
          <w:szCs w:val="18"/>
          <w:lang w:val="en-US"/>
        </w:rPr>
      </w:pPr>
      <w:r w:rsidRPr="00313E82">
        <w:rPr>
          <w:szCs w:val="18"/>
          <w:lang w:val="en-US"/>
        </w:rPr>
        <w:t xml:space="preserve">ECONOMIC NEWS. </w:t>
      </w:r>
      <w:r w:rsidRPr="00313E82">
        <w:rPr>
          <w:i/>
          <w:szCs w:val="18"/>
          <w:lang w:val="en-US"/>
        </w:rPr>
        <w:t>Japanese Economy Impact</w:t>
      </w:r>
      <w:r w:rsidRPr="00313E82">
        <w:rPr>
          <w:szCs w:val="18"/>
          <w:lang w:val="en-US"/>
        </w:rPr>
        <w:t xml:space="preserve"> [online, cit., 13.1.2012], </w:t>
      </w:r>
      <w:r w:rsidRPr="00313E82">
        <w:rPr>
          <w:szCs w:val="18"/>
          <w:u w:val="single"/>
          <w:lang w:val="en-US"/>
        </w:rPr>
        <w:t>http:/economicsnewspaper.com/world-economics</w:t>
      </w:r>
    </w:p>
    <w:p w:rsidR="00FE4520" w:rsidRDefault="00BA688C" w:rsidP="00C94556">
      <w:pPr>
        <w:pStyle w:val="Titre1"/>
        <w:rPr>
          <w:rFonts w:eastAsia="Batang"/>
          <w:lang w:val="en-US"/>
        </w:rPr>
      </w:pPr>
      <w:bookmarkStart w:id="570" w:name="_Ref319165886"/>
      <w:bookmarkStart w:id="571" w:name="_Toc474430253"/>
      <w:r>
        <w:rPr>
          <w:rFonts w:eastAsia="Batang"/>
          <w:lang w:val="en-US"/>
        </w:rPr>
        <w:lastRenderedPageBreak/>
        <w:t xml:space="preserve">Appendix </w:t>
      </w:r>
      <w:r w:rsidR="00575119">
        <w:rPr>
          <w:rFonts w:eastAsia="Batang"/>
          <w:lang w:val="en-US"/>
        </w:rPr>
        <w:t>C</w:t>
      </w:r>
      <w:r>
        <w:rPr>
          <w:rFonts w:eastAsia="Batang"/>
          <w:lang w:val="en-US"/>
        </w:rPr>
        <w:t xml:space="preserve">: </w:t>
      </w:r>
      <w:r w:rsidR="00FE4520">
        <w:rPr>
          <w:rFonts w:eastAsia="Batang"/>
          <w:lang w:val="en-US"/>
        </w:rPr>
        <w:t>Pickering NPP Fuel Damage States Frequencies</w:t>
      </w:r>
      <w:bookmarkEnd w:id="570"/>
      <w:bookmarkEnd w:id="571"/>
    </w:p>
    <w:p w:rsidR="00FE4520" w:rsidRPr="00313E82" w:rsidRDefault="00FE4520" w:rsidP="00FE4520">
      <w:pPr>
        <w:rPr>
          <w:rFonts w:eastAsia="Batang"/>
          <w:lang w:val="en-US"/>
        </w:rPr>
      </w:pPr>
      <w:r>
        <w:rPr>
          <w:rFonts w:eastAsia="Batang"/>
          <w:lang w:val="en-US"/>
        </w:rPr>
        <w:t xml:space="preserve">The set of PDSF measures was discussed in section </w:t>
      </w:r>
      <w:r w:rsidR="009E768B">
        <w:rPr>
          <w:rFonts w:eastAsia="Batang"/>
          <w:lang w:val="en-US"/>
        </w:rPr>
        <w:fldChar w:fldCharType="begin"/>
      </w:r>
      <w:r>
        <w:rPr>
          <w:rFonts w:eastAsia="Batang"/>
          <w:lang w:val="en-US"/>
        </w:rPr>
        <w:instrText xml:space="preserve"> REF _Ref444074469 \r \h </w:instrText>
      </w:r>
      <w:r w:rsidR="009E768B">
        <w:rPr>
          <w:rFonts w:eastAsia="Batang"/>
          <w:lang w:val="en-US"/>
        </w:rPr>
      </w:r>
      <w:r w:rsidR="009E768B">
        <w:rPr>
          <w:rFonts w:eastAsia="Batang"/>
          <w:lang w:val="en-US"/>
        </w:rPr>
        <w:fldChar w:fldCharType="separate"/>
      </w:r>
      <w:r w:rsidR="00B772CA">
        <w:rPr>
          <w:rFonts w:eastAsia="Batang"/>
          <w:lang w:val="en-US"/>
        </w:rPr>
        <w:t>2.13</w:t>
      </w:r>
      <w:r w:rsidR="009E768B">
        <w:rPr>
          <w:rFonts w:eastAsia="Batang"/>
          <w:lang w:val="en-US"/>
        </w:rPr>
        <w:fldChar w:fldCharType="end"/>
      </w:r>
      <w:r>
        <w:rPr>
          <w:rFonts w:eastAsia="Batang"/>
          <w:lang w:val="en-US"/>
        </w:rPr>
        <w:t xml:space="preserve"> mainly with a view to the CDF risk measure. As a further example, we provide a variant of a set of PDS risk measures explicitly referencing fuel damage criteria as used for Pickering NPP in Canada (cf. </w:t>
      </w:r>
      <w:r w:rsidR="009E768B" w:rsidRPr="007E0C24">
        <w:rPr>
          <w:rFonts w:eastAsia="Batang"/>
          <w:lang w:val="en-US"/>
        </w:rPr>
        <w:fldChar w:fldCharType="begin"/>
      </w:r>
      <w:r w:rsidRPr="00313E82">
        <w:rPr>
          <w:rFonts w:eastAsia="Batang"/>
          <w:lang w:val="en-US"/>
        </w:rPr>
        <w:instrText xml:space="preserve"> REF _Ref302033249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[90]</w:t>
      </w:r>
      <w:r w:rsidR="009E768B" w:rsidRPr="007E0C24">
        <w:rPr>
          <w:rFonts w:eastAsia="Batang"/>
          <w:lang w:val="en-US"/>
        </w:rPr>
        <w:fldChar w:fldCharType="end"/>
      </w:r>
      <w:r w:rsidRPr="00313E82">
        <w:rPr>
          <w:rFonts w:eastAsia="Batang"/>
          <w:lang w:val="en-US"/>
        </w:rPr>
        <w:t xml:space="preserve"> and </w:t>
      </w:r>
      <w:r w:rsidR="009E768B" w:rsidRPr="007E0C24">
        <w:rPr>
          <w:rFonts w:eastAsia="Batang"/>
          <w:lang w:val="en-US"/>
        </w:rPr>
        <w:fldChar w:fldCharType="begin"/>
      </w:r>
      <w:r w:rsidRPr="00313E82">
        <w:rPr>
          <w:rFonts w:eastAsia="Batang"/>
          <w:lang w:val="en-US"/>
        </w:rPr>
        <w:instrText xml:space="preserve"> REF _Ref302033254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[91]</w:t>
      </w:r>
      <w:r w:rsidR="009E768B" w:rsidRPr="007E0C24">
        <w:rPr>
          <w:rFonts w:eastAsia="Batang"/>
          <w:lang w:val="en-US"/>
        </w:rPr>
        <w:fldChar w:fldCharType="end"/>
      </w:r>
      <w:r>
        <w:rPr>
          <w:rFonts w:eastAsia="Batang"/>
          <w:lang w:val="en-US"/>
        </w:rPr>
        <w:t>)</w:t>
      </w:r>
      <w:r w:rsidRPr="00313E82">
        <w:rPr>
          <w:rFonts w:eastAsia="Batang"/>
          <w:lang w:val="en-US"/>
        </w:rPr>
        <w:t xml:space="preserve"> (Pickering, Canada):</w:t>
      </w:r>
    </w:p>
    <w:p w:rsidR="00FE4520" w:rsidRPr="00313E82" w:rsidRDefault="00FE4520" w:rsidP="00BF36DA">
      <w:pPr>
        <w:rPr>
          <w:rFonts w:eastAsia="Batang"/>
          <w:lang w:val="en-US"/>
        </w:rPr>
      </w:pPr>
      <w:r w:rsidRPr="00313E82">
        <w:rPr>
          <w:rFonts w:eastAsia="Batang"/>
          <w:lang w:val="en-US"/>
        </w:rPr>
        <w:t xml:space="preserve">Fuel damage category (FDC) frequency represents a collection of event sequences judged to result in a similar degree of potential fuel damage. The FDCs are used as end-states in the Level 1 event trees. Groupings of the fuel damage categories are used to transition from the Level 1 PRA to the Level 2 PRA (Reference </w:t>
      </w:r>
      <w:r w:rsidR="00CD0CBE">
        <w:fldChar w:fldCharType="begin"/>
      </w:r>
      <w:r w:rsidR="00CD0CBE">
        <w:instrText xml:space="preserve"> REF _Ref302033249 \r \h  \* MERGEFORMAT </w:instrText>
      </w:r>
      <w:r w:rsidR="00CD0CBE">
        <w:fldChar w:fldCharType="separate"/>
      </w:r>
      <w:r w:rsidR="00B772CA" w:rsidRPr="00B772CA">
        <w:rPr>
          <w:rFonts w:eastAsia="Batang"/>
          <w:lang w:val="en-US"/>
        </w:rPr>
        <w:t>[90]</w:t>
      </w:r>
      <w:r w:rsidR="00CD0CBE">
        <w:fldChar w:fldCharType="end"/>
      </w:r>
      <w:r w:rsidRPr="00313E82">
        <w:rPr>
          <w:rFonts w:eastAsia="Batang"/>
          <w:lang w:val="en-US"/>
        </w:rPr>
        <w:t xml:space="preserve"> and </w:t>
      </w:r>
      <w:r w:rsidR="00CD0CBE">
        <w:fldChar w:fldCharType="begin"/>
      </w:r>
      <w:r w:rsidR="00CD0CBE">
        <w:instrText xml:space="preserve"> REF _Ref302033254 \r \h  \* MERGEFORMAT </w:instrText>
      </w:r>
      <w:r w:rsidR="00CD0CBE">
        <w:fldChar w:fldCharType="separate"/>
      </w:r>
      <w:r w:rsidR="00B772CA" w:rsidRPr="00B772CA">
        <w:rPr>
          <w:rFonts w:eastAsia="Batang"/>
          <w:lang w:val="en-US"/>
        </w:rPr>
        <w:t>[91]</w:t>
      </w:r>
      <w:r w:rsidR="00CD0CBE">
        <w:fldChar w:fldCharType="end"/>
      </w:r>
      <w:r w:rsidRPr="00313E82">
        <w:rPr>
          <w:rFonts w:eastAsia="Batang"/>
          <w:lang w:val="en-US"/>
        </w:rPr>
        <w:t xml:space="preserve">). The range of events or event sequences covered by the FDCs is defined by the scope of the PRA. From the event tree analysis, general types </w:t>
      </w:r>
      <w:r w:rsidR="00F45842">
        <w:rPr>
          <w:rFonts w:eastAsia="Batang"/>
          <w:lang w:val="en-US"/>
        </w:rPr>
        <w:t xml:space="preserve">of </w:t>
      </w:r>
      <w:r w:rsidRPr="00313E82">
        <w:rPr>
          <w:rFonts w:eastAsia="Batang"/>
          <w:lang w:val="en-US"/>
        </w:rPr>
        <w:t>accident sequences can be identified. They are presented below in general order decreasing severity of fuel damage:</w:t>
      </w:r>
    </w:p>
    <w:p w:rsidR="00FE4520" w:rsidRPr="00313E82" w:rsidRDefault="00FE4520" w:rsidP="00FE4520">
      <w:pPr>
        <w:pStyle w:val="Paragraphedeliste"/>
        <w:numPr>
          <w:ilvl w:val="1"/>
          <w:numId w:val="25"/>
        </w:numPr>
        <w:rPr>
          <w:rFonts w:eastAsia="Batang"/>
          <w:lang w:val="en-US"/>
        </w:rPr>
      </w:pPr>
      <w:r w:rsidRPr="00313E82">
        <w:rPr>
          <w:rFonts w:eastAsia="Batang"/>
          <w:lang w:val="en-US"/>
        </w:rPr>
        <w:t>Severe Core Damage: Sequences with the potential for loss of core structural integrity.</w:t>
      </w:r>
    </w:p>
    <w:p w:rsidR="00FE4520" w:rsidRPr="00313E82" w:rsidRDefault="00FE4520" w:rsidP="00FE4520">
      <w:pPr>
        <w:pStyle w:val="Paragraphedeliste"/>
        <w:numPr>
          <w:ilvl w:val="1"/>
          <w:numId w:val="25"/>
        </w:numPr>
        <w:rPr>
          <w:rFonts w:eastAsia="Batang"/>
          <w:lang w:val="en-US"/>
        </w:rPr>
      </w:pPr>
      <w:r w:rsidRPr="00313E82">
        <w:rPr>
          <w:rFonts w:eastAsia="Batang"/>
          <w:lang w:val="en-US"/>
        </w:rPr>
        <w:t>Limited Fuel Damage: Loss of fuel cooling requiring the moderator as a heat sink.</w:t>
      </w:r>
    </w:p>
    <w:p w:rsidR="00FE4520" w:rsidRPr="00313E82" w:rsidRDefault="00FE4520" w:rsidP="00FE4520">
      <w:pPr>
        <w:pStyle w:val="Paragraphedeliste"/>
        <w:numPr>
          <w:ilvl w:val="1"/>
          <w:numId w:val="25"/>
        </w:numPr>
        <w:rPr>
          <w:rFonts w:eastAsia="Batang"/>
          <w:lang w:val="en-US"/>
        </w:rPr>
      </w:pPr>
      <w:r w:rsidRPr="00313E82">
        <w:rPr>
          <w:rFonts w:eastAsia="Batang"/>
          <w:lang w:val="en-US"/>
        </w:rPr>
        <w:t>Prolonged loss of heat sink.</w:t>
      </w:r>
    </w:p>
    <w:p w:rsidR="00FE4520" w:rsidRPr="00313E82" w:rsidRDefault="00FE4520" w:rsidP="00AC2CEF">
      <w:pPr>
        <w:pStyle w:val="Paragraphedeliste"/>
        <w:numPr>
          <w:ilvl w:val="2"/>
          <w:numId w:val="25"/>
        </w:numPr>
        <w:rPr>
          <w:rFonts w:eastAsia="Batang"/>
          <w:lang w:val="en-US"/>
        </w:rPr>
      </w:pPr>
      <w:r w:rsidRPr="00313E82">
        <w:rPr>
          <w:rFonts w:eastAsia="Batang"/>
          <w:lang w:val="en-US"/>
        </w:rPr>
        <w:t xml:space="preserve">Inadequate cooling to fuel in one or more core passes following a large loss of coolant accident (LOCA) with unsuccessful </w:t>
      </w:r>
      <w:r w:rsidR="00AC2CEF" w:rsidRPr="00AC2CEF">
        <w:rPr>
          <w:rFonts w:eastAsia="Batang"/>
          <w:lang w:val="en-US"/>
        </w:rPr>
        <w:t xml:space="preserve">emergency coolant injection system </w:t>
      </w:r>
      <w:r w:rsidR="00AC2CEF">
        <w:rPr>
          <w:rFonts w:eastAsia="Batang"/>
          <w:lang w:val="en-US"/>
        </w:rPr>
        <w:t>(</w:t>
      </w:r>
      <w:r w:rsidRPr="00313E82">
        <w:rPr>
          <w:rFonts w:eastAsia="Batang"/>
          <w:lang w:val="en-US"/>
        </w:rPr>
        <w:t>ECIS</w:t>
      </w:r>
      <w:r w:rsidR="00AC2CEF">
        <w:rPr>
          <w:rFonts w:eastAsia="Batang"/>
          <w:lang w:val="en-US"/>
        </w:rPr>
        <w:t>)</w:t>
      </w:r>
      <w:r w:rsidRPr="00313E82">
        <w:rPr>
          <w:rFonts w:eastAsia="Batang"/>
          <w:lang w:val="en-US"/>
        </w:rPr>
        <w:t xml:space="preserve"> initiation.</w:t>
      </w:r>
    </w:p>
    <w:p w:rsidR="00FE4520" w:rsidRPr="00313E82" w:rsidRDefault="00FE4520" w:rsidP="00FE4520">
      <w:pPr>
        <w:pStyle w:val="Paragraphedeliste"/>
        <w:numPr>
          <w:ilvl w:val="2"/>
          <w:numId w:val="25"/>
        </w:numPr>
        <w:rPr>
          <w:rFonts w:eastAsia="Batang"/>
          <w:lang w:val="en-US"/>
        </w:rPr>
      </w:pPr>
      <w:r w:rsidRPr="00313E82">
        <w:rPr>
          <w:rFonts w:eastAsia="Batang"/>
          <w:lang w:val="en-US"/>
        </w:rPr>
        <w:t>Sequences leading to fuel damage in one channel with and without accompanying automatic containment isolation (button-up).</w:t>
      </w:r>
    </w:p>
    <w:p w:rsidR="00FE4520" w:rsidRPr="00313E82" w:rsidRDefault="000400CB" w:rsidP="00FE4520">
      <w:pPr>
        <w:pStyle w:val="Paragraphedeliste"/>
        <w:numPr>
          <w:ilvl w:val="1"/>
          <w:numId w:val="25"/>
        </w:numPr>
        <w:rPr>
          <w:rFonts w:eastAsia="Batang"/>
          <w:lang w:val="en-US"/>
        </w:rPr>
      </w:pPr>
      <w:r>
        <w:rPr>
          <w:rFonts w:eastAsia="Batang"/>
          <w:lang w:val="en-US"/>
        </w:rPr>
        <w:t>Negligible Fuel Damage:</w:t>
      </w:r>
      <w:r w:rsidR="00AC2CEF">
        <w:rPr>
          <w:rFonts w:eastAsia="Batang"/>
          <w:lang w:val="en-US"/>
        </w:rPr>
        <w:t xml:space="preserve"> </w:t>
      </w:r>
      <w:r w:rsidR="00FE4520" w:rsidRPr="00313E82">
        <w:rPr>
          <w:rFonts w:eastAsia="Batang"/>
          <w:lang w:val="en-US"/>
        </w:rPr>
        <w:t>Inadequate cooling to fuel in one or more core passes following a large loss of coolant accident (LOCA) with successful ECIS initiation.</w:t>
      </w:r>
    </w:p>
    <w:p w:rsidR="00FE4520" w:rsidRPr="00313E82" w:rsidRDefault="00FE4520" w:rsidP="00FE4520">
      <w:pPr>
        <w:spacing w:before="240"/>
        <w:ind w:left="709"/>
        <w:rPr>
          <w:rFonts w:eastAsia="Batang"/>
          <w:lang w:val="en-US"/>
        </w:rPr>
      </w:pPr>
      <w:r w:rsidRPr="00313E82">
        <w:rPr>
          <w:rFonts w:eastAsia="Batang"/>
          <w:lang w:val="en-US"/>
        </w:rPr>
        <w:t xml:space="preserve">The FDCs used in Pickering PRA (Reference </w:t>
      </w:r>
      <w:r w:rsidR="009E768B" w:rsidRPr="007E0C24">
        <w:rPr>
          <w:rFonts w:eastAsia="Batang"/>
          <w:lang w:val="en-US"/>
        </w:rPr>
        <w:fldChar w:fldCharType="begin"/>
      </w:r>
      <w:r w:rsidRPr="00313E82">
        <w:rPr>
          <w:rFonts w:eastAsia="Batang"/>
          <w:lang w:val="en-US"/>
        </w:rPr>
        <w:instrText xml:space="preserve"> REF _Ref302033249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[90]</w:t>
      </w:r>
      <w:r w:rsidR="009E768B" w:rsidRPr="007E0C24">
        <w:rPr>
          <w:rFonts w:eastAsia="Batang"/>
          <w:lang w:val="en-US"/>
        </w:rPr>
        <w:fldChar w:fldCharType="end"/>
      </w:r>
      <w:r w:rsidRPr="00313E82">
        <w:rPr>
          <w:rFonts w:eastAsia="Batang"/>
          <w:lang w:val="en-US"/>
        </w:rPr>
        <w:t xml:space="preserve"> and </w:t>
      </w:r>
      <w:r w:rsidR="009E768B" w:rsidRPr="007E0C24">
        <w:rPr>
          <w:rFonts w:eastAsia="Batang"/>
          <w:lang w:val="en-US"/>
        </w:rPr>
        <w:fldChar w:fldCharType="begin"/>
      </w:r>
      <w:r w:rsidRPr="00313E82">
        <w:rPr>
          <w:rFonts w:eastAsia="Batang"/>
          <w:lang w:val="en-US"/>
        </w:rPr>
        <w:instrText xml:space="preserve"> REF _Ref302033254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[91]</w:t>
      </w:r>
      <w:r w:rsidR="009E768B" w:rsidRPr="007E0C24">
        <w:rPr>
          <w:rFonts w:eastAsia="Batang"/>
          <w:lang w:val="en-US"/>
        </w:rPr>
        <w:fldChar w:fldCharType="end"/>
      </w:r>
      <w:r w:rsidRPr="00313E82">
        <w:rPr>
          <w:rFonts w:eastAsia="Batang"/>
          <w:lang w:val="en-US"/>
        </w:rPr>
        <w:t xml:space="preserve">) are presented in the following table. </w:t>
      </w:r>
    </w:p>
    <w:p w:rsidR="00FE4520" w:rsidRDefault="00FE4520" w:rsidP="008C44DD">
      <w:pPr>
        <w:pStyle w:val="Lgende"/>
        <w:rPr>
          <w:rFonts w:eastAsia="Batang"/>
          <w:lang w:val="en-US"/>
        </w:rPr>
      </w:pPr>
      <w:bookmarkStart w:id="572" w:name="_Toc474428907"/>
      <w:r w:rsidRPr="00E0325A">
        <w:rPr>
          <w:lang w:val="en-US"/>
        </w:rPr>
        <w:t xml:space="preserve">Table </w:t>
      </w:r>
      <w:r w:rsidR="009E768B">
        <w:rPr>
          <w:lang w:val="en-US"/>
        </w:rPr>
        <w:fldChar w:fldCharType="begin"/>
      </w:r>
      <w:r w:rsidR="004C6365">
        <w:rPr>
          <w:lang w:val="en-US"/>
        </w:rPr>
        <w:instrText xml:space="preserve"> SEQ Table \* ARABIC </w:instrText>
      </w:r>
      <w:r w:rsidR="009E768B">
        <w:rPr>
          <w:lang w:val="en-US"/>
        </w:rPr>
        <w:fldChar w:fldCharType="separate"/>
      </w:r>
      <w:r w:rsidR="00B772CA">
        <w:rPr>
          <w:noProof/>
          <w:lang w:val="en-US"/>
        </w:rPr>
        <w:t>11</w:t>
      </w:r>
      <w:r w:rsidR="009E768B">
        <w:rPr>
          <w:lang w:val="en-US"/>
        </w:rPr>
        <w:fldChar w:fldCharType="end"/>
      </w:r>
      <w:r w:rsidRPr="00E0325A">
        <w:rPr>
          <w:lang w:val="en-US"/>
        </w:rPr>
        <w:t xml:space="preserve">: Pickering Fuel damage Categories </w:t>
      </w:r>
      <w:r w:rsidR="009E768B" w:rsidRPr="004D7C87">
        <w:rPr>
          <w:rFonts w:eastAsia="Batang"/>
          <w:lang w:val="en-US"/>
        </w:rPr>
        <w:fldChar w:fldCharType="begin"/>
      </w:r>
      <w:r w:rsidRPr="00313E82">
        <w:rPr>
          <w:rFonts w:eastAsia="Batang"/>
          <w:lang w:val="en-US"/>
        </w:rPr>
        <w:instrText xml:space="preserve"> REF _Ref302033249 \r \h </w:instrText>
      </w:r>
      <w:r w:rsidR="009E768B" w:rsidRPr="004D7C87">
        <w:rPr>
          <w:rFonts w:eastAsia="Batang"/>
          <w:lang w:val="en-US"/>
        </w:rPr>
      </w:r>
      <w:r w:rsidR="009E768B" w:rsidRPr="004D7C87">
        <w:rPr>
          <w:rFonts w:eastAsia="Batang"/>
          <w:lang w:val="en-US"/>
        </w:rPr>
        <w:fldChar w:fldCharType="separate"/>
      </w:r>
      <w:r w:rsidR="00B772CA">
        <w:rPr>
          <w:rFonts w:eastAsia="Batang"/>
          <w:lang w:val="en-US"/>
        </w:rPr>
        <w:t>[90]</w:t>
      </w:r>
      <w:bookmarkEnd w:id="572"/>
      <w:r w:rsidR="009E768B" w:rsidRPr="004D7C87">
        <w:rPr>
          <w:rFonts w:eastAsia="Batang"/>
          <w:lang w:val="en-US"/>
        </w:rPr>
        <w:fldChar w:fldCharType="end"/>
      </w:r>
      <w:r w:rsidRPr="00313E82">
        <w:rPr>
          <w:rFonts w:eastAsia="Batang"/>
          <w:lang w:val="en-US"/>
        </w:rPr>
        <w:t xml:space="preserve"> </w:t>
      </w:r>
    </w:p>
    <w:p w:rsidR="00F01E63" w:rsidRPr="00552F4E" w:rsidRDefault="00F01E63" w:rsidP="00552F4E">
      <w:pPr>
        <w:rPr>
          <w:lang w:val="en-US"/>
        </w:rPr>
      </w:pPr>
    </w:p>
    <w:tbl>
      <w:tblPr>
        <w:tblW w:w="5000" w:type="pct"/>
        <w:tblBorders>
          <w:top w:val="nil"/>
          <w:left w:val="nil"/>
          <w:right w:val="nil"/>
        </w:tblBorders>
        <w:tblLayout w:type="fixed"/>
        <w:tblLook w:val="0000" w:firstRow="0" w:lastRow="0" w:firstColumn="0" w:lastColumn="0" w:noHBand="0" w:noVBand="0"/>
      </w:tblPr>
      <w:tblGrid>
        <w:gridCol w:w="1059"/>
        <w:gridCol w:w="3346"/>
        <w:gridCol w:w="5166"/>
      </w:tblGrid>
      <w:tr w:rsidR="00FE4520" w:rsidRPr="00313E82"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b/>
                <w:lang w:val="en-US"/>
              </w:rPr>
            </w:pPr>
            <w:r w:rsidRPr="00313E82">
              <w:rPr>
                <w:rFonts w:eastAsia="Batang"/>
                <w:b/>
                <w:lang w:val="en-US"/>
              </w:rPr>
              <w:t xml:space="preserve">FDC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b/>
                <w:lang w:val="en-US"/>
              </w:rPr>
            </w:pPr>
            <w:r w:rsidRPr="00313E82">
              <w:rPr>
                <w:rFonts w:eastAsia="Batang"/>
                <w:b/>
                <w:lang w:val="en-US"/>
              </w:rPr>
              <w:t xml:space="preserve">Definition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b/>
                <w:lang w:val="en-US"/>
              </w:rPr>
            </w:pPr>
            <w:r w:rsidRPr="00313E82">
              <w:rPr>
                <w:rFonts w:eastAsia="Batang"/>
                <w:b/>
                <w:lang w:val="en-US"/>
              </w:rPr>
              <w:t xml:space="preserve">Typical Events in FDC </w:t>
            </w:r>
          </w:p>
        </w:tc>
      </w:tr>
      <w:tr w:rsidR="00FE4520" w:rsidRPr="00557A1D"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FDC1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Rapid loss of core structural integrity.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lang w:val="en-US"/>
              </w:rPr>
            </w:pPr>
            <w:r w:rsidRPr="00313E82">
              <w:rPr>
                <w:rFonts w:eastAsia="Batang"/>
                <w:lang w:val="en-US"/>
              </w:rPr>
              <w:t xml:space="preserve">Positive reactivity transient and failure to shutdown the reactor. </w:t>
            </w:r>
          </w:p>
        </w:tc>
      </w:tr>
      <w:tr w:rsidR="00FE4520" w:rsidRPr="00557A1D"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FDC2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Slow loss of core structural integrity.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LOCA with failure of HT inventory makeup and failure of moderator heat sink. </w:t>
            </w:r>
          </w:p>
        </w:tc>
      </w:tr>
      <w:tr w:rsidR="00FE4520" w:rsidRPr="00557A1D"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FDC3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Moderator required as heat sink in the short term (&lt; 1 hr after reactor trip).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Small LOCAs and failures of HTS makeup before one hour, and successful moderator heat removal. </w:t>
            </w:r>
          </w:p>
        </w:tc>
      </w:tr>
      <w:tr w:rsidR="00FE4520" w:rsidRPr="00557A1D"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FDC4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Moderator required as heat sink in the intermediate term (1 to 24 hr after reactor trip).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Small LOCAs and failure of HTS makeup on demand or during mission before 24 hours, and successful moderator heat sink. </w:t>
            </w:r>
          </w:p>
          <w:p w:rsidR="00FE4520" w:rsidRPr="00313E82" w:rsidRDefault="00FE4520" w:rsidP="00552F4E">
            <w:pPr>
              <w:spacing w:line="240" w:lineRule="auto"/>
              <w:rPr>
                <w:rFonts w:eastAsia="Batang"/>
                <w:b/>
                <w:lang w:val="en-US"/>
              </w:rPr>
            </w:pPr>
            <w:r w:rsidRPr="00313E82">
              <w:rPr>
                <w:rFonts w:eastAsia="Batang"/>
                <w:lang w:val="en-US"/>
              </w:rPr>
              <w:t xml:space="preserve">A loss of all heat sinks leading to breaks in the HTS, with successful HTS inventory makeup. </w:t>
            </w:r>
          </w:p>
        </w:tc>
      </w:tr>
      <w:tr w:rsidR="00FE4520" w:rsidRPr="00557A1D"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FDC5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Moderator required as heat sink in the long term (&gt; 24 hr after reactor trip).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LOCAs with and failure of HTS makeup after 24 hours, with successful moderator. </w:t>
            </w:r>
          </w:p>
        </w:tc>
      </w:tr>
      <w:tr w:rsidR="00FE4520" w:rsidRPr="00557A1D"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FDC6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Temporary loss of cooling to fuel in many channels.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Large LOCA with successful ECI. </w:t>
            </w:r>
          </w:p>
        </w:tc>
      </w:tr>
      <w:tr w:rsidR="00FE4520" w:rsidRPr="00557A1D"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FDC7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Single channel fuel failure with sufficient release of steam or radioactivity to initiate automatic containment button-up.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End-fitting LOCA and fuel ejection with successful ECI. </w:t>
            </w:r>
          </w:p>
          <w:p w:rsidR="00FE4520" w:rsidRPr="00313E82" w:rsidRDefault="00FE4520" w:rsidP="00552F4E">
            <w:pPr>
              <w:spacing w:line="240" w:lineRule="auto"/>
              <w:rPr>
                <w:rFonts w:eastAsia="Batang"/>
                <w:b/>
                <w:lang w:val="en-US"/>
              </w:rPr>
            </w:pPr>
            <w:r w:rsidRPr="00313E82">
              <w:rPr>
                <w:rFonts w:eastAsia="Batang"/>
                <w:lang w:val="en-US"/>
              </w:rPr>
              <w:t xml:space="preserve">LOCA stagnation feeder break and successful ECI. </w:t>
            </w:r>
          </w:p>
        </w:tc>
      </w:tr>
      <w:tr w:rsidR="00FE4520" w:rsidRPr="00557A1D"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FDC8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Single channel fuel failure with insufficient release of steam or radiation activity to initiate automatic containment button-up.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In-core LOCA and fuel ejection, with successful ECI. </w:t>
            </w:r>
          </w:p>
          <w:p w:rsidR="00FE4520" w:rsidRPr="00313E82" w:rsidRDefault="00FE4520" w:rsidP="00552F4E">
            <w:pPr>
              <w:spacing w:line="240" w:lineRule="auto"/>
              <w:rPr>
                <w:rFonts w:eastAsia="Batang"/>
                <w:b/>
                <w:lang w:val="en-US"/>
              </w:rPr>
            </w:pPr>
            <w:r w:rsidRPr="00313E82">
              <w:rPr>
                <w:rFonts w:eastAsia="Batang"/>
                <w:lang w:val="en-US"/>
              </w:rPr>
              <w:t xml:space="preserve">Large fuel blockage. LOCA stagnation feeder break. </w:t>
            </w:r>
          </w:p>
        </w:tc>
      </w:tr>
      <w:tr w:rsidR="00FE4520" w:rsidRPr="00557A1D" w:rsidTr="00FE4520">
        <w:tblPrEx>
          <w:tblBorders>
            <w:top w:val="none" w:sz="0" w:space="0" w:color="auto"/>
          </w:tblBorders>
        </w:tblPrEx>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lastRenderedPageBreak/>
              <w:t xml:space="preserve">FDC9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LOCAs with no fuel failure (ECIS successful); potential for significant economic impact.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Small LOCAs or large LOCA with successful ECI. </w:t>
            </w:r>
          </w:p>
        </w:tc>
      </w:tr>
      <w:tr w:rsidR="00FE4520" w:rsidRPr="00557A1D"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S</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Success plant state. No fuel failure, ECIS not required.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LOCA with successful D2O makeup and long term heat sink. </w:t>
            </w:r>
          </w:p>
          <w:p w:rsidR="00FE4520" w:rsidRPr="00313E82" w:rsidRDefault="00FE4520" w:rsidP="00552F4E">
            <w:pPr>
              <w:spacing w:line="240" w:lineRule="auto"/>
              <w:rPr>
                <w:rFonts w:eastAsia="Batang"/>
                <w:b/>
                <w:lang w:val="en-US"/>
              </w:rPr>
            </w:pPr>
            <w:r w:rsidRPr="00313E82">
              <w:rPr>
                <w:rFonts w:eastAsia="Batang"/>
                <w:lang w:val="en-US"/>
              </w:rPr>
              <w:t xml:space="preserve">No LOCA events with a successful heat sink. </w:t>
            </w:r>
          </w:p>
        </w:tc>
      </w:tr>
      <w:tr w:rsidR="00FE4520" w:rsidRPr="00557A1D"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FDC1-SD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Rapid loss of core structural integrity.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Positive reactivity transient during shutdown and failure to terminate the event. </w:t>
            </w:r>
          </w:p>
        </w:tc>
      </w:tr>
      <w:tr w:rsidR="00FE4520" w:rsidRPr="00557A1D"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FDC2-SD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Slow loss of core structural integrity.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LOCA with failure of HT inventory makeup and failure of moderator heat sink. </w:t>
            </w:r>
          </w:p>
        </w:tc>
      </w:tr>
      <w:tr w:rsidR="00FE4520" w:rsidRPr="00557A1D"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FDC5-SD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Moderator required as heat sink in the long term (&gt; 24 hr after reactor shutdown).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LOCAs with and failure of HTS makeup with successful moderator. </w:t>
            </w:r>
          </w:p>
        </w:tc>
      </w:tr>
      <w:tr w:rsidR="00FE4520" w:rsidRPr="00557A1D"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FDC7-SD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Single channel fuel failure with sufficient release of steam or radioactivity to initiate automatic containment button-up.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End-fitting failure with fuel ejection and successful ECI. </w:t>
            </w:r>
          </w:p>
          <w:p w:rsidR="00FE4520" w:rsidRPr="00313E82" w:rsidRDefault="00FE4520" w:rsidP="00552F4E">
            <w:pPr>
              <w:spacing w:line="240" w:lineRule="auto"/>
              <w:rPr>
                <w:rFonts w:eastAsia="Batang"/>
                <w:b/>
                <w:lang w:val="en-US"/>
              </w:rPr>
            </w:pPr>
            <w:r w:rsidRPr="00313E82">
              <w:rPr>
                <w:rFonts w:eastAsia="Batang"/>
                <w:lang w:val="en-US"/>
              </w:rPr>
              <w:t xml:space="preserve">Large flow blockage or stagnation feeder break and successful ECI. </w:t>
            </w:r>
          </w:p>
        </w:tc>
      </w:tr>
      <w:tr w:rsidR="00FE4520" w:rsidRPr="00557A1D" w:rsidTr="00FE4520">
        <w:tc>
          <w:tcPr>
            <w:tcW w:w="553"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jc w:val="center"/>
              <w:rPr>
                <w:rFonts w:eastAsia="Batang"/>
                <w:lang w:val="en-US"/>
              </w:rPr>
            </w:pPr>
            <w:r w:rsidRPr="00313E82">
              <w:rPr>
                <w:rFonts w:eastAsia="Batang"/>
                <w:lang w:val="en-US"/>
              </w:rPr>
              <w:t xml:space="preserve">FDC9-SD </w:t>
            </w:r>
          </w:p>
        </w:tc>
        <w:tc>
          <w:tcPr>
            <w:tcW w:w="1748"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LOCAs with no fuel failure (ECIS successful); potential for significant economic impact. </w:t>
            </w:r>
          </w:p>
        </w:tc>
        <w:tc>
          <w:tcPr>
            <w:tcW w:w="2699" w:type="pct"/>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 xml:space="preserve">LOCAs with failure of D2O make-up, but successful ECI and a heat sink. </w:t>
            </w:r>
          </w:p>
        </w:tc>
      </w:tr>
      <w:tr w:rsidR="00FE4520" w:rsidRPr="00313E82" w:rsidTr="00FE4520">
        <w:tc>
          <w:tcPr>
            <w:tcW w:w="5000" w:type="pct"/>
            <w:gridSpan w:val="3"/>
            <w:tcBorders>
              <w:top w:val="single" w:sz="7" w:space="0" w:color="auto"/>
              <w:left w:val="single" w:sz="7" w:space="0" w:color="auto"/>
              <w:bottom w:val="single" w:sz="7" w:space="0" w:color="auto"/>
              <w:right w:val="single" w:sz="7" w:space="0" w:color="auto"/>
            </w:tcBorders>
            <w:tcMar>
              <w:top w:w="20" w:type="nil"/>
              <w:left w:w="20" w:type="nil"/>
              <w:bottom w:w="20" w:type="nil"/>
              <w:right w:w="20" w:type="nil"/>
            </w:tcMar>
            <w:vAlign w:val="center"/>
          </w:tcPr>
          <w:p w:rsidR="00FE4520" w:rsidRPr="00313E82" w:rsidRDefault="00FE4520" w:rsidP="00552F4E">
            <w:pPr>
              <w:spacing w:line="240" w:lineRule="auto"/>
              <w:rPr>
                <w:rFonts w:eastAsia="Batang"/>
                <w:b/>
                <w:lang w:val="en-US"/>
              </w:rPr>
            </w:pPr>
            <w:r w:rsidRPr="00313E82">
              <w:rPr>
                <w:rFonts w:eastAsia="Batang"/>
                <w:lang w:val="en-US"/>
              </w:rPr>
              <w:t>(1) SD: Shutdown</w:t>
            </w:r>
          </w:p>
        </w:tc>
      </w:tr>
    </w:tbl>
    <w:p w:rsidR="00FE4520" w:rsidRDefault="00FE4520" w:rsidP="00FE4520">
      <w:pPr>
        <w:rPr>
          <w:rFonts w:eastAsia="Batang"/>
          <w:b/>
          <w:lang w:val="en-US"/>
        </w:rPr>
      </w:pPr>
    </w:p>
    <w:p w:rsidR="00FE4520" w:rsidRPr="00313E82" w:rsidRDefault="000400CB" w:rsidP="00FE4520">
      <w:pPr>
        <w:rPr>
          <w:rFonts w:eastAsia="Batang"/>
          <w:b/>
          <w:lang w:val="en-US"/>
        </w:rPr>
      </w:pPr>
      <w:r>
        <w:rPr>
          <w:rFonts w:eastAsia="Batang"/>
          <w:b/>
          <w:lang w:val="en-US"/>
        </w:rPr>
        <w:t>Interface between PSA Level</w:t>
      </w:r>
      <w:r w:rsidR="00FE4520" w:rsidRPr="00313E82">
        <w:rPr>
          <w:rFonts w:eastAsia="Batang"/>
          <w:b/>
          <w:lang w:val="en-US"/>
        </w:rPr>
        <w:t xml:space="preserve"> 1 and Level 2 </w:t>
      </w:r>
      <w:r w:rsidR="009E768B" w:rsidRPr="007E0C24">
        <w:rPr>
          <w:rFonts w:eastAsia="Batang"/>
          <w:b/>
          <w:lang w:val="en-US"/>
        </w:rPr>
        <w:fldChar w:fldCharType="begin"/>
      </w:r>
      <w:r w:rsidR="00FE4520" w:rsidRPr="00313E82">
        <w:rPr>
          <w:rFonts w:eastAsia="Batang"/>
          <w:b/>
          <w:lang w:val="en-US"/>
        </w:rPr>
        <w:instrText xml:space="preserve"> REF _Ref302033249 \r \h </w:instrText>
      </w:r>
      <w:r w:rsidR="009E768B" w:rsidRPr="007E0C24">
        <w:rPr>
          <w:rFonts w:eastAsia="Batang"/>
          <w:b/>
          <w:lang w:val="en-US"/>
        </w:rPr>
      </w:r>
      <w:r w:rsidR="009E768B" w:rsidRPr="007E0C24">
        <w:rPr>
          <w:rFonts w:eastAsia="Batang"/>
          <w:b/>
          <w:lang w:val="en-US"/>
        </w:rPr>
        <w:fldChar w:fldCharType="separate"/>
      </w:r>
      <w:r w:rsidR="00B772CA">
        <w:rPr>
          <w:rFonts w:eastAsia="Batang"/>
          <w:b/>
          <w:lang w:val="en-US"/>
        </w:rPr>
        <w:t>[90]</w:t>
      </w:r>
      <w:r w:rsidR="009E768B" w:rsidRPr="007E0C24">
        <w:rPr>
          <w:rFonts w:eastAsia="Batang"/>
          <w:b/>
          <w:lang w:val="en-US"/>
        </w:rPr>
        <w:fldChar w:fldCharType="end"/>
      </w:r>
      <w:r w:rsidR="00FE4520" w:rsidRPr="00313E82">
        <w:rPr>
          <w:rFonts w:eastAsia="Batang"/>
          <w:b/>
          <w:lang w:val="en-US"/>
        </w:rPr>
        <w:t>:</w:t>
      </w:r>
    </w:p>
    <w:p w:rsidR="00FE4520" w:rsidRPr="00313E82" w:rsidRDefault="00FE4520" w:rsidP="00FE4520">
      <w:pPr>
        <w:rPr>
          <w:rFonts w:eastAsia="Batang"/>
          <w:lang w:val="en-US"/>
        </w:rPr>
      </w:pPr>
      <w:r w:rsidRPr="00313E82">
        <w:rPr>
          <w:rFonts w:eastAsia="Batang"/>
          <w:lang w:val="en-US"/>
        </w:rPr>
        <w:t>A subset of the FDCs (1-7), those that involve release of significant quantities of fission products from the core, is used to develop the interface between Level 1 and Level 2, the Plant Damage States (PDSs). The plant damage states serve to reduce number of the sequences assessed in the Level 2 analysis to a manageable number while still reflecting the full range of possible accident sequences and their impacts on the plant.</w:t>
      </w:r>
    </w:p>
    <w:p w:rsidR="00FE4520" w:rsidRPr="00313E82" w:rsidRDefault="00FE4520" w:rsidP="00FE4520">
      <w:pPr>
        <w:rPr>
          <w:rFonts w:eastAsia="Batang"/>
          <w:lang w:val="en-US"/>
        </w:rPr>
      </w:pPr>
      <w:r w:rsidRPr="00313E82">
        <w:rPr>
          <w:rFonts w:eastAsia="Batang"/>
          <w:lang w:val="en-US"/>
        </w:rPr>
        <w:t>Only two FDCs are used to represent the range of sequences that result in severe core damage, FDC1 for rapid accident progression resulting from failures to shut down the reactor when required and FDC2 for all other sequences. FDC1 is conservatively assumed to cause early consequential containment failure and is assigned to a unique PDS, PDS1.</w:t>
      </w:r>
    </w:p>
    <w:p w:rsidR="00FE4520" w:rsidRPr="00313E82" w:rsidRDefault="00FE4520" w:rsidP="00FE4520">
      <w:pPr>
        <w:rPr>
          <w:rFonts w:eastAsia="Batang"/>
          <w:lang w:val="en-US"/>
        </w:rPr>
      </w:pPr>
      <w:r w:rsidRPr="00313E82">
        <w:rPr>
          <w:rFonts w:eastAsia="Batang"/>
          <w:lang w:val="en-US"/>
        </w:rPr>
        <w:t>FDC2 is not assumed to result in immediate containment failure and was subdivided into three PDSs (2-4) to examine the potential for random and consequential failures of containment systems that could eventually lead to enhanced release to the environment:</w:t>
      </w:r>
    </w:p>
    <w:p w:rsidR="00FE4520" w:rsidRPr="00313E82" w:rsidRDefault="00FE4520" w:rsidP="00FE4520">
      <w:pPr>
        <w:pStyle w:val="Paragraphedeliste"/>
        <w:numPr>
          <w:ilvl w:val="0"/>
          <w:numId w:val="35"/>
        </w:numPr>
        <w:rPr>
          <w:rFonts w:eastAsia="Batang"/>
          <w:lang w:val="en-US"/>
        </w:rPr>
      </w:pPr>
      <w:r w:rsidRPr="00313E82">
        <w:rPr>
          <w:rFonts w:eastAsia="Batang"/>
          <w:lang w:val="en-US"/>
        </w:rPr>
        <w:t>PDS2 represents sequences affecting a single unit with release into containment;</w:t>
      </w:r>
    </w:p>
    <w:p w:rsidR="00FE4520" w:rsidRPr="00313E82" w:rsidRDefault="00FE4520" w:rsidP="00FE4520">
      <w:pPr>
        <w:pStyle w:val="Paragraphedeliste"/>
        <w:numPr>
          <w:ilvl w:val="0"/>
          <w:numId w:val="35"/>
        </w:numPr>
        <w:rPr>
          <w:rFonts w:eastAsia="Batang"/>
          <w:lang w:val="en-US"/>
        </w:rPr>
      </w:pPr>
      <w:r w:rsidRPr="00313E82">
        <w:rPr>
          <w:rFonts w:eastAsia="Batang"/>
          <w:lang w:val="en-US"/>
        </w:rPr>
        <w:t>PDS3 represents sequences affecting more than one unit;</w:t>
      </w:r>
    </w:p>
    <w:p w:rsidR="00FE4520" w:rsidRPr="00313E82" w:rsidRDefault="00FE4520" w:rsidP="00FE4520">
      <w:pPr>
        <w:pStyle w:val="Paragraphedeliste"/>
        <w:numPr>
          <w:ilvl w:val="0"/>
          <w:numId w:val="35"/>
        </w:numPr>
        <w:rPr>
          <w:rFonts w:eastAsia="Batang"/>
          <w:lang w:val="en-US"/>
        </w:rPr>
      </w:pPr>
      <w:r w:rsidRPr="00313E82">
        <w:rPr>
          <w:rFonts w:eastAsia="Batang"/>
          <w:lang w:val="en-US"/>
        </w:rPr>
        <w:t>PDS4 represents single unit sequences with a release pathway that bypasses containment.</w:t>
      </w:r>
    </w:p>
    <w:p w:rsidR="00FE4520" w:rsidRDefault="00FE4520" w:rsidP="00FE4520">
      <w:pPr>
        <w:rPr>
          <w:rFonts w:eastAsia="Batang"/>
          <w:lang w:val="en-US"/>
        </w:rPr>
      </w:pPr>
    </w:p>
    <w:p w:rsidR="00FE4520" w:rsidRPr="006565BB" w:rsidRDefault="00FE4520" w:rsidP="006565BB">
      <w:pPr>
        <w:rPr>
          <w:rFonts w:eastAsia="Batang"/>
          <w:b/>
          <w:u w:val="single"/>
          <w:lang w:val="en-US"/>
        </w:rPr>
      </w:pPr>
      <w:r w:rsidRPr="006565BB">
        <w:rPr>
          <w:rFonts w:eastAsia="Batang"/>
          <w:b/>
          <w:u w:val="single"/>
          <w:lang w:val="en-US"/>
        </w:rPr>
        <w:t>Areas of application</w:t>
      </w:r>
      <w:r w:rsidR="006565BB">
        <w:rPr>
          <w:rFonts w:eastAsia="Batang"/>
          <w:b/>
          <w:u w:val="single"/>
          <w:lang w:val="en-US"/>
        </w:rPr>
        <w:t>:</w:t>
      </w:r>
    </w:p>
    <w:p w:rsidR="00FE4520" w:rsidRPr="00313E82" w:rsidRDefault="00FE4520" w:rsidP="00FE4520">
      <w:pPr>
        <w:rPr>
          <w:rFonts w:eastAsia="Batang"/>
          <w:lang w:val="en-US"/>
        </w:rPr>
      </w:pPr>
      <w:r w:rsidRPr="00313E82">
        <w:rPr>
          <w:rFonts w:eastAsia="Batang"/>
          <w:lang w:val="en-US"/>
        </w:rPr>
        <w:t xml:space="preserve">Some of the areas of application of the fuel damage frequency is compliance with the country regulation. Ontario Power Generation (Reference </w:t>
      </w:r>
      <w:r w:rsidR="009E768B" w:rsidRPr="007E0C24">
        <w:rPr>
          <w:rFonts w:eastAsia="Batang"/>
          <w:lang w:val="en-US"/>
        </w:rPr>
        <w:fldChar w:fldCharType="begin"/>
      </w:r>
      <w:r w:rsidRPr="00313E82">
        <w:rPr>
          <w:rFonts w:eastAsia="Batang"/>
          <w:lang w:val="en-US"/>
        </w:rPr>
        <w:instrText xml:space="preserve"> REF _Ref302033249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[90]</w:t>
      </w:r>
      <w:r w:rsidR="009E768B" w:rsidRPr="007E0C24">
        <w:rPr>
          <w:rFonts w:eastAsia="Batang"/>
          <w:lang w:val="en-US"/>
        </w:rPr>
        <w:fldChar w:fldCharType="end"/>
      </w:r>
      <w:r w:rsidRPr="00313E82">
        <w:rPr>
          <w:rFonts w:eastAsia="Batang"/>
          <w:lang w:val="en-US"/>
        </w:rPr>
        <w:t xml:space="preserve"> and </w:t>
      </w:r>
      <w:r w:rsidR="009E768B" w:rsidRPr="007E0C24">
        <w:rPr>
          <w:rFonts w:eastAsia="Batang"/>
          <w:lang w:val="en-US"/>
        </w:rPr>
        <w:fldChar w:fldCharType="begin"/>
      </w:r>
      <w:r w:rsidRPr="00313E82">
        <w:rPr>
          <w:rFonts w:eastAsia="Batang"/>
          <w:lang w:val="en-US"/>
        </w:rPr>
        <w:instrText xml:space="preserve"> REF _Ref302033254 \r \h </w:instrText>
      </w:r>
      <w:r w:rsidR="009E768B" w:rsidRPr="007E0C24">
        <w:rPr>
          <w:rFonts w:eastAsia="Batang"/>
          <w:lang w:val="en-US"/>
        </w:rPr>
      </w:r>
      <w:r w:rsidR="009E768B" w:rsidRPr="007E0C24">
        <w:rPr>
          <w:rFonts w:eastAsia="Batang"/>
          <w:lang w:val="en-US"/>
        </w:rPr>
        <w:fldChar w:fldCharType="separate"/>
      </w:r>
      <w:r w:rsidR="00B772CA">
        <w:rPr>
          <w:rFonts w:eastAsia="Batang"/>
          <w:lang w:val="en-US"/>
        </w:rPr>
        <w:t>[91]</w:t>
      </w:r>
      <w:r w:rsidR="009E768B" w:rsidRPr="007E0C24">
        <w:rPr>
          <w:rFonts w:eastAsia="Batang"/>
          <w:lang w:val="en-US"/>
        </w:rPr>
        <w:fldChar w:fldCharType="end"/>
      </w:r>
      <w:r w:rsidRPr="00313E82">
        <w:rPr>
          <w:rFonts w:eastAsia="Batang"/>
          <w:lang w:val="en-US"/>
        </w:rPr>
        <w:t xml:space="preserve">) uses the fuel damage categories (FDCs) to calculate the frequency of severe core damage, for comparison to the relevant Ontario Power Generation safety goal and the Canadian regulation. Severe core damage is defined to be the sum of the FDC1 and FDC2 frequencies (See previous section for the definition of FDC1 and FDC2). </w:t>
      </w:r>
    </w:p>
    <w:p w:rsidR="00FE4520" w:rsidRDefault="00FE4520" w:rsidP="00FE4520">
      <w:pPr>
        <w:rPr>
          <w:rFonts w:eastAsia="Batang"/>
          <w:lang w:val="en-US"/>
        </w:rPr>
      </w:pPr>
    </w:p>
    <w:p w:rsidR="00FE4520" w:rsidRPr="006565BB" w:rsidRDefault="00FE4520" w:rsidP="00552F4E">
      <w:pPr>
        <w:keepNext/>
        <w:keepLines/>
        <w:rPr>
          <w:rFonts w:eastAsia="Batang"/>
          <w:b/>
          <w:u w:val="single"/>
          <w:lang w:val="en-US"/>
        </w:rPr>
      </w:pPr>
      <w:r w:rsidRPr="006565BB">
        <w:rPr>
          <w:rFonts w:eastAsia="Batang"/>
          <w:b/>
          <w:u w:val="single"/>
          <w:lang w:val="en-US"/>
        </w:rPr>
        <w:lastRenderedPageBreak/>
        <w:t>Discussion</w:t>
      </w:r>
      <w:r w:rsidR="006565BB">
        <w:rPr>
          <w:rFonts w:eastAsia="Batang"/>
          <w:b/>
          <w:u w:val="single"/>
          <w:lang w:val="en-US"/>
        </w:rPr>
        <w:t>:</w:t>
      </w:r>
    </w:p>
    <w:p w:rsidR="00032992" w:rsidRDefault="00FE4520" w:rsidP="00552F4E">
      <w:pPr>
        <w:keepNext/>
        <w:keepLines/>
        <w:rPr>
          <w:rFonts w:eastAsia="Batang"/>
          <w:lang w:val="en-US"/>
        </w:rPr>
      </w:pPr>
      <w:r>
        <w:rPr>
          <w:rFonts w:eastAsia="Batang"/>
          <w:lang w:val="en-US"/>
        </w:rPr>
        <w:t xml:space="preserve">The example from Pickering NPP is specific to CANDU reactor. </w:t>
      </w:r>
    </w:p>
    <w:p w:rsidR="00032992" w:rsidRDefault="00032992" w:rsidP="00552F4E">
      <w:pPr>
        <w:keepNext/>
        <w:keepLines/>
        <w:rPr>
          <w:rFonts w:eastAsia="Batang"/>
          <w:lang w:val="en-US"/>
        </w:rPr>
      </w:pPr>
      <w:r>
        <w:rPr>
          <w:rFonts w:eastAsia="Batang"/>
          <w:lang w:val="en-US"/>
        </w:rPr>
        <w:t>It is interesting to see that the Fuel Damage Categories (FDC) provide intermediary information before severe core damage and PDS. This a not a common practice for other NPPs but it is a good example to show that defining Plant Damage State is a plant specific activity.</w:t>
      </w:r>
    </w:p>
    <w:p w:rsidR="002A0AC2" w:rsidRPr="00313E82" w:rsidRDefault="002A0AC2" w:rsidP="009A1C44">
      <w:pPr>
        <w:jc w:val="center"/>
        <w:rPr>
          <w:lang w:val="en-US"/>
        </w:rPr>
      </w:pPr>
    </w:p>
    <w:sectPr w:rsidR="002A0AC2" w:rsidRPr="00313E82" w:rsidSect="00DD1748">
      <w:pgSz w:w="11907" w:h="16840" w:code="9"/>
      <w:pgMar w:top="1304" w:right="1134" w:bottom="1588" w:left="567" w:header="567" w:footer="0" w:gutter="851"/>
      <w:cols w:space="38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04F" w:rsidRDefault="0042104F">
      <w:r>
        <w:separator/>
      </w:r>
    </w:p>
    <w:p w:rsidR="0042104F" w:rsidRDefault="0042104F"/>
  </w:endnote>
  <w:endnote w:type="continuationSeparator" w:id="0">
    <w:p w:rsidR="0042104F" w:rsidRDefault="0042104F">
      <w:r>
        <w:continuationSeparator/>
      </w:r>
    </w:p>
    <w:p w:rsidR="0042104F" w:rsidRDefault="00421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T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3472"/>
      <w:gridCol w:w="4987"/>
      <w:gridCol w:w="1011"/>
    </w:tblGrid>
    <w:tr w:rsidR="0042104F" w:rsidTr="00DC3DAF">
      <w:tc>
        <w:tcPr>
          <w:tcW w:w="3472" w:type="dxa"/>
          <w:tcBorders>
            <w:top w:val="single" w:sz="4" w:space="0" w:color="auto"/>
          </w:tcBorders>
        </w:tcPr>
        <w:p w:rsidR="0042104F" w:rsidRDefault="0042104F" w:rsidP="002D3230">
          <w:r w:rsidRPr="001476F8">
            <w:rPr>
              <w:i/>
            </w:rPr>
            <w:t xml:space="preserve">Report IRSN/PSN-RES-SAG </w:t>
          </w:r>
          <w:r>
            <w:rPr>
              <w:i/>
            </w:rPr>
            <w:t>2017-018</w:t>
          </w:r>
        </w:p>
      </w:tc>
      <w:tc>
        <w:tcPr>
          <w:tcW w:w="4987" w:type="dxa"/>
          <w:tcBorders>
            <w:top w:val="single" w:sz="4" w:space="0" w:color="auto"/>
            <w:left w:val="nil"/>
          </w:tcBorders>
        </w:tcPr>
        <w:p w:rsidR="0042104F" w:rsidRDefault="0042104F" w:rsidP="002F20B6">
          <w:pPr>
            <w:jc w:val="center"/>
            <w:rPr>
              <w:rFonts w:ascii="Garamond" w:hAnsi="Garamond"/>
              <w:sz w:val="16"/>
            </w:rPr>
          </w:pPr>
          <w:r w:rsidRPr="000355F6">
            <w:rPr>
              <w:i/>
            </w:rPr>
            <w:t>Technical report ASAMPSA_E / D30.</w:t>
          </w:r>
          <w:r>
            <w:rPr>
              <w:i/>
            </w:rPr>
            <w:t>7</w:t>
          </w:r>
          <w:r w:rsidRPr="000355F6">
            <w:rPr>
              <w:i/>
            </w:rPr>
            <w:t xml:space="preserve"> /</w:t>
          </w:r>
          <w:r>
            <w:rPr>
              <w:i/>
            </w:rPr>
            <w:t>2017-31 volume 3</w:t>
          </w:r>
        </w:p>
      </w:tc>
      <w:tc>
        <w:tcPr>
          <w:tcW w:w="1011" w:type="dxa"/>
          <w:tcBorders>
            <w:top w:val="single" w:sz="4" w:space="0" w:color="auto"/>
          </w:tcBorders>
        </w:tcPr>
        <w:p w:rsidR="0042104F" w:rsidRDefault="0042104F" w:rsidP="00DC3DAF">
          <w:pPr>
            <w:jc w:val="right"/>
            <w:rPr>
              <w:vertAlign w:val="subscript"/>
            </w:rPr>
          </w:pPr>
          <w:r>
            <w:rPr>
              <w:rStyle w:val="Numrodepage"/>
            </w:rPr>
            <w:fldChar w:fldCharType="begin"/>
          </w:r>
          <w:r>
            <w:rPr>
              <w:rStyle w:val="Numrodepage"/>
            </w:rPr>
            <w:instrText xml:space="preserve"> PAGE   \* MERGEFORMAT </w:instrText>
          </w:r>
          <w:r>
            <w:rPr>
              <w:rStyle w:val="Numrodepage"/>
            </w:rPr>
            <w:fldChar w:fldCharType="separate"/>
          </w:r>
          <w:r w:rsidR="0043746A">
            <w:rPr>
              <w:rStyle w:val="Numrodepage"/>
              <w:noProof/>
            </w:rPr>
            <w:t>2</w:t>
          </w:r>
          <w:r>
            <w:rPr>
              <w:rStyle w:val="Numrodepage"/>
            </w:rPr>
            <w:fldChar w:fldCharType="end"/>
          </w:r>
          <w:r>
            <w:t>/</w:t>
          </w:r>
          <w:r w:rsidR="0043746A">
            <w:fldChar w:fldCharType="begin"/>
          </w:r>
          <w:r w:rsidR="0043746A">
            <w:instrText xml:space="preserve"> NUMPAGES   \* MERGEFORMAT </w:instrText>
          </w:r>
          <w:r w:rsidR="0043746A">
            <w:fldChar w:fldCharType="separate"/>
          </w:r>
          <w:r w:rsidR="0043746A" w:rsidRPr="0043746A">
            <w:rPr>
              <w:rStyle w:val="Numrodepage"/>
              <w:noProof/>
            </w:rPr>
            <w:t>140</w:t>
          </w:r>
          <w:r w:rsidR="0043746A">
            <w:rPr>
              <w:rStyle w:val="Numrodepage"/>
              <w:noProof/>
            </w:rPr>
            <w:fldChar w:fldCharType="end"/>
          </w:r>
        </w:p>
      </w:tc>
    </w:tr>
  </w:tbl>
  <w:p w:rsidR="0042104F" w:rsidRDefault="0042104F" w:rsidP="00DD17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4F" w:rsidRDefault="0042104F">
    <w:pPr>
      <w:spacing w:line="204" w:lineRule="exact"/>
      <w:ind w:left="-301"/>
      <w:rPr>
        <w:b/>
        <w:bCs/>
        <w:sz w:val="15"/>
      </w:rPr>
    </w:pPr>
    <w:r>
      <w:rPr>
        <w:b/>
        <w:bCs/>
        <w:sz w:val="15"/>
      </w:rPr>
      <w:t>Siège social - 77, av. du Général-de-Gaulle - 92140 Clamart - Standard +33 (0)1 58 35 88 88 - RCS Nanterre B 440 546 018</w:t>
    </w:r>
  </w:p>
  <w:p w:rsidR="0042104F" w:rsidRDefault="0042104F">
    <w:pPr>
      <w:spacing w:line="204" w:lineRule="exact"/>
      <w:ind w:left="-301"/>
      <w:rPr>
        <w:b/>
        <w:bCs/>
        <w:sz w:val="15"/>
      </w:rPr>
    </w:pPr>
  </w:p>
  <w:p w:rsidR="0042104F" w:rsidRDefault="0042104F">
    <w:pPr>
      <w:spacing w:line="204" w:lineRule="exact"/>
      <w:ind w:left="-301"/>
      <w:rPr>
        <w:b/>
        <w:bCs/>
        <w:sz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04F" w:rsidRDefault="0042104F">
      <w:r>
        <w:separator/>
      </w:r>
    </w:p>
    <w:p w:rsidR="0042104F" w:rsidRDefault="0042104F"/>
  </w:footnote>
  <w:footnote w:type="continuationSeparator" w:id="0">
    <w:p w:rsidR="0042104F" w:rsidRDefault="0042104F">
      <w:r>
        <w:continuationSeparator/>
      </w:r>
    </w:p>
    <w:p w:rsidR="0042104F" w:rsidRDefault="0042104F"/>
  </w:footnote>
  <w:footnote w:id="1">
    <w:p w:rsidR="0042104F" w:rsidRPr="00552F4E" w:rsidRDefault="0042104F">
      <w:pPr>
        <w:pStyle w:val="Notedebasdepage"/>
        <w:rPr>
          <w:szCs w:val="18"/>
          <w:lang w:val="en-US"/>
        </w:rPr>
      </w:pPr>
      <w:r w:rsidRPr="00E71983">
        <w:rPr>
          <w:rStyle w:val="Appelnotedebasdep"/>
          <w:szCs w:val="18"/>
        </w:rPr>
        <w:footnoteRef/>
      </w:r>
      <w:r w:rsidRPr="00552F4E">
        <w:rPr>
          <w:szCs w:val="18"/>
          <w:lang w:val="en-US"/>
        </w:rPr>
        <w:t xml:space="preserve"> Appendix B (Section </w:t>
      </w:r>
      <w:r>
        <w:fldChar w:fldCharType="begin"/>
      </w:r>
      <w:r>
        <w:instrText xml:space="preserve"> REF _Ref305145158 \r \h  \* MERGEFORMAT </w:instrText>
      </w:r>
      <w:r>
        <w:fldChar w:fldCharType="separate"/>
      </w:r>
      <w:r>
        <w:t>9</w:t>
      </w:r>
      <w:r>
        <w:fldChar w:fldCharType="end"/>
      </w:r>
      <w:r w:rsidRPr="00552F4E">
        <w:rPr>
          <w:szCs w:val="18"/>
          <w:lang w:val="en-US"/>
        </w:rPr>
        <w:t>) provides a review of some major accidents, mainly Chernobyl and Fukushima, and their consequences as additional material to illustrate the aspects of risk to be considered when discussing risk measures for PSA.</w:t>
      </w:r>
    </w:p>
  </w:footnote>
  <w:footnote w:id="2">
    <w:p w:rsidR="0042104F" w:rsidRPr="00552F4E" w:rsidRDefault="0042104F">
      <w:pPr>
        <w:pStyle w:val="Notedebasdepage"/>
        <w:rPr>
          <w:lang w:val="en-US"/>
        </w:rPr>
      </w:pPr>
      <w:r>
        <w:rPr>
          <w:rStyle w:val="Appelnotedebasdep"/>
        </w:rPr>
        <w:footnoteRef/>
      </w:r>
      <w:r w:rsidRPr="00552F4E">
        <w:rPr>
          <w:lang w:val="en-US"/>
        </w:rPr>
        <w:t xml:space="preserve"> </w:t>
      </w:r>
      <w:r w:rsidRPr="0067110B">
        <w:rPr>
          <w:b/>
          <w:bCs/>
          <w:lang w:val="en-US"/>
        </w:rPr>
        <w:t>PDCA</w:t>
      </w:r>
      <w:r w:rsidRPr="0067110B">
        <w:rPr>
          <w:lang w:val="en-US"/>
        </w:rPr>
        <w:t xml:space="preserve"> (plan–do–check–act or plan–do–check–adjust) is an iterative four-step management method used in business for the control and continuous improvement of processes and products.</w:t>
      </w:r>
    </w:p>
  </w:footnote>
  <w:footnote w:id="3">
    <w:p w:rsidR="0042104F" w:rsidRPr="00A9765B" w:rsidRDefault="0042104F">
      <w:pPr>
        <w:pStyle w:val="Notedebasdepage"/>
        <w:rPr>
          <w:lang w:val="en-GB"/>
        </w:rPr>
      </w:pPr>
      <w:r>
        <w:rPr>
          <w:rStyle w:val="Appelnotedebasdep"/>
        </w:rPr>
        <w:footnoteRef/>
      </w:r>
      <w:r w:rsidRPr="00552F4E">
        <w:rPr>
          <w:lang w:val="en-US"/>
        </w:rPr>
        <w:t xml:space="preserve"> </w:t>
      </w:r>
      <w:r w:rsidRPr="00A9765B">
        <w:rPr>
          <w:lang w:val="en-GB"/>
        </w:rPr>
        <w:t xml:space="preserve">For the subdivision of PSA in levels, the common definitions will be used, cf. e.g., SSG-3 </w:t>
      </w:r>
      <w:r>
        <w:fldChar w:fldCharType="begin"/>
      </w:r>
      <w:r>
        <w:instrText xml:space="preserve"> REF _Ref384386913 \r \h  \* MERGEFORMAT </w:instrText>
      </w:r>
      <w:r>
        <w:fldChar w:fldCharType="separate"/>
      </w:r>
      <w:r>
        <w:rPr>
          <w:lang w:val="en-GB"/>
        </w:rPr>
        <w:t>[4]</w:t>
      </w:r>
      <w:r>
        <w:fldChar w:fldCharType="end"/>
      </w:r>
      <w:r w:rsidRPr="00A9765B">
        <w:rPr>
          <w:lang w:val="en-GB"/>
        </w:rPr>
        <w:t xml:space="preserve"> and SSG-4</w:t>
      </w:r>
      <w:r>
        <w:rPr>
          <w:lang w:val="en-GB"/>
        </w:rPr>
        <w:t xml:space="preserve"> </w:t>
      </w:r>
      <w:r>
        <w:rPr>
          <w:lang w:val="en-GB"/>
        </w:rPr>
        <w:fldChar w:fldCharType="begin"/>
      </w:r>
      <w:r>
        <w:rPr>
          <w:lang w:val="en-GB"/>
        </w:rPr>
        <w:instrText xml:space="preserve"> REF _Ref393115557 \w \h </w:instrText>
      </w:r>
      <w:r>
        <w:rPr>
          <w:lang w:val="en-GB"/>
        </w:rPr>
      </w:r>
      <w:r>
        <w:rPr>
          <w:lang w:val="en-GB"/>
        </w:rPr>
        <w:fldChar w:fldCharType="separate"/>
      </w:r>
      <w:r>
        <w:rPr>
          <w:lang w:val="en-GB"/>
        </w:rPr>
        <w:t>[5]</w:t>
      </w:r>
      <w:r>
        <w:rPr>
          <w:lang w:val="en-GB"/>
        </w:rPr>
        <w:fldChar w:fldCharType="end"/>
      </w:r>
      <w:r w:rsidRPr="007D5E00">
        <w:rPr>
          <w:lang w:val="en-GB"/>
        </w:rPr>
        <w:t>.</w:t>
      </w:r>
      <w:r w:rsidRPr="00A9765B">
        <w:rPr>
          <w:lang w:val="en-GB"/>
        </w:rPr>
        <w:t xml:space="preserve"> Specifically, Level 2 PSA stops at the releases from the plant to the environment, i.e. effectively at the plant fence.</w:t>
      </w:r>
    </w:p>
  </w:footnote>
  <w:footnote w:id="4">
    <w:p w:rsidR="0042104F" w:rsidRPr="00552F4E" w:rsidRDefault="0042104F">
      <w:pPr>
        <w:pStyle w:val="Notedebasdepage"/>
        <w:rPr>
          <w:lang w:val="en-US"/>
        </w:rPr>
      </w:pPr>
      <w:r>
        <w:rPr>
          <w:rStyle w:val="Appelnotedebasdep"/>
        </w:rPr>
        <w:footnoteRef/>
      </w:r>
      <w:r w:rsidRPr="00552F4E">
        <w:rPr>
          <w:lang w:val="en-US"/>
        </w:rPr>
        <w:t xml:space="preserve"> For more information on direct and secondary risk measures/risk metrics as well as other technical concepts referenced in this section cf. section </w:t>
      </w:r>
      <w:r>
        <w:fldChar w:fldCharType="begin"/>
      </w:r>
      <w:r w:rsidRPr="00552F4E">
        <w:rPr>
          <w:lang w:val="en-US"/>
        </w:rPr>
        <w:instrText xml:space="preserve"> REF _Ref413920393 \r \h </w:instrText>
      </w:r>
      <w:r>
        <w:fldChar w:fldCharType="separate"/>
      </w:r>
      <w:r>
        <w:rPr>
          <w:lang w:val="en-US"/>
        </w:rPr>
        <w:t>8</w:t>
      </w:r>
      <w:r>
        <w:fldChar w:fldCharType="end"/>
      </w:r>
      <w:r w:rsidRPr="00552F4E">
        <w:rPr>
          <w:lang w:val="en-US"/>
        </w:rPr>
        <w:t>.</w:t>
      </w:r>
    </w:p>
  </w:footnote>
  <w:footnote w:id="5">
    <w:p w:rsidR="0042104F" w:rsidRPr="00552F4E" w:rsidRDefault="0042104F">
      <w:pPr>
        <w:pStyle w:val="Notedebasdepage"/>
        <w:rPr>
          <w:lang w:val="en-US"/>
        </w:rPr>
      </w:pPr>
      <w:r>
        <w:rPr>
          <w:rStyle w:val="Appelnotedebasdep"/>
        </w:rPr>
        <w:footnoteRef/>
      </w:r>
      <w:r w:rsidRPr="00552F4E">
        <w:rPr>
          <w:lang w:val="en-US"/>
        </w:rPr>
        <w:t xml:space="preserve"> </w:t>
      </w:r>
      <w:r>
        <w:rPr>
          <w:lang w:val="en-US"/>
        </w:rPr>
        <w:t>I</w:t>
      </w:r>
      <w:r w:rsidRPr="00710F69">
        <w:rPr>
          <w:lang w:val="en-US"/>
        </w:rPr>
        <w:t xml:space="preserve">t is </w:t>
      </w:r>
      <w:r>
        <w:rPr>
          <w:lang w:val="en-US"/>
        </w:rPr>
        <w:t>worth</w:t>
      </w:r>
      <w:r w:rsidRPr="00710F69">
        <w:rPr>
          <w:lang w:val="en-US"/>
        </w:rPr>
        <w:t xml:space="preserve"> to mention, that </w:t>
      </w:r>
      <w:r>
        <w:rPr>
          <w:lang w:val="en-US"/>
        </w:rPr>
        <w:t xml:space="preserve">some authors assert that </w:t>
      </w:r>
      <w:r w:rsidRPr="00710F69">
        <w:rPr>
          <w:lang w:val="en-US"/>
        </w:rPr>
        <w:t xml:space="preserve">calculated results are not consistent with operational experience. The operating experience and statistics show much higher CDF than PSAs </w:t>
      </w:r>
      <w:r>
        <w:rPr>
          <w:lang w:val="en-US"/>
        </w:rPr>
        <w:t xml:space="preserve">models </w:t>
      </w:r>
      <w:r w:rsidRPr="00710F69">
        <w:rPr>
          <w:lang w:val="en-US"/>
        </w:rPr>
        <w:t xml:space="preserve">show. If </w:t>
      </w:r>
      <w:r>
        <w:rPr>
          <w:lang w:val="en-US"/>
        </w:rPr>
        <w:t>one</w:t>
      </w:r>
      <w:r w:rsidRPr="00710F69">
        <w:rPr>
          <w:lang w:val="en-US"/>
        </w:rPr>
        <w:t xml:space="preserve"> take</w:t>
      </w:r>
      <w:r>
        <w:rPr>
          <w:lang w:val="en-US"/>
        </w:rPr>
        <w:t>s</w:t>
      </w:r>
      <w:r w:rsidRPr="00710F69">
        <w:rPr>
          <w:lang w:val="en-US"/>
        </w:rPr>
        <w:t xml:space="preserve"> into account 6 CDF of large extent (more than 25%) in history – Bohunice A1, Slovakia, in 1977 with 25% officially reported core melt, TMI2 – Surry, USA, 1979 with 50% officially reported core melt, Chernobyl, Russia, 1986 with 100% of core melt and Fukushima, Japan, in 2011 3 cores of various extent of melting in 14.500 reactor years </w:t>
      </w:r>
      <w:r>
        <w:rPr>
          <w:lang w:val="en-US"/>
        </w:rPr>
        <w:t xml:space="preserve">this results in </w:t>
      </w:r>
      <w:r w:rsidRPr="00710F69">
        <w:rPr>
          <w:lang w:val="en-US"/>
        </w:rPr>
        <w:t xml:space="preserve">the frequency about 4E-4/Ry which exceeds the IAEA CDF limit E-4/Ry. </w:t>
      </w:r>
      <w:r>
        <w:rPr>
          <w:lang w:val="en-US"/>
        </w:rPr>
        <w:t>Other authors assert that this argument is based on faulty premises and does not provide valid insights on PSA in general.</w:t>
      </w:r>
    </w:p>
  </w:footnote>
  <w:footnote w:id="6">
    <w:p w:rsidR="0042104F" w:rsidRPr="00392253" w:rsidRDefault="0042104F">
      <w:pPr>
        <w:pStyle w:val="Notedebasdepage"/>
        <w:rPr>
          <w:lang w:val="en-GB"/>
        </w:rPr>
      </w:pPr>
      <w:r w:rsidRPr="00392253">
        <w:rPr>
          <w:rStyle w:val="Appelnotedebasdep"/>
          <w:lang w:val="en-GB"/>
        </w:rPr>
        <w:footnoteRef/>
      </w:r>
      <w:r w:rsidRPr="00392253">
        <w:rPr>
          <w:lang w:val="en-GB"/>
        </w:rPr>
        <w:t xml:space="preserve"> The E( ) in the formula below denotes the expected value (i.e. mean) of the probability distribution</w:t>
      </w:r>
      <w:r w:rsidRPr="00A502B3">
        <w:rPr>
          <w:lang w:val="en-GB"/>
        </w:rPr>
        <w:t xml:space="preserve"> </w:t>
      </w:r>
      <m:oMath>
        <m:sSub>
          <m:sSubPr>
            <m:ctrlPr>
              <w:rPr>
                <w:rFonts w:ascii="Cambria Math" w:eastAsia="Batang" w:hAnsi="Cambria Math"/>
                <w:i/>
                <w:lang w:val="en-GB"/>
              </w:rPr>
            </m:ctrlPr>
          </m:sSubPr>
          <m:e>
            <m:r>
              <w:rPr>
                <w:rFonts w:ascii="Cambria Math" w:eastAsia="Batang" w:hAnsi="Cambria Math"/>
                <w:lang w:val="en-GB"/>
              </w:rPr>
              <m:t>φ(l</m:t>
            </m:r>
          </m:e>
          <m:sub>
            <m:r>
              <w:rPr>
                <w:rFonts w:ascii="Cambria Math" w:eastAsia="Batang" w:hAnsi="Cambria Math"/>
                <w:lang w:val="en-GB"/>
              </w:rPr>
              <m:t>CDF,</m:t>
            </m:r>
            <m:sSub>
              <m:sSubPr>
                <m:ctrlPr>
                  <w:rPr>
                    <w:rFonts w:ascii="Cambria Math" w:eastAsia="Batang" w:hAnsi="Cambria Math"/>
                    <w:i/>
                    <w:lang w:val="en-GB"/>
                  </w:rPr>
                </m:ctrlPr>
              </m:sSubPr>
              <m:e>
                <m:r>
                  <w:rPr>
                    <w:rFonts w:ascii="Cambria Math" w:eastAsia="Batang" w:hAnsi="Cambria Math"/>
                    <w:lang w:val="en-GB"/>
                  </w:rPr>
                  <m:t>T</m:t>
                </m:r>
              </m:e>
              <m:sub>
                <m:r>
                  <m:rPr>
                    <m:nor/>
                  </m:rPr>
                  <w:rPr>
                    <w:rFonts w:ascii="Cambria Math" w:eastAsia="Batang" w:hAnsi="Cambria Math"/>
                    <w:lang w:val="en-GB"/>
                  </w:rPr>
                  <m:t>av</m:t>
                </m:r>
              </m:sub>
            </m:sSub>
          </m:sub>
        </m:sSub>
        <m:r>
          <w:rPr>
            <w:rFonts w:ascii="Cambria Math" w:hAnsi="Cambria Math"/>
            <w:lang w:val="en-GB"/>
          </w:rPr>
          <m:t>)</m:t>
        </m:r>
      </m:oMath>
      <w:r>
        <w:rPr>
          <w:lang w:val="en-GB"/>
        </w:rPr>
        <w:t xml:space="preserve">. See also in section </w:t>
      </w:r>
      <w:r>
        <w:rPr>
          <w:lang w:val="en-GB"/>
        </w:rPr>
        <w:fldChar w:fldCharType="begin"/>
      </w:r>
      <w:r>
        <w:rPr>
          <w:lang w:val="en-GB"/>
        </w:rPr>
        <w:instrText xml:space="preserve"> REF _Ref414021020 \r \h </w:instrText>
      </w:r>
      <w:r>
        <w:rPr>
          <w:lang w:val="en-GB"/>
        </w:rPr>
      </w:r>
      <w:r>
        <w:rPr>
          <w:lang w:val="en-GB"/>
        </w:rPr>
        <w:fldChar w:fldCharType="separate"/>
      </w:r>
      <w:r>
        <w:rPr>
          <w:lang w:val="en-GB"/>
        </w:rPr>
        <w:t>2.2</w:t>
      </w:r>
      <w:r>
        <w:rPr>
          <w:lang w:val="en-GB"/>
        </w:rPr>
        <w:fldChar w:fldCharType="end"/>
      </w:r>
      <w:r>
        <w:rPr>
          <w:lang w:val="en-GB"/>
        </w:rPr>
        <w:t xml:space="preserve"> on CDF, time dependent.</w:t>
      </w:r>
    </w:p>
  </w:footnote>
  <w:footnote w:id="7">
    <w:p w:rsidR="0042104F" w:rsidRDefault="0042104F" w:rsidP="00850225">
      <w:pPr>
        <w:pStyle w:val="Notedebasdepage"/>
        <w:rPr>
          <w:rFonts w:cs="Arial"/>
          <w:szCs w:val="18"/>
          <w:lang w:val="en-US"/>
        </w:rPr>
      </w:pPr>
      <w:r>
        <w:rPr>
          <w:rStyle w:val="Appelnotedebasdep"/>
          <w:rFonts w:cs="Arial"/>
          <w:szCs w:val="18"/>
        </w:rPr>
        <w:footnoteRef/>
      </w:r>
      <w:r>
        <w:rPr>
          <w:rFonts w:cs="Arial"/>
          <w:szCs w:val="18"/>
          <w:lang w:val="en-GB"/>
        </w:rPr>
        <w:t xml:space="preserve"> </w:t>
      </w:r>
      <w:r>
        <w:rPr>
          <w:rFonts w:cs="Arial"/>
          <w:szCs w:val="18"/>
          <w:lang w:val="en-US"/>
        </w:rPr>
        <w:t xml:space="preserve">The </w:t>
      </w:r>
      <w:r>
        <w:rPr>
          <w:rFonts w:cs="Arial"/>
          <w:szCs w:val="18"/>
          <w:lang w:val="en-GB"/>
        </w:rPr>
        <w:t>uniform percentage changes shall be assumed when the input variables have different measure units.</w:t>
      </w:r>
    </w:p>
  </w:footnote>
  <w:footnote w:id="8">
    <w:p w:rsidR="0042104F" w:rsidRDefault="0042104F" w:rsidP="00850225">
      <w:pPr>
        <w:pStyle w:val="Notedebasdepage"/>
        <w:jc w:val="both"/>
        <w:rPr>
          <w:rFonts w:cs="Arial"/>
          <w:szCs w:val="18"/>
          <w:lang w:val="en-US"/>
        </w:rPr>
      </w:pPr>
      <w:r>
        <w:rPr>
          <w:rStyle w:val="Appelnotedebasdep"/>
          <w:rFonts w:cs="Arial"/>
          <w:szCs w:val="18"/>
        </w:rPr>
        <w:footnoteRef/>
      </w:r>
      <w:r>
        <w:rPr>
          <w:rFonts w:cs="Arial"/>
          <w:szCs w:val="18"/>
          <w:lang w:val="en-US"/>
        </w:rPr>
        <w:t xml:space="preserve"> The system unreliability is not a multi-linear function of the parameters that define the failure (and repair) probability distributions of components, i.e. basic events.</w:t>
      </w:r>
    </w:p>
  </w:footnote>
  <w:footnote w:id="9">
    <w:p w:rsidR="0042104F" w:rsidRDefault="0042104F" w:rsidP="00850225">
      <w:pPr>
        <w:pStyle w:val="Notedebasdepage"/>
        <w:rPr>
          <w:szCs w:val="18"/>
          <w:lang w:val="en-GB"/>
        </w:rPr>
      </w:pPr>
      <w:r>
        <w:rPr>
          <w:szCs w:val="18"/>
          <w:vertAlign w:val="superscript"/>
          <w:lang w:val="en-GB"/>
        </w:rPr>
        <w:footnoteRef/>
      </w:r>
      <w:r>
        <w:rPr>
          <w:szCs w:val="18"/>
          <w:lang w:val="en-GB"/>
        </w:rPr>
        <w:t xml:space="preserve"> A model </w:t>
      </w:r>
      <m:oMath>
        <m:r>
          <w:rPr>
            <w:rFonts w:ascii="Cambria Math" w:eastAsia="Batang" w:hAnsi="Cambria Math"/>
            <w:szCs w:val="18"/>
            <w:lang w:val="en-US"/>
          </w:rPr>
          <m:t>φ</m:t>
        </m:r>
        <m:d>
          <m:dPr>
            <m:ctrlPr>
              <w:rPr>
                <w:rFonts w:ascii="Cambria Math" w:hAnsi="Cambria Math"/>
                <w:szCs w:val="18"/>
              </w:rPr>
            </m:ctrlPr>
          </m:dPr>
          <m:e>
            <m:sSub>
              <m:sSubPr>
                <m:ctrlPr>
                  <w:rPr>
                    <w:rFonts w:ascii="Cambria Math" w:hAnsi="Cambria Math"/>
                    <w:szCs w:val="18"/>
                  </w:rPr>
                </m:ctrlPr>
              </m:sSubPr>
              <m:e>
                <m:r>
                  <m:rPr>
                    <m:sty m:val="p"/>
                  </m:rPr>
                  <w:rPr>
                    <w:rFonts w:ascii="Cambria Math" w:hAnsi="Cambria Math"/>
                    <w:szCs w:val="18"/>
                    <w:lang w:val="en-GB"/>
                  </w:rPr>
                  <m:t>x</m:t>
                </m:r>
              </m:e>
              <m:sub>
                <m:r>
                  <m:rPr>
                    <m:sty m:val="p"/>
                  </m:rPr>
                  <w:rPr>
                    <w:rFonts w:ascii="Cambria Math" w:hAnsi="Cambria Math"/>
                    <w:szCs w:val="18"/>
                    <w:lang w:val="en-GB"/>
                  </w:rPr>
                  <m:t>1</m:t>
                </m:r>
              </m:sub>
            </m:sSub>
            <m:r>
              <m:rPr>
                <m:sty m:val="p"/>
              </m:rPr>
              <w:rPr>
                <w:rFonts w:ascii="Cambria Math" w:hAnsi="Cambria Math"/>
                <w:szCs w:val="18"/>
                <w:lang w:val="en-GB"/>
              </w:rPr>
              <m:t>,…,</m:t>
            </m:r>
            <m:sSub>
              <m:sSubPr>
                <m:ctrlPr>
                  <w:rPr>
                    <w:rFonts w:ascii="Cambria Math" w:hAnsi="Cambria Math"/>
                    <w:szCs w:val="18"/>
                  </w:rPr>
                </m:ctrlPr>
              </m:sSubPr>
              <m:e>
                <m:r>
                  <m:rPr>
                    <m:sty m:val="p"/>
                  </m:rPr>
                  <w:rPr>
                    <w:rFonts w:ascii="Cambria Math" w:hAnsi="Cambria Math"/>
                    <w:szCs w:val="18"/>
                    <w:lang w:val="en-GB"/>
                  </w:rPr>
                  <m:t>x</m:t>
                </m:r>
              </m:e>
              <m:sub>
                <m:r>
                  <m:rPr>
                    <m:sty m:val="p"/>
                  </m:rPr>
                  <w:rPr>
                    <w:rFonts w:ascii="Cambria Math" w:hAnsi="Cambria Math"/>
                    <w:szCs w:val="18"/>
                    <w:lang w:val="en-GB"/>
                  </w:rPr>
                  <m:t>n</m:t>
                </m:r>
              </m:sub>
            </m:sSub>
            <m:r>
              <m:rPr>
                <m:sty m:val="p"/>
              </m:rPr>
              <w:rPr>
                <w:rFonts w:ascii="Cambria Math" w:hAnsi="Cambria Math"/>
                <w:szCs w:val="18"/>
                <w:lang w:val="en-GB"/>
              </w:rPr>
              <m:t xml:space="preserve"> </m:t>
            </m:r>
          </m:e>
        </m:d>
      </m:oMath>
      <w:r>
        <w:rPr>
          <w:szCs w:val="18"/>
          <w:lang w:val="en-GB"/>
        </w:rPr>
        <w:t xml:space="preserve"> is additive if it can be decomposed in sum of n functions, each dependent on a single variable x</w:t>
      </w:r>
      <w:r w:rsidRPr="00C94556">
        <w:rPr>
          <w:szCs w:val="18"/>
          <w:vertAlign w:val="subscript"/>
          <w:lang w:val="en-GB"/>
        </w:rPr>
        <w:t>i</w:t>
      </w:r>
      <w:r>
        <w:rPr>
          <w:szCs w:val="18"/>
          <w:lang w:val="en-GB"/>
        </w:rPr>
        <w:t xml:space="preserve">. </w:t>
      </w:r>
      <m:oMath>
        <m:r>
          <w:rPr>
            <w:rFonts w:ascii="Cambria Math" w:eastAsia="Batang" w:hAnsi="Cambria Math"/>
            <w:szCs w:val="18"/>
            <w:lang w:val="en-US"/>
          </w:rPr>
          <m:t>φ</m:t>
        </m:r>
        <m:r>
          <m:rPr>
            <m:sty m:val="p"/>
          </m:rPr>
          <w:rPr>
            <w:rFonts w:ascii="Cambria Math" w:hAnsi="Cambria Math"/>
            <w:szCs w:val="18"/>
            <w:lang w:val="en-GB"/>
          </w:rPr>
          <m:t>=</m:t>
        </m:r>
        <m:nary>
          <m:naryPr>
            <m:chr m:val="∑"/>
            <m:limLoc m:val="undOvr"/>
            <m:subHide m:val="1"/>
            <m:supHide m:val="1"/>
            <m:ctrlPr>
              <w:rPr>
                <w:rFonts w:ascii="Cambria Math" w:hAnsi="Cambria Math"/>
                <w:szCs w:val="18"/>
              </w:rPr>
            </m:ctrlPr>
          </m:naryPr>
          <m:sub/>
          <m:sup/>
          <m:e>
            <m:sSubSup>
              <m:sSubSupPr>
                <m:ctrlPr>
                  <w:rPr>
                    <w:rFonts w:ascii="Cambria Math" w:hAnsi="Cambria Math"/>
                    <w:szCs w:val="18"/>
                  </w:rPr>
                </m:ctrlPr>
              </m:sSubSupPr>
              <m:e>
                <m:r>
                  <m:rPr>
                    <m:sty m:val="p"/>
                  </m:rPr>
                  <w:rPr>
                    <w:rFonts w:ascii="Cambria Math" w:hAnsi="Cambria Math"/>
                    <w:szCs w:val="18"/>
                    <w:lang w:val="en-GB"/>
                  </w:rPr>
                  <m:t>x</m:t>
                </m:r>
              </m:e>
              <m:sub>
                <m:r>
                  <m:rPr>
                    <m:sty m:val="p"/>
                  </m:rPr>
                  <w:rPr>
                    <w:rFonts w:ascii="Cambria Math" w:hAnsi="Cambria Math"/>
                    <w:szCs w:val="18"/>
                    <w:lang w:val="en-GB"/>
                  </w:rPr>
                  <m:t>i</m:t>
                </m:r>
              </m:sub>
              <m:sup>
                <m:r>
                  <m:rPr>
                    <m:sty m:val="p"/>
                  </m:rPr>
                  <w:rPr>
                    <w:rFonts w:ascii="Cambria Math" w:hAnsi="Cambria Math"/>
                    <w:szCs w:val="18"/>
                    <w:lang w:val="en-GB"/>
                  </w:rPr>
                  <m:t>2</m:t>
                </m:r>
              </m:sup>
            </m:sSubSup>
          </m:e>
        </m:nary>
      </m:oMath>
      <w:r>
        <w:rPr>
          <w:szCs w:val="18"/>
          <w:lang w:val="en-GB"/>
        </w:rPr>
        <w:t xml:space="preserve"> is a non-linear but additive model; </w:t>
      </w:r>
      <m:oMath>
        <m:r>
          <w:rPr>
            <w:rFonts w:ascii="Cambria Math" w:eastAsia="Batang" w:hAnsi="Cambria Math"/>
            <w:szCs w:val="18"/>
            <w:lang w:val="en-US"/>
          </w:rPr>
          <m:t>φ</m:t>
        </m:r>
        <m:r>
          <m:rPr>
            <m:sty m:val="p"/>
          </m:rPr>
          <w:rPr>
            <w:rFonts w:ascii="Cambria Math" w:hAnsi="Cambria Math"/>
            <w:szCs w:val="18"/>
            <w:lang w:val="en-GB"/>
          </w:rPr>
          <m:t>=</m:t>
        </m:r>
        <m:nary>
          <m:naryPr>
            <m:chr m:val="∏"/>
            <m:limLoc m:val="undOvr"/>
            <m:subHide m:val="1"/>
            <m:supHide m:val="1"/>
            <m:ctrlPr>
              <w:rPr>
                <w:rFonts w:ascii="Cambria Math" w:hAnsi="Cambria Math"/>
                <w:szCs w:val="18"/>
              </w:rPr>
            </m:ctrlPr>
          </m:naryPr>
          <m:sub/>
          <m:sup/>
          <m:e>
            <m:sSubSup>
              <m:sSubSupPr>
                <m:ctrlPr>
                  <w:rPr>
                    <w:rFonts w:ascii="Cambria Math" w:hAnsi="Cambria Math"/>
                    <w:szCs w:val="18"/>
                  </w:rPr>
                </m:ctrlPr>
              </m:sSubSupPr>
              <m:e>
                <m:r>
                  <m:rPr>
                    <m:sty m:val="p"/>
                  </m:rPr>
                  <w:rPr>
                    <w:rFonts w:ascii="Cambria Math" w:hAnsi="Cambria Math"/>
                    <w:szCs w:val="18"/>
                    <w:lang w:val="en-GB"/>
                  </w:rPr>
                  <m:t>x</m:t>
                </m:r>
              </m:e>
              <m:sub>
                <m:r>
                  <m:rPr>
                    <m:sty m:val="p"/>
                  </m:rPr>
                  <w:rPr>
                    <w:rFonts w:ascii="Cambria Math" w:hAnsi="Cambria Math"/>
                    <w:szCs w:val="18"/>
                    <w:lang w:val="en-GB"/>
                  </w:rPr>
                  <m:t>i</m:t>
                </m:r>
              </m:sub>
              <m:sup>
                <m:r>
                  <m:rPr>
                    <m:sty m:val="p"/>
                  </m:rPr>
                  <w:rPr>
                    <w:rFonts w:ascii="Cambria Math" w:hAnsi="Cambria Math"/>
                    <w:szCs w:val="18"/>
                    <w:lang w:val="en-GB"/>
                  </w:rPr>
                  <m:t>2</m:t>
                </m:r>
              </m:sup>
            </m:sSubSup>
          </m:e>
        </m:nary>
      </m:oMath>
      <w:r>
        <w:rPr>
          <w:szCs w:val="18"/>
          <w:lang w:val="en-GB"/>
        </w:rPr>
        <w:t xml:space="preserve"> is a non-linear and non-additive model.</w:t>
      </w:r>
    </w:p>
    <w:p w:rsidR="0042104F" w:rsidRDefault="0042104F" w:rsidP="00850225">
      <w:pPr>
        <w:ind w:left="142" w:hanging="142"/>
        <w:rPr>
          <w:rFonts w:cs="Arial"/>
          <w:szCs w:val="18"/>
          <w:lang w:val="en-GB"/>
        </w:rPr>
      </w:pPr>
    </w:p>
  </w:footnote>
  <w:footnote w:id="10">
    <w:p w:rsidR="0042104F" w:rsidRDefault="0042104F" w:rsidP="00850225">
      <w:pPr>
        <w:widowControl w:val="0"/>
        <w:autoSpaceDE w:val="0"/>
        <w:autoSpaceDN w:val="0"/>
        <w:adjustRightInd w:val="0"/>
        <w:spacing w:line="240" w:lineRule="auto"/>
        <w:rPr>
          <w:rFonts w:eastAsia="PMingLiU" w:cs="Arial"/>
          <w:bCs/>
          <w:szCs w:val="18"/>
          <w:lang w:val="en-GB" w:bidi="th-TH"/>
        </w:rPr>
      </w:pPr>
      <w:r>
        <w:rPr>
          <w:rStyle w:val="Appelnotedebasdep"/>
          <w:szCs w:val="18"/>
        </w:rPr>
        <w:footnoteRef/>
      </w:r>
      <w:r>
        <w:rPr>
          <w:rFonts w:cs="Arial"/>
          <w:szCs w:val="18"/>
          <w:lang w:val="en-US"/>
        </w:rPr>
        <w:t xml:space="preserve"> </w:t>
      </w:r>
      <w:r>
        <w:rPr>
          <w:rFonts w:eastAsia="PMingLiU" w:cs="Arial"/>
          <w:bCs/>
          <w:szCs w:val="18"/>
          <w:lang w:val="en-GB" w:bidi="th-TH"/>
        </w:rPr>
        <w:t xml:space="preserve">The relationship between FAST and Sobol sensitivity indices was revealed in the general framework of HDMR decomposition </w:t>
      </w:r>
      <w:r>
        <w:fldChar w:fldCharType="begin"/>
      </w:r>
      <w:r>
        <w:instrText xml:space="preserve"> REF _Ref428968153 \r \h  \* MERGEFORMAT </w:instrText>
      </w:r>
      <w:r>
        <w:fldChar w:fldCharType="separate"/>
      </w:r>
      <w:r>
        <w:rPr>
          <w:rFonts w:eastAsia="PMingLiU" w:cs="Arial"/>
          <w:bCs/>
          <w:szCs w:val="18"/>
          <w:lang w:val="en-GB" w:bidi="th-TH"/>
        </w:rPr>
        <w:t>[101]</w:t>
      </w:r>
      <w:r>
        <w:fldChar w:fldCharType="end"/>
      </w:r>
      <w:r>
        <w:rPr>
          <w:rFonts w:eastAsia="PMingLiU" w:cs="Arial"/>
          <w:bCs/>
          <w:szCs w:val="18"/>
          <w:lang w:val="en-GB" w:bidi="th-TH"/>
        </w:rPr>
        <w:t>.</w:t>
      </w:r>
    </w:p>
  </w:footnote>
  <w:footnote w:id="11">
    <w:p w:rsidR="0042104F" w:rsidRPr="00552F4E" w:rsidRDefault="0042104F">
      <w:pPr>
        <w:pStyle w:val="Notedebasdepage"/>
        <w:rPr>
          <w:lang w:val="en-US"/>
        </w:rPr>
      </w:pPr>
      <w:r w:rsidRPr="002001A3">
        <w:rPr>
          <w:rStyle w:val="Appelnotedebasdep"/>
        </w:rPr>
        <w:footnoteRef/>
      </w:r>
      <w:r w:rsidRPr="00552F4E">
        <w:rPr>
          <w:lang w:val="en-US"/>
        </w:rPr>
        <w:t xml:space="preserve"> </w:t>
      </w:r>
      <w:r w:rsidRPr="00395E63">
        <w:rPr>
          <w:rFonts w:eastAsia="Batang"/>
          <w:lang w:val="en-US"/>
        </w:rPr>
        <w:t>Performance requirements for the reactor shutdown system(s) for all design basis accidents other than large LOCA and single channel design basis events, such that the fuel integrity and the primary heat transport system integrity is not jeopardized</w:t>
      </w:r>
      <w:r w:rsidRPr="002001A3">
        <w:rPr>
          <w:rFonts w:eastAsia="Batang"/>
          <w:lang w:val="en-US"/>
        </w:rPr>
        <w:t xml:space="preserve"> </w:t>
      </w:r>
      <w:r w:rsidRPr="00395E63">
        <w:rPr>
          <w:rFonts w:eastAsia="Batang"/>
          <w:lang w:val="en-US"/>
        </w:rPr>
        <w:fldChar w:fldCharType="begin"/>
      </w:r>
      <w:r w:rsidRPr="002001A3">
        <w:rPr>
          <w:rFonts w:eastAsia="Batang"/>
          <w:lang w:val="en-US"/>
        </w:rPr>
        <w:instrText xml:space="preserve"> REF _Ref302039968 \r \h </w:instrText>
      </w:r>
      <w:r w:rsidRPr="00395E63">
        <w:rPr>
          <w:rFonts w:eastAsia="Batang"/>
          <w:lang w:val="en-US"/>
        </w:rPr>
      </w:r>
      <w:r w:rsidRPr="00395E63">
        <w:rPr>
          <w:rFonts w:eastAsia="Batang"/>
          <w:lang w:val="en-US"/>
        </w:rPr>
        <w:fldChar w:fldCharType="separate"/>
      </w:r>
      <w:r>
        <w:rPr>
          <w:rFonts w:eastAsia="Batang"/>
          <w:lang w:val="en-US"/>
        </w:rPr>
        <w:t>[92]</w:t>
      </w:r>
      <w:r w:rsidRPr="00395E63">
        <w:rPr>
          <w:rFonts w:eastAsia="Batang"/>
          <w:lang w:val="en-US"/>
        </w:rPr>
        <w:fldChar w:fldCharType="end"/>
      </w:r>
      <w:r w:rsidRPr="002001A3">
        <w:rPr>
          <w:rFonts w:eastAsia="Batang"/>
          <w:lang w:val="en-US"/>
        </w:rPr>
        <w:t>. For large LOCAs and single channel design basis events, the initiating event is a fuel failure per definition.</w:t>
      </w:r>
    </w:p>
  </w:footnote>
  <w:footnote w:id="12">
    <w:p w:rsidR="0042104F" w:rsidRPr="00C94556" w:rsidRDefault="0042104F">
      <w:pPr>
        <w:pStyle w:val="Notedebasdepage"/>
        <w:rPr>
          <w:lang w:val="en-GB"/>
        </w:rPr>
      </w:pPr>
      <w:r>
        <w:rPr>
          <w:rStyle w:val="Appelnotedebasdep"/>
        </w:rPr>
        <w:footnoteRef/>
      </w:r>
      <w:r w:rsidRPr="00552F4E">
        <w:rPr>
          <w:lang w:val="en-US"/>
        </w:rPr>
        <w:t xml:space="preserve"> </w:t>
      </w:r>
      <w:r w:rsidRPr="00C94556">
        <w:rPr>
          <w:lang w:val="en-GB"/>
        </w:rPr>
        <w:t xml:space="preserve">The proposed threshold value has been set to 1 % of the lower end 100 TBq I-131 limit for an accidental level release (INES 5) defined in the INES manual </w:t>
      </w:r>
      <w:r w:rsidRPr="00C94556">
        <w:rPr>
          <w:lang w:val="en-GB"/>
        </w:rPr>
        <w:fldChar w:fldCharType="begin"/>
      </w:r>
      <w:r w:rsidRPr="00C94556">
        <w:rPr>
          <w:lang w:val="en-GB"/>
        </w:rPr>
        <w:instrText xml:space="preserve"> REF _Ref444078422 \r \h </w:instrText>
      </w:r>
      <w:r w:rsidRPr="00C94556">
        <w:rPr>
          <w:lang w:val="en-GB"/>
        </w:rPr>
      </w:r>
      <w:r w:rsidRPr="00C94556">
        <w:rPr>
          <w:lang w:val="en-GB"/>
        </w:rPr>
        <w:fldChar w:fldCharType="separate"/>
      </w:r>
      <w:r>
        <w:rPr>
          <w:lang w:val="en-GB"/>
        </w:rPr>
        <w:t>[108]</w:t>
      </w:r>
      <w:r w:rsidRPr="00C94556">
        <w:rPr>
          <w:lang w:val="en-GB"/>
        </w:rPr>
        <w:fldChar w:fldCharType="end"/>
      </w:r>
      <w:r w:rsidRPr="00C94556">
        <w:rPr>
          <w:lang w:val="en-GB"/>
        </w:rPr>
        <w:t>. This assumes that short-term consequences are of interest. For long-term consequences, a threshold based on e.g. Cs-137 should be selected. .</w:t>
      </w:r>
    </w:p>
  </w:footnote>
  <w:footnote w:id="13">
    <w:p w:rsidR="0042104F" w:rsidRPr="00552F4E" w:rsidRDefault="0042104F">
      <w:pPr>
        <w:pStyle w:val="Notedebasdepage"/>
        <w:rPr>
          <w:lang w:val="en-US"/>
        </w:rPr>
      </w:pPr>
      <w:r>
        <w:rPr>
          <w:rStyle w:val="Appelnotedebasdep"/>
        </w:rPr>
        <w:footnoteRef/>
      </w:r>
      <w:r w:rsidRPr="00552F4E">
        <w:rPr>
          <w:lang w:val="en-US"/>
        </w:rPr>
        <w:t xml:space="preserve"> </w:t>
      </w:r>
      <w:r w:rsidRPr="004C002C">
        <w:rPr>
          <w:lang w:val="en-US"/>
        </w:rPr>
        <w:t>For example, radionuclides solved or dispersed in a water circuit with a break (beyond design leakage) should be assumed to be potentially mobilized, whereas the activation products within the piping ste</w:t>
      </w:r>
      <w:r>
        <w:rPr>
          <w:lang w:val="en-US"/>
        </w:rPr>
        <w:t>e</w:t>
      </w:r>
      <w:r w:rsidRPr="004C002C">
        <w:rPr>
          <w:lang w:val="en-US"/>
        </w:rPr>
        <w:t>l should still be considered immobile.</w:t>
      </w:r>
    </w:p>
  </w:footnote>
  <w:footnote w:id="14">
    <w:p w:rsidR="0042104F" w:rsidRPr="0042104F" w:rsidRDefault="0042104F" w:rsidP="0042104F">
      <w:pPr>
        <w:pStyle w:val="Notedebasdepage"/>
        <w:jc w:val="both"/>
        <w:rPr>
          <w:lang w:val="en-GB"/>
        </w:rPr>
      </w:pPr>
      <w:r w:rsidRPr="0042104F">
        <w:rPr>
          <w:rStyle w:val="Appelnotedebasdep"/>
          <w:lang w:val="en-GB"/>
        </w:rPr>
        <w:footnoteRef/>
      </w:r>
      <w:r w:rsidRPr="0042104F">
        <w:rPr>
          <w:lang w:val="en-GB"/>
        </w:rPr>
        <w:t xml:space="preserve"> </w:t>
      </w:r>
      <w:r>
        <w:rPr>
          <w:lang w:val="en-GB"/>
        </w:rPr>
        <w:t>From IAEA “</w:t>
      </w:r>
      <w:r w:rsidRPr="0042104F">
        <w:rPr>
          <w:lang w:val="en-GB"/>
        </w:rPr>
        <w:t>The protection system is effective as stated in the objective if it prevents significant addition either to the risk to health or to the risk of other damage to which individuals, society and the environment are exposed as a consequence of industrial activity already accepted. In this application, the risk associated with an accident or an event is defined as the arithmetic product of the probability of that accident or event and the adverse effect it would produce.</w:t>
      </w:r>
      <w:r>
        <w:rPr>
          <w:lang w:val="en-GB"/>
        </w:rPr>
        <w:t>”</w:t>
      </w:r>
    </w:p>
  </w:footnote>
  <w:footnote w:id="15">
    <w:p w:rsidR="0042104F" w:rsidRPr="00552F4E" w:rsidRDefault="0042104F">
      <w:pPr>
        <w:pStyle w:val="Notedebasdepage"/>
        <w:rPr>
          <w:lang w:val="en-US"/>
        </w:rPr>
      </w:pPr>
      <w:r>
        <w:rPr>
          <w:rStyle w:val="Appelnotedebasdep"/>
        </w:rPr>
        <w:footnoteRef/>
      </w:r>
      <w:r w:rsidRPr="00552F4E">
        <w:rPr>
          <w:lang w:val="en-US"/>
        </w:rPr>
        <w:t xml:space="preserve"> For the definition of direct and secondary risk metrics, see appendix A.</w:t>
      </w:r>
    </w:p>
  </w:footnote>
  <w:footnote w:id="16">
    <w:p w:rsidR="0042104F" w:rsidRPr="00F778BE" w:rsidRDefault="0042104F">
      <w:pPr>
        <w:pStyle w:val="Notedebasdepage"/>
        <w:rPr>
          <w:lang w:val="en-CA"/>
        </w:rPr>
      </w:pPr>
      <w:r>
        <w:rPr>
          <w:rStyle w:val="Appelnotedebasdep"/>
        </w:rPr>
        <w:footnoteRef/>
      </w:r>
      <w:r>
        <w:t xml:space="preserve"> There are some objections </w:t>
      </w:r>
      <w:r>
        <w:rPr>
          <w:lang w:val="en-US"/>
        </w:rPr>
        <w:t>that the</w:t>
      </w:r>
      <w:r w:rsidRPr="00DD27B1">
        <w:rPr>
          <w:lang w:val="en-US"/>
        </w:rPr>
        <w:t xml:space="preserve"> based metrics are not just a linear combination of reactor based metrics</w:t>
      </w:r>
      <w:r>
        <w:rPr>
          <w:lang w:val="en-US"/>
        </w:rPr>
        <w:t>. It is therefore important to define a consistent aggregation approach over the sources.</w:t>
      </w:r>
    </w:p>
  </w:footnote>
  <w:footnote w:id="17">
    <w:p w:rsidR="0042104F" w:rsidRPr="00C94556" w:rsidRDefault="0042104F" w:rsidP="00E812E8">
      <w:pPr>
        <w:pStyle w:val="Notedebasdepage"/>
        <w:rPr>
          <w:lang w:val="en-GB"/>
        </w:rPr>
      </w:pPr>
      <w:r>
        <w:rPr>
          <w:rStyle w:val="Appelnotedebasdep"/>
        </w:rPr>
        <w:footnoteRef/>
      </w:r>
      <w:r w:rsidRPr="00552F4E">
        <w:rPr>
          <w:lang w:val="en-US"/>
        </w:rPr>
        <w:t xml:space="preserve"> </w:t>
      </w:r>
      <w:r w:rsidRPr="00C94556">
        <w:rPr>
          <w:lang w:val="en-GB"/>
        </w:rPr>
        <w:t xml:space="preserve">The proposed threshold value has been set to 1 % of the lower end 100 TBq I-131 </w:t>
      </w:r>
      <w:r>
        <w:rPr>
          <w:lang w:val="en-GB"/>
        </w:rPr>
        <w:t xml:space="preserve">Equivalent </w:t>
      </w:r>
      <w:r w:rsidRPr="00C94556">
        <w:rPr>
          <w:lang w:val="en-GB"/>
        </w:rPr>
        <w:t xml:space="preserve">limit for an accidental level release (INES 5) defined in the INES manual </w:t>
      </w:r>
      <w:r w:rsidRPr="00C94556">
        <w:rPr>
          <w:lang w:val="en-GB"/>
        </w:rPr>
        <w:fldChar w:fldCharType="begin"/>
      </w:r>
      <w:r w:rsidRPr="00C94556">
        <w:rPr>
          <w:lang w:val="en-GB"/>
        </w:rPr>
        <w:instrText xml:space="preserve"> REF _Ref444078422 \r \h </w:instrText>
      </w:r>
      <w:r w:rsidRPr="00C94556">
        <w:rPr>
          <w:lang w:val="en-GB"/>
        </w:rPr>
      </w:r>
      <w:r w:rsidRPr="00C94556">
        <w:rPr>
          <w:lang w:val="en-GB"/>
        </w:rPr>
        <w:fldChar w:fldCharType="separate"/>
      </w:r>
      <w:r>
        <w:rPr>
          <w:lang w:val="en-GB"/>
        </w:rPr>
        <w:t>[108]</w:t>
      </w:r>
      <w:r w:rsidRPr="00C94556">
        <w:rPr>
          <w:lang w:val="en-GB"/>
        </w:rPr>
        <w:fldChar w:fldCharType="end"/>
      </w:r>
      <w:r w:rsidRPr="00C94556">
        <w:rPr>
          <w:lang w:val="en-GB"/>
        </w:rPr>
        <w:t xml:space="preserve">. This assumes that short-term consequences are of interest. For long-term consequences, a threshold </w:t>
      </w:r>
      <w:r>
        <w:rPr>
          <w:lang w:val="en-GB"/>
        </w:rPr>
        <w:t>reflecting</w:t>
      </w:r>
      <w:r w:rsidRPr="00C94556">
        <w:rPr>
          <w:lang w:val="en-GB"/>
        </w:rPr>
        <w:t xml:space="preserve"> e.g. Cs-137 should be selected. .</w:t>
      </w:r>
    </w:p>
  </w:footnote>
  <w:footnote w:id="18">
    <w:p w:rsidR="0042104F" w:rsidRPr="0030687A" w:rsidRDefault="0042104F" w:rsidP="00AE198A">
      <w:pPr>
        <w:pStyle w:val="Notedebasdepage"/>
        <w:rPr>
          <w:lang w:val="en-GB"/>
        </w:rPr>
      </w:pPr>
      <w:r>
        <w:rPr>
          <w:rStyle w:val="Appelnotedebasdep"/>
        </w:rPr>
        <w:footnoteRef/>
      </w:r>
      <w:r w:rsidRPr="00552F4E">
        <w:rPr>
          <w:lang w:val="en-US"/>
        </w:rPr>
        <w:t xml:space="preserve"> </w:t>
      </w:r>
      <w:r w:rsidRPr="0030687A">
        <w:rPr>
          <w:lang w:val="en-GB"/>
        </w:rPr>
        <w:t xml:space="preserve">The classification by Aven </w:t>
      </w:r>
      <w:r>
        <w:rPr>
          <w:lang w:val="en-GB"/>
        </w:rPr>
        <w:t>distinguishes between</w:t>
      </w:r>
      <w:r w:rsidRPr="0030687A">
        <w:rPr>
          <w:lang w:val="en-GB"/>
        </w:rPr>
        <w:t xml:space="preserve"> probability </w:t>
      </w:r>
      <w:r>
        <w:rPr>
          <w:lang w:val="en-GB"/>
        </w:rPr>
        <w:t>and</w:t>
      </w:r>
      <w:r w:rsidRPr="0030687A">
        <w:rPr>
          <w:lang w:val="en-GB"/>
        </w:rPr>
        <w:t xml:space="preserve"> uncertainty </w:t>
      </w:r>
      <w:r>
        <w:rPr>
          <w:lang w:val="en-GB"/>
        </w:rPr>
        <w:fldChar w:fldCharType="begin"/>
      </w:r>
      <w:r>
        <w:rPr>
          <w:lang w:val="en-GB"/>
        </w:rPr>
        <w:instrText xml:space="preserve"> REF _Ref396210525 \r \h </w:instrText>
      </w:r>
      <w:r>
        <w:rPr>
          <w:lang w:val="en-GB"/>
        </w:rPr>
      </w:r>
      <w:r>
        <w:rPr>
          <w:lang w:val="en-GB"/>
        </w:rPr>
        <w:fldChar w:fldCharType="separate"/>
      </w:r>
      <w:r>
        <w:rPr>
          <w:lang w:val="en-GB"/>
        </w:rPr>
        <w:t>[20]</w:t>
      </w:r>
      <w:r>
        <w:rPr>
          <w:lang w:val="en-GB"/>
        </w:rPr>
        <w:fldChar w:fldCharType="end"/>
      </w:r>
      <w:r w:rsidRPr="0030687A">
        <w:rPr>
          <w:lang w:val="en-GB"/>
        </w:rPr>
        <w:t xml:space="preserve">. The current state-of-the-art for PSAs uses </w:t>
      </w:r>
      <w:r>
        <w:rPr>
          <w:lang w:val="en-GB"/>
        </w:rPr>
        <w:t>probabilities or their uncertainty distributions depending on the issue</w:t>
      </w:r>
      <w:r w:rsidRPr="0030687A">
        <w:rPr>
          <w:lang w:val="en-GB"/>
        </w:rPr>
        <w:t xml:space="preserve">, without significant problems. </w:t>
      </w:r>
    </w:p>
  </w:footnote>
  <w:footnote w:id="19">
    <w:p w:rsidR="0042104F" w:rsidRPr="005D7B63" w:rsidRDefault="0042104F" w:rsidP="00AE198A">
      <w:pPr>
        <w:pStyle w:val="Notedebasdepage"/>
        <w:rPr>
          <w:lang w:val="en-GB"/>
        </w:rPr>
      </w:pPr>
      <w:r>
        <w:rPr>
          <w:rStyle w:val="Appelnotedebasdep"/>
        </w:rPr>
        <w:footnoteRef/>
      </w:r>
      <w:r w:rsidRPr="00552F4E">
        <w:rPr>
          <w:lang w:val="en-US"/>
        </w:rPr>
        <w:t xml:space="preserve"> </w:t>
      </w:r>
      <w:r w:rsidRPr="005D7B63">
        <w:rPr>
          <w:lang w:val="en-GB"/>
        </w:rPr>
        <w:t xml:space="preserve">Theoretically, a risk metric can be quantified with different measures. </w:t>
      </w:r>
      <w:r>
        <w:rPr>
          <w:lang w:val="en-GB"/>
        </w:rPr>
        <w:t>In order to prevent potential ambiguities, this report will usually reference risk measures and only refer to risk metrics, if specifically the metric aspect is addressed. Potential, alternative quantification schemes for risk metrics will be not investigated.</w:t>
      </w:r>
    </w:p>
  </w:footnote>
  <w:footnote w:id="20">
    <w:p w:rsidR="0042104F" w:rsidRPr="003478A2" w:rsidRDefault="0042104F" w:rsidP="00AE198A">
      <w:pPr>
        <w:pStyle w:val="Notedebasdepage"/>
        <w:rPr>
          <w:lang w:val="en-GB"/>
        </w:rPr>
      </w:pPr>
      <w:r w:rsidRPr="003478A2">
        <w:rPr>
          <w:rStyle w:val="Appelnotedebasdep"/>
          <w:lang w:val="en-GB"/>
        </w:rPr>
        <w:footnoteRef/>
      </w:r>
      <w:r w:rsidRPr="003478A2">
        <w:rPr>
          <w:lang w:val="en-GB"/>
        </w:rPr>
        <w:t xml:space="preserve"> Note that this does include even qualitative (categorial) measures, which can be mapped to a subset of </w:t>
      </w:r>
      <m:oMath>
        <m:r>
          <m:rPr>
            <m:scr m:val="double-struck"/>
          </m:rPr>
          <w:rPr>
            <w:rFonts w:ascii="Cambria Math" w:hAnsi="Cambria Math"/>
            <w:lang w:val="en-GB"/>
          </w:rPr>
          <m:t>Z</m:t>
        </m:r>
      </m:oMath>
      <w:r w:rsidRPr="003478A2">
        <w:rPr>
          <w:lang w:val="en-GB"/>
        </w:rPr>
        <w:t>.</w:t>
      </w:r>
      <w:r>
        <w:rPr>
          <w:lang w:val="en-GB"/>
        </w:rPr>
        <w:t xml:space="preserve"> </w:t>
      </w:r>
    </w:p>
  </w:footnote>
  <w:footnote w:id="21">
    <w:p w:rsidR="0042104F" w:rsidRPr="00714ECB" w:rsidRDefault="0042104F" w:rsidP="00A322D5">
      <w:pPr>
        <w:pStyle w:val="Notedebasdepage"/>
        <w:rPr>
          <w:lang w:val="en-US"/>
        </w:rPr>
      </w:pPr>
      <w:r>
        <w:rPr>
          <w:rStyle w:val="Appelnotedebasdep"/>
        </w:rPr>
        <w:footnoteRef/>
      </w:r>
      <w:r w:rsidRPr="00552F4E">
        <w:rPr>
          <w:lang w:val="en-US"/>
        </w:rPr>
        <w:t xml:space="preserve"> </w:t>
      </w:r>
      <w:r w:rsidRPr="00714ECB">
        <w:rPr>
          <w:lang w:val="en-US"/>
        </w:rPr>
        <w:t xml:space="preserve">See the next paragraph </w:t>
      </w:r>
      <w:r>
        <w:rPr>
          <w:lang w:val="en-US"/>
        </w:rPr>
        <w:t>for the treatment of “adding up”</w:t>
      </w:r>
      <w:r w:rsidRPr="00714ECB">
        <w:rPr>
          <w:lang w:val="en-US"/>
        </w:rPr>
        <w:t xml:space="preserve"> distributions.</w:t>
      </w:r>
      <w:r>
        <w:rPr>
          <w:lang w:val="en-US"/>
        </w:rPr>
        <w:t xml:space="preserve"> If the risk measures are treated as (probability) distributions, more complicated operations are needed.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4F" w:rsidRDefault="0043746A">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471.05pt;height:188.4pt;rotation:315;z-index:-25164390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4F" w:rsidRDefault="0042104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42104F" w:rsidRPr="00B2386E" w:rsidTr="00B2386E">
      <w:trPr>
        <w:trHeight w:val="1073"/>
      </w:trPr>
      <w:tc>
        <w:tcPr>
          <w:tcW w:w="3165" w:type="dxa"/>
          <w:shd w:val="clear" w:color="auto" w:fill="auto"/>
        </w:tcPr>
        <w:p w:rsidR="0042104F" w:rsidRDefault="0042104F" w:rsidP="00B2386E">
          <w:pPr>
            <w:tabs>
              <w:tab w:val="center" w:pos="4536"/>
              <w:tab w:val="right" w:pos="9072"/>
            </w:tabs>
            <w:rPr>
              <w:noProof/>
            </w:rPr>
          </w:pPr>
          <w:r>
            <w:rPr>
              <w:noProof/>
            </w:rPr>
            <w:drawing>
              <wp:anchor distT="0" distB="0" distL="114300" distR="114300" simplePos="0" relativeHeight="251670528" behindDoc="0" locked="0" layoutInCell="1" allowOverlap="1" wp14:anchorId="1ABBD9B5" wp14:editId="339BA1DD">
                <wp:simplePos x="0" y="0"/>
                <wp:positionH relativeFrom="column">
                  <wp:posOffset>420370</wp:posOffset>
                </wp:positionH>
                <wp:positionV relativeFrom="paragraph">
                  <wp:posOffset>35560</wp:posOffset>
                </wp:positionV>
                <wp:extent cx="974090" cy="695325"/>
                <wp:effectExtent l="0" t="0" r="0" b="9525"/>
                <wp:wrapNone/>
                <wp:docPr id="3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shd w:val="clear" w:color="auto" w:fill="auto"/>
          <w:vAlign w:val="center"/>
        </w:tcPr>
        <w:p w:rsidR="0042104F" w:rsidRPr="00B2386E" w:rsidRDefault="0042104F" w:rsidP="00B2386E">
          <w:pPr>
            <w:tabs>
              <w:tab w:val="center" w:pos="4536"/>
              <w:tab w:val="right" w:pos="9072"/>
            </w:tabs>
            <w:jc w:val="center"/>
            <w:rPr>
              <w:noProof/>
              <w:lang w:val="en-GB"/>
            </w:rPr>
          </w:pPr>
          <w:r w:rsidRPr="00B2386E">
            <w:rPr>
              <w:b/>
              <w:bCs/>
              <w:color w:val="000000"/>
              <w:szCs w:val="18"/>
              <w:lang w:val="en-GB"/>
            </w:rPr>
            <w:t>Advanced Safety Assessment Methodologies: extended PSA</w:t>
          </w:r>
        </w:p>
      </w:tc>
      <w:tc>
        <w:tcPr>
          <w:tcW w:w="3165" w:type="dxa"/>
          <w:shd w:val="clear" w:color="auto" w:fill="auto"/>
        </w:tcPr>
        <w:p w:rsidR="0042104F" w:rsidRPr="00B2386E" w:rsidRDefault="0042104F" w:rsidP="00B2386E">
          <w:pPr>
            <w:tabs>
              <w:tab w:val="center" w:pos="4536"/>
              <w:tab w:val="right" w:pos="9072"/>
            </w:tabs>
            <w:jc w:val="right"/>
            <w:rPr>
              <w:noProof/>
              <w:lang w:val="en-GB"/>
            </w:rPr>
          </w:pPr>
          <w:r>
            <w:rPr>
              <w:noProof/>
            </w:rPr>
            <w:drawing>
              <wp:inline distT="0" distB="0" distL="0" distR="0" wp14:anchorId="749D5C18" wp14:editId="53E3097E">
                <wp:extent cx="1552575" cy="800100"/>
                <wp:effectExtent l="0" t="0" r="9525"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inline>
            </w:drawing>
          </w:r>
        </w:p>
      </w:tc>
    </w:tr>
  </w:tbl>
  <w:p w:rsidR="0042104F" w:rsidRPr="00E33133" w:rsidRDefault="0042104F">
    <w:pPr>
      <w:rPr>
        <w:noProof/>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4F" w:rsidRDefault="0043746A">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left:0;text-align:left;margin-left:0;margin-top:0;width:471.05pt;height:188.4pt;rotation:315;z-index:-251644928;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969"/>
      <w:gridCol w:w="2835"/>
    </w:tblGrid>
    <w:tr w:rsidR="0042104F" w:rsidRPr="006E2D19" w:rsidTr="00557A1D">
      <w:trPr>
        <w:trHeight w:val="1073"/>
      </w:trPr>
      <w:tc>
        <w:tcPr>
          <w:tcW w:w="2802" w:type="dxa"/>
        </w:tcPr>
        <w:p w:rsidR="0042104F" w:rsidRDefault="0042104F" w:rsidP="00557A1D">
          <w:pPr>
            <w:tabs>
              <w:tab w:val="center" w:pos="4536"/>
              <w:tab w:val="right" w:pos="9072"/>
            </w:tabs>
            <w:rPr>
              <w:noProof/>
            </w:rPr>
          </w:pPr>
          <w:r>
            <w:rPr>
              <w:noProof/>
            </w:rPr>
            <w:drawing>
              <wp:anchor distT="0" distB="0" distL="114300" distR="114300" simplePos="0" relativeHeight="251677696" behindDoc="0" locked="0" layoutInCell="1" allowOverlap="1" wp14:anchorId="445F6C76" wp14:editId="1BD0B726">
                <wp:simplePos x="0" y="0"/>
                <wp:positionH relativeFrom="column">
                  <wp:posOffset>420370</wp:posOffset>
                </wp:positionH>
                <wp:positionV relativeFrom="paragraph">
                  <wp:posOffset>35560</wp:posOffset>
                </wp:positionV>
                <wp:extent cx="974090" cy="695325"/>
                <wp:effectExtent l="0" t="0" r="0" b="9525"/>
                <wp:wrapNone/>
                <wp:docPr id="1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969" w:type="dxa"/>
          <w:vAlign w:val="center"/>
        </w:tcPr>
        <w:p w:rsidR="0042104F" w:rsidRPr="000355F6" w:rsidRDefault="0042104F" w:rsidP="00557A1D">
          <w:pPr>
            <w:tabs>
              <w:tab w:val="center" w:pos="4536"/>
              <w:tab w:val="right" w:pos="9072"/>
            </w:tabs>
            <w:jc w:val="center"/>
            <w:rPr>
              <w:noProof/>
              <w:lang w:val="en-US"/>
            </w:rPr>
          </w:pPr>
          <w:r w:rsidRPr="000355F6">
            <w:rPr>
              <w:b/>
              <w:bCs/>
              <w:color w:val="000000"/>
              <w:szCs w:val="18"/>
              <w:lang w:val="en-US"/>
            </w:rPr>
            <w:t>Advanced Safety Assessment Methodologies: extended PSA</w:t>
          </w:r>
        </w:p>
      </w:tc>
      <w:tc>
        <w:tcPr>
          <w:tcW w:w="2835" w:type="dxa"/>
        </w:tcPr>
        <w:p w:rsidR="0042104F" w:rsidRPr="006E2D19" w:rsidRDefault="0042104F" w:rsidP="00557A1D">
          <w:pPr>
            <w:tabs>
              <w:tab w:val="center" w:pos="4536"/>
              <w:tab w:val="right" w:pos="9072"/>
            </w:tabs>
            <w:jc w:val="right"/>
            <w:rPr>
              <w:noProof/>
            </w:rPr>
          </w:pPr>
          <w:r>
            <w:rPr>
              <w:noProof/>
            </w:rPr>
            <w:drawing>
              <wp:inline distT="0" distB="0" distL="0" distR="0" wp14:anchorId="310EDCD6" wp14:editId="223AC1C7">
                <wp:extent cx="1544320" cy="776605"/>
                <wp:effectExtent l="0" t="0" r="0" b="4445"/>
                <wp:docPr id="4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776605"/>
                        </a:xfrm>
                        <a:prstGeom prst="rect">
                          <a:avLst/>
                        </a:prstGeom>
                        <a:noFill/>
                        <a:ln>
                          <a:noFill/>
                        </a:ln>
                      </pic:spPr>
                    </pic:pic>
                  </a:graphicData>
                </a:graphic>
              </wp:inline>
            </w:drawing>
          </w:r>
        </w:p>
      </w:tc>
    </w:tr>
  </w:tbl>
  <w:p w:rsidR="0042104F" w:rsidRPr="0069103E" w:rsidRDefault="0042104F" w:rsidP="00557A1D">
    <w:pPr>
      <w:ind w:right="360" w:firstLine="360"/>
      <w:rPr>
        <w:sz w:val="8"/>
        <w:szCs w:val="8"/>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5"/>
      <w:gridCol w:w="3165"/>
      <w:gridCol w:w="3165"/>
    </w:tblGrid>
    <w:tr w:rsidR="0042104F" w:rsidRPr="006E2D19" w:rsidTr="00557A1D">
      <w:trPr>
        <w:trHeight w:val="1073"/>
      </w:trPr>
      <w:tc>
        <w:tcPr>
          <w:tcW w:w="3165" w:type="dxa"/>
        </w:tcPr>
        <w:p w:rsidR="0042104F" w:rsidRDefault="0042104F" w:rsidP="00557A1D">
          <w:pPr>
            <w:tabs>
              <w:tab w:val="center" w:pos="4536"/>
              <w:tab w:val="right" w:pos="9072"/>
            </w:tabs>
            <w:rPr>
              <w:noProof/>
            </w:rPr>
          </w:pPr>
          <w:r>
            <w:rPr>
              <w:noProof/>
            </w:rPr>
            <w:drawing>
              <wp:anchor distT="0" distB="0" distL="114300" distR="114300" simplePos="0" relativeHeight="251678720" behindDoc="0" locked="0" layoutInCell="1" allowOverlap="1" wp14:anchorId="4328C66F" wp14:editId="0E5173AF">
                <wp:simplePos x="0" y="0"/>
                <wp:positionH relativeFrom="column">
                  <wp:posOffset>420370</wp:posOffset>
                </wp:positionH>
                <wp:positionV relativeFrom="paragraph">
                  <wp:posOffset>35560</wp:posOffset>
                </wp:positionV>
                <wp:extent cx="974090" cy="695325"/>
                <wp:effectExtent l="0" t="0" r="0" b="9525"/>
                <wp:wrapNone/>
                <wp:docPr id="4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vAlign w:val="center"/>
        </w:tcPr>
        <w:p w:rsidR="0042104F" w:rsidRPr="000355F6" w:rsidRDefault="0042104F" w:rsidP="00557A1D">
          <w:pPr>
            <w:tabs>
              <w:tab w:val="center" w:pos="4536"/>
              <w:tab w:val="right" w:pos="9072"/>
            </w:tabs>
            <w:jc w:val="center"/>
            <w:rPr>
              <w:noProof/>
              <w:lang w:val="en-US"/>
            </w:rPr>
          </w:pPr>
          <w:r w:rsidRPr="000355F6">
            <w:rPr>
              <w:b/>
              <w:bCs/>
              <w:color w:val="000000"/>
              <w:szCs w:val="18"/>
              <w:lang w:val="en-US"/>
            </w:rPr>
            <w:t>Advanced Safety Assessment Methodologies: extended PSA</w:t>
          </w:r>
        </w:p>
      </w:tc>
      <w:tc>
        <w:tcPr>
          <w:tcW w:w="3165" w:type="dxa"/>
        </w:tcPr>
        <w:p w:rsidR="0042104F" w:rsidRPr="006E2D19" w:rsidRDefault="0042104F" w:rsidP="00557A1D">
          <w:pPr>
            <w:tabs>
              <w:tab w:val="center" w:pos="4536"/>
              <w:tab w:val="right" w:pos="9072"/>
            </w:tabs>
            <w:jc w:val="right"/>
            <w:rPr>
              <w:noProof/>
            </w:rPr>
          </w:pPr>
          <w:r>
            <w:rPr>
              <w:noProof/>
            </w:rPr>
            <w:drawing>
              <wp:inline distT="0" distB="0" distL="0" distR="0" wp14:anchorId="65CFAE81" wp14:editId="6B6671F6">
                <wp:extent cx="1544320" cy="776605"/>
                <wp:effectExtent l="0" t="0" r="0" b="4445"/>
                <wp:docPr id="4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776605"/>
                        </a:xfrm>
                        <a:prstGeom prst="rect">
                          <a:avLst/>
                        </a:prstGeom>
                        <a:noFill/>
                        <a:ln>
                          <a:noFill/>
                        </a:ln>
                      </pic:spPr>
                    </pic:pic>
                  </a:graphicData>
                </a:graphic>
              </wp:inline>
            </w:drawing>
          </w:r>
        </w:p>
      </w:tc>
    </w:tr>
  </w:tbl>
  <w:p w:rsidR="0042104F" w:rsidRPr="008550E2" w:rsidRDefault="0042104F">
    <w:pPr>
      <w:ind w:right="360" w:firstLine="360"/>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4F" w:rsidRDefault="0042104F">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4"/>
      <w:gridCol w:w="6853"/>
      <w:gridCol w:w="1409"/>
    </w:tblGrid>
    <w:tr w:rsidR="0042104F" w:rsidRPr="001D3F1E" w:rsidTr="00552F4E">
      <w:trPr>
        <w:trHeight w:val="723"/>
      </w:trPr>
      <w:tc>
        <w:tcPr>
          <w:tcW w:w="1204" w:type="dxa"/>
        </w:tcPr>
        <w:p w:rsidR="0042104F" w:rsidRDefault="0042104F" w:rsidP="004A668F">
          <w:pPr>
            <w:rPr>
              <w:noProof/>
              <w:sz w:val="16"/>
              <w:lang w:eastAsia="ja-JP"/>
            </w:rPr>
          </w:pPr>
          <w:r w:rsidRPr="00552F4E">
            <w:rPr>
              <w:noProof/>
              <w:sz w:val="16"/>
            </w:rPr>
            <w:drawing>
              <wp:anchor distT="0" distB="0" distL="114300" distR="114300" simplePos="0" relativeHeight="251680768" behindDoc="0" locked="0" layoutInCell="1" allowOverlap="1" wp14:anchorId="542EE82C" wp14:editId="268DB8ED">
                <wp:simplePos x="0" y="0"/>
                <wp:positionH relativeFrom="column">
                  <wp:posOffset>5715</wp:posOffset>
                </wp:positionH>
                <wp:positionV relativeFrom="paragraph">
                  <wp:posOffset>38735</wp:posOffset>
                </wp:positionV>
                <wp:extent cx="574040" cy="409575"/>
                <wp:effectExtent l="0" t="0" r="0" b="9525"/>
                <wp:wrapNone/>
                <wp:docPr id="4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anchor>
            </w:drawing>
          </w:r>
        </w:p>
      </w:tc>
      <w:tc>
        <w:tcPr>
          <w:tcW w:w="7088" w:type="dxa"/>
          <w:vAlign w:val="center"/>
        </w:tcPr>
        <w:p w:rsidR="0042104F" w:rsidRPr="00552F4E" w:rsidRDefault="0042104F" w:rsidP="00552F4E">
          <w:pPr>
            <w:jc w:val="center"/>
            <w:rPr>
              <w:b/>
              <w:noProof/>
              <w:sz w:val="16"/>
              <w:lang w:val="en-GB"/>
            </w:rPr>
          </w:pPr>
          <w:r w:rsidRPr="00552F4E">
            <w:rPr>
              <w:b/>
              <w:lang w:val="en-GB"/>
            </w:rPr>
            <w:t>Risk Metrics for Extended PSA</w:t>
          </w:r>
        </w:p>
      </w:tc>
      <w:tc>
        <w:tcPr>
          <w:tcW w:w="1134" w:type="dxa"/>
        </w:tcPr>
        <w:p w:rsidR="0042104F" w:rsidRPr="001D3F1E" w:rsidRDefault="0042104F" w:rsidP="004A668F">
          <w:pPr>
            <w:rPr>
              <w:noProof/>
              <w:sz w:val="16"/>
              <w:lang w:val="en-US"/>
            </w:rPr>
          </w:pPr>
          <w:r>
            <w:rPr>
              <w:noProof/>
            </w:rPr>
            <w:drawing>
              <wp:inline distT="0" distB="0" distL="0" distR="0" wp14:anchorId="25FC26E1" wp14:editId="556C43DA">
                <wp:extent cx="806243" cy="405442"/>
                <wp:effectExtent l="0" t="0" r="0" b="0"/>
                <wp:docPr id="4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479" cy="405561"/>
                        </a:xfrm>
                        <a:prstGeom prst="rect">
                          <a:avLst/>
                        </a:prstGeom>
                        <a:noFill/>
                        <a:ln>
                          <a:noFill/>
                        </a:ln>
                      </pic:spPr>
                    </pic:pic>
                  </a:graphicData>
                </a:graphic>
              </wp:inline>
            </w:drawing>
          </w:r>
        </w:p>
      </w:tc>
    </w:tr>
  </w:tbl>
  <w:p w:rsidR="0042104F" w:rsidRPr="00552F4E" w:rsidRDefault="0042104F">
    <w:pPr>
      <w:ind w:right="360" w:firstLine="360"/>
      <w:rPr>
        <w:sz w:val="8"/>
        <w:szCs w:val="8"/>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4F" w:rsidRDefault="0042104F">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4F" w:rsidRDefault="004210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E60B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7BA6432"/>
    <w:lvl w:ilvl="0">
      <w:start w:val="1"/>
      <w:numFmt w:val="decimal"/>
      <w:lvlText w:val="%1."/>
      <w:lvlJc w:val="left"/>
      <w:pPr>
        <w:tabs>
          <w:tab w:val="num" w:pos="1492"/>
        </w:tabs>
        <w:ind w:left="1492" w:hanging="360"/>
      </w:pPr>
    </w:lvl>
  </w:abstractNum>
  <w:abstractNum w:abstractNumId="2">
    <w:nsid w:val="FFFFFF7D"/>
    <w:multiLevelType w:val="singleLevel"/>
    <w:tmpl w:val="77A0A400"/>
    <w:lvl w:ilvl="0">
      <w:start w:val="1"/>
      <w:numFmt w:val="decimal"/>
      <w:lvlText w:val="%1."/>
      <w:lvlJc w:val="left"/>
      <w:pPr>
        <w:tabs>
          <w:tab w:val="num" w:pos="1209"/>
        </w:tabs>
        <w:ind w:left="1209" w:hanging="360"/>
      </w:pPr>
    </w:lvl>
  </w:abstractNum>
  <w:abstractNum w:abstractNumId="3">
    <w:nsid w:val="FFFFFF7E"/>
    <w:multiLevelType w:val="singleLevel"/>
    <w:tmpl w:val="CCC069F0"/>
    <w:lvl w:ilvl="0">
      <w:start w:val="1"/>
      <w:numFmt w:val="decimal"/>
      <w:lvlText w:val="%1."/>
      <w:lvlJc w:val="left"/>
      <w:pPr>
        <w:tabs>
          <w:tab w:val="num" w:pos="926"/>
        </w:tabs>
        <w:ind w:left="926" w:hanging="360"/>
      </w:pPr>
    </w:lvl>
  </w:abstractNum>
  <w:abstractNum w:abstractNumId="4">
    <w:nsid w:val="FFFFFF7F"/>
    <w:multiLevelType w:val="singleLevel"/>
    <w:tmpl w:val="09323634"/>
    <w:lvl w:ilvl="0">
      <w:start w:val="1"/>
      <w:numFmt w:val="decimal"/>
      <w:lvlText w:val="%1."/>
      <w:lvlJc w:val="left"/>
      <w:pPr>
        <w:tabs>
          <w:tab w:val="num" w:pos="643"/>
        </w:tabs>
        <w:ind w:left="643" w:hanging="360"/>
      </w:pPr>
    </w:lvl>
  </w:abstractNum>
  <w:abstractNum w:abstractNumId="5">
    <w:nsid w:val="FFFFFF80"/>
    <w:multiLevelType w:val="singleLevel"/>
    <w:tmpl w:val="59AA4F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65AFDD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9DEC5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F4EDFA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020D886"/>
    <w:lvl w:ilvl="0">
      <w:start w:val="1"/>
      <w:numFmt w:val="decimal"/>
      <w:lvlText w:val="%1."/>
      <w:lvlJc w:val="left"/>
      <w:pPr>
        <w:tabs>
          <w:tab w:val="num" w:pos="360"/>
        </w:tabs>
        <w:ind w:left="360" w:hanging="360"/>
      </w:pPr>
    </w:lvl>
  </w:abstractNum>
  <w:abstractNum w:abstractNumId="10">
    <w:nsid w:val="FFFFFF89"/>
    <w:multiLevelType w:val="singleLevel"/>
    <w:tmpl w:val="E098BFB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D16EBD"/>
    <w:multiLevelType w:val="hybridMultilevel"/>
    <w:tmpl w:val="6FE0602E"/>
    <w:lvl w:ilvl="0" w:tplc="C7DE14B8">
      <w:start w:val="1"/>
      <w:numFmt w:val="decimal"/>
      <w:pStyle w:val="Reference"/>
      <w:suff w:val="space"/>
      <w:lvlText w:val="[%1]"/>
      <w:lvlJc w:val="left"/>
      <w:pPr>
        <w:ind w:left="432" w:hanging="432"/>
      </w:pPr>
      <w:rPr>
        <w:rFonts w:cs="Times New Roman" w:hint="default"/>
      </w:rPr>
    </w:lvl>
    <w:lvl w:ilvl="1" w:tplc="3D58B85E" w:tentative="1">
      <w:start w:val="1"/>
      <w:numFmt w:val="lowerLetter"/>
      <w:lvlText w:val="%2."/>
      <w:lvlJc w:val="left"/>
      <w:pPr>
        <w:tabs>
          <w:tab w:val="num" w:pos="1008"/>
        </w:tabs>
        <w:ind w:left="1008" w:hanging="360"/>
      </w:pPr>
      <w:rPr>
        <w:rFonts w:cs="Times New Roman"/>
      </w:rPr>
    </w:lvl>
    <w:lvl w:ilvl="2" w:tplc="A246F09C" w:tentative="1">
      <w:start w:val="1"/>
      <w:numFmt w:val="lowerRoman"/>
      <w:lvlText w:val="%3."/>
      <w:lvlJc w:val="right"/>
      <w:pPr>
        <w:tabs>
          <w:tab w:val="num" w:pos="1728"/>
        </w:tabs>
        <w:ind w:left="1728" w:hanging="180"/>
      </w:pPr>
      <w:rPr>
        <w:rFonts w:cs="Times New Roman"/>
      </w:rPr>
    </w:lvl>
    <w:lvl w:ilvl="3" w:tplc="41CA4A30" w:tentative="1">
      <w:start w:val="1"/>
      <w:numFmt w:val="decimal"/>
      <w:lvlText w:val="%4."/>
      <w:lvlJc w:val="left"/>
      <w:pPr>
        <w:tabs>
          <w:tab w:val="num" w:pos="2448"/>
        </w:tabs>
        <w:ind w:left="2448" w:hanging="360"/>
      </w:pPr>
      <w:rPr>
        <w:rFonts w:cs="Times New Roman"/>
      </w:rPr>
    </w:lvl>
    <w:lvl w:ilvl="4" w:tplc="942A775E" w:tentative="1">
      <w:start w:val="1"/>
      <w:numFmt w:val="lowerLetter"/>
      <w:lvlText w:val="%5."/>
      <w:lvlJc w:val="left"/>
      <w:pPr>
        <w:tabs>
          <w:tab w:val="num" w:pos="3168"/>
        </w:tabs>
        <w:ind w:left="3168" w:hanging="360"/>
      </w:pPr>
      <w:rPr>
        <w:rFonts w:cs="Times New Roman"/>
      </w:rPr>
    </w:lvl>
    <w:lvl w:ilvl="5" w:tplc="CCB84150" w:tentative="1">
      <w:start w:val="1"/>
      <w:numFmt w:val="lowerRoman"/>
      <w:lvlText w:val="%6."/>
      <w:lvlJc w:val="right"/>
      <w:pPr>
        <w:tabs>
          <w:tab w:val="num" w:pos="3888"/>
        </w:tabs>
        <w:ind w:left="3888" w:hanging="180"/>
      </w:pPr>
      <w:rPr>
        <w:rFonts w:cs="Times New Roman"/>
      </w:rPr>
    </w:lvl>
    <w:lvl w:ilvl="6" w:tplc="121C26F4" w:tentative="1">
      <w:start w:val="1"/>
      <w:numFmt w:val="decimal"/>
      <w:lvlText w:val="%7."/>
      <w:lvlJc w:val="left"/>
      <w:pPr>
        <w:tabs>
          <w:tab w:val="num" w:pos="4608"/>
        </w:tabs>
        <w:ind w:left="4608" w:hanging="360"/>
      </w:pPr>
      <w:rPr>
        <w:rFonts w:cs="Times New Roman"/>
      </w:rPr>
    </w:lvl>
    <w:lvl w:ilvl="7" w:tplc="DBCCC0EA" w:tentative="1">
      <w:start w:val="1"/>
      <w:numFmt w:val="lowerLetter"/>
      <w:lvlText w:val="%8."/>
      <w:lvlJc w:val="left"/>
      <w:pPr>
        <w:tabs>
          <w:tab w:val="num" w:pos="5328"/>
        </w:tabs>
        <w:ind w:left="5328" w:hanging="360"/>
      </w:pPr>
      <w:rPr>
        <w:rFonts w:cs="Times New Roman"/>
      </w:rPr>
    </w:lvl>
    <w:lvl w:ilvl="8" w:tplc="882EF556" w:tentative="1">
      <w:start w:val="1"/>
      <w:numFmt w:val="lowerRoman"/>
      <w:lvlText w:val="%9."/>
      <w:lvlJc w:val="right"/>
      <w:pPr>
        <w:tabs>
          <w:tab w:val="num" w:pos="6048"/>
        </w:tabs>
        <w:ind w:left="6048" w:hanging="180"/>
      </w:pPr>
      <w:rPr>
        <w:rFonts w:cs="Times New Roman"/>
      </w:rPr>
    </w:lvl>
  </w:abstractNum>
  <w:abstractNum w:abstractNumId="13">
    <w:nsid w:val="036D2862"/>
    <w:multiLevelType w:val="hybridMultilevel"/>
    <w:tmpl w:val="BF909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3D70919"/>
    <w:multiLevelType w:val="multilevel"/>
    <w:tmpl w:val="1D408CD6"/>
    <w:lvl w:ilvl="0">
      <w:start w:val="1"/>
      <w:numFmt w:val="decimal"/>
      <w:pStyle w:val="Style3"/>
      <w:lvlText w:val="%1.1.1"/>
      <w:lvlJc w:val="left"/>
      <w:pPr>
        <w:tabs>
          <w:tab w:val="num" w:pos="794"/>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048B674F"/>
    <w:multiLevelType w:val="hybridMultilevel"/>
    <w:tmpl w:val="2DA8D83C"/>
    <w:lvl w:ilvl="0" w:tplc="8EDC25AA">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7602EE4"/>
    <w:multiLevelType w:val="hybridMultilevel"/>
    <w:tmpl w:val="5366CAD0"/>
    <w:lvl w:ilvl="0" w:tplc="AE66F64C">
      <w:start w:val="1"/>
      <w:numFmt w:val="bullet"/>
      <w:lvlText w:val="-"/>
      <w:lvlJc w:val="left"/>
      <w:pPr>
        <w:ind w:left="780" w:hanging="360"/>
      </w:pPr>
      <w:rPr>
        <w:rFonts w:ascii="Calibri" w:eastAsiaTheme="minorHAnsi" w:hAnsi="Calibri" w:cstheme="minorBidi"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7">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092C1FB5"/>
    <w:multiLevelType w:val="hybridMultilevel"/>
    <w:tmpl w:val="3F1A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95D6BF2"/>
    <w:multiLevelType w:val="hybridMultilevel"/>
    <w:tmpl w:val="A0A43E8E"/>
    <w:lvl w:ilvl="0" w:tplc="041B0015">
      <w:start w:val="1"/>
      <w:numFmt w:val="upperLetter"/>
      <w:lvlText w:val="%1."/>
      <w:lvlJc w:val="left"/>
      <w:pPr>
        <w:tabs>
          <w:tab w:val="num" w:pos="720"/>
        </w:tabs>
        <w:ind w:left="720" w:hanging="360"/>
      </w:pPr>
    </w:lvl>
    <w:lvl w:ilvl="1" w:tplc="2EDAF1B6">
      <w:start w:val="1"/>
      <w:numFmt w:val="decimal"/>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0">
    <w:nsid w:val="0A807838"/>
    <w:multiLevelType w:val="hybridMultilevel"/>
    <w:tmpl w:val="C2001B62"/>
    <w:lvl w:ilvl="0" w:tplc="16B8EA36">
      <w:start w:val="101"/>
      <w:numFmt w:val="bullet"/>
      <w:lvlText w:val="-"/>
      <w:lvlJc w:val="left"/>
      <w:pPr>
        <w:tabs>
          <w:tab w:val="num" w:pos="720"/>
        </w:tabs>
        <w:ind w:left="720" w:hanging="360"/>
      </w:pPr>
      <w:rPr>
        <w:rFonts w:ascii="Arial" w:eastAsia="Times New Roman" w:hAnsi="Arial" w:hint="default"/>
      </w:rPr>
    </w:lvl>
    <w:lvl w:ilvl="1" w:tplc="B422F296" w:tentative="1">
      <w:start w:val="1"/>
      <w:numFmt w:val="bullet"/>
      <w:lvlText w:val="o"/>
      <w:lvlJc w:val="left"/>
      <w:pPr>
        <w:tabs>
          <w:tab w:val="num" w:pos="312"/>
        </w:tabs>
        <w:ind w:left="312" w:hanging="360"/>
      </w:pPr>
      <w:rPr>
        <w:rFonts w:ascii="Courier New" w:hAnsi="Courier New" w:hint="default"/>
      </w:rPr>
    </w:lvl>
    <w:lvl w:ilvl="2" w:tplc="1D36E848" w:tentative="1">
      <w:start w:val="1"/>
      <w:numFmt w:val="bullet"/>
      <w:lvlText w:val=""/>
      <w:lvlJc w:val="left"/>
      <w:pPr>
        <w:tabs>
          <w:tab w:val="num" w:pos="1032"/>
        </w:tabs>
        <w:ind w:left="1032" w:hanging="360"/>
      </w:pPr>
      <w:rPr>
        <w:rFonts w:ascii="Wingdings" w:hAnsi="Wingdings" w:hint="default"/>
      </w:rPr>
    </w:lvl>
    <w:lvl w:ilvl="3" w:tplc="A28C816C" w:tentative="1">
      <w:start w:val="1"/>
      <w:numFmt w:val="bullet"/>
      <w:lvlText w:val=""/>
      <w:lvlJc w:val="left"/>
      <w:pPr>
        <w:tabs>
          <w:tab w:val="num" w:pos="1752"/>
        </w:tabs>
        <w:ind w:left="1752" w:hanging="360"/>
      </w:pPr>
      <w:rPr>
        <w:rFonts w:ascii="Symbol" w:hAnsi="Symbol" w:hint="default"/>
      </w:rPr>
    </w:lvl>
    <w:lvl w:ilvl="4" w:tplc="A1E6600E" w:tentative="1">
      <w:start w:val="1"/>
      <w:numFmt w:val="bullet"/>
      <w:lvlText w:val="o"/>
      <w:lvlJc w:val="left"/>
      <w:pPr>
        <w:tabs>
          <w:tab w:val="num" w:pos="2472"/>
        </w:tabs>
        <w:ind w:left="2472" w:hanging="360"/>
      </w:pPr>
      <w:rPr>
        <w:rFonts w:ascii="Courier New" w:hAnsi="Courier New" w:hint="default"/>
      </w:rPr>
    </w:lvl>
    <w:lvl w:ilvl="5" w:tplc="88521C0A" w:tentative="1">
      <w:start w:val="1"/>
      <w:numFmt w:val="bullet"/>
      <w:lvlText w:val=""/>
      <w:lvlJc w:val="left"/>
      <w:pPr>
        <w:tabs>
          <w:tab w:val="num" w:pos="3192"/>
        </w:tabs>
        <w:ind w:left="3192" w:hanging="360"/>
      </w:pPr>
      <w:rPr>
        <w:rFonts w:ascii="Wingdings" w:hAnsi="Wingdings" w:hint="default"/>
      </w:rPr>
    </w:lvl>
    <w:lvl w:ilvl="6" w:tplc="030A0D8C" w:tentative="1">
      <w:start w:val="1"/>
      <w:numFmt w:val="bullet"/>
      <w:lvlText w:val=""/>
      <w:lvlJc w:val="left"/>
      <w:pPr>
        <w:tabs>
          <w:tab w:val="num" w:pos="3912"/>
        </w:tabs>
        <w:ind w:left="3912" w:hanging="360"/>
      </w:pPr>
      <w:rPr>
        <w:rFonts w:ascii="Symbol" w:hAnsi="Symbol" w:hint="default"/>
      </w:rPr>
    </w:lvl>
    <w:lvl w:ilvl="7" w:tplc="2C1232C6" w:tentative="1">
      <w:start w:val="1"/>
      <w:numFmt w:val="bullet"/>
      <w:lvlText w:val="o"/>
      <w:lvlJc w:val="left"/>
      <w:pPr>
        <w:tabs>
          <w:tab w:val="num" w:pos="4632"/>
        </w:tabs>
        <w:ind w:left="4632" w:hanging="360"/>
      </w:pPr>
      <w:rPr>
        <w:rFonts w:ascii="Courier New" w:hAnsi="Courier New" w:hint="default"/>
      </w:rPr>
    </w:lvl>
    <w:lvl w:ilvl="8" w:tplc="5148C86A" w:tentative="1">
      <w:start w:val="1"/>
      <w:numFmt w:val="bullet"/>
      <w:lvlText w:val=""/>
      <w:lvlJc w:val="left"/>
      <w:pPr>
        <w:tabs>
          <w:tab w:val="num" w:pos="5352"/>
        </w:tabs>
        <w:ind w:left="5352" w:hanging="360"/>
      </w:pPr>
      <w:rPr>
        <w:rFonts w:ascii="Wingdings" w:hAnsi="Wingdings" w:hint="default"/>
      </w:rPr>
    </w:lvl>
  </w:abstractNum>
  <w:abstractNum w:abstractNumId="21">
    <w:nsid w:val="0D8F4C43"/>
    <w:multiLevelType w:val="hybridMultilevel"/>
    <w:tmpl w:val="0CBE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486D23"/>
    <w:multiLevelType w:val="hybridMultilevel"/>
    <w:tmpl w:val="6D6644C2"/>
    <w:lvl w:ilvl="0" w:tplc="CF906B08">
      <w:start w:val="21"/>
      <w:numFmt w:val="bullet"/>
      <w:lvlText w:val="-"/>
      <w:lvlJc w:val="left"/>
      <w:pPr>
        <w:ind w:left="720" w:hanging="360"/>
      </w:pPr>
      <w:rPr>
        <w:rFonts w:ascii="Trebuchet MS" w:eastAsia="Times New Roman" w:hAnsi="Trebuchet MS" w:cs="Times New Roman"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76070E"/>
    <w:multiLevelType w:val="hybridMultilevel"/>
    <w:tmpl w:val="847AC99C"/>
    <w:lvl w:ilvl="0" w:tplc="81D8D702">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364C38"/>
    <w:multiLevelType w:val="hybridMultilevel"/>
    <w:tmpl w:val="661EEA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4A10878"/>
    <w:multiLevelType w:val="hybridMultilevel"/>
    <w:tmpl w:val="4BEAA07C"/>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16B56496"/>
    <w:multiLevelType w:val="hybridMultilevel"/>
    <w:tmpl w:val="3C8A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nsid w:val="177922F0"/>
    <w:multiLevelType w:val="hybridMultilevel"/>
    <w:tmpl w:val="001C72BC"/>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197B2B74"/>
    <w:multiLevelType w:val="hybridMultilevel"/>
    <w:tmpl w:val="8D767C92"/>
    <w:lvl w:ilvl="0" w:tplc="67DAA1D2">
      <w:start w:val="1"/>
      <w:numFmt w:val="bullet"/>
      <w:lvlText w:val=""/>
      <w:lvlJc w:val="left"/>
      <w:pPr>
        <w:tabs>
          <w:tab w:val="num" w:pos="720"/>
        </w:tabs>
        <w:ind w:left="720" w:hanging="360"/>
      </w:pPr>
      <w:rPr>
        <w:rFonts w:ascii="Wingdings" w:hAnsi="Wingdings" w:hint="default"/>
      </w:rPr>
    </w:lvl>
    <w:lvl w:ilvl="1" w:tplc="698A38BA" w:tentative="1">
      <w:start w:val="1"/>
      <w:numFmt w:val="bullet"/>
      <w:lvlText w:val=""/>
      <w:lvlJc w:val="left"/>
      <w:pPr>
        <w:tabs>
          <w:tab w:val="num" w:pos="1440"/>
        </w:tabs>
        <w:ind w:left="1440" w:hanging="360"/>
      </w:pPr>
      <w:rPr>
        <w:rFonts w:ascii="Wingdings" w:hAnsi="Wingdings" w:hint="default"/>
      </w:rPr>
    </w:lvl>
    <w:lvl w:ilvl="2" w:tplc="80FA9E4E" w:tentative="1">
      <w:start w:val="1"/>
      <w:numFmt w:val="bullet"/>
      <w:lvlText w:val=""/>
      <w:lvlJc w:val="left"/>
      <w:pPr>
        <w:tabs>
          <w:tab w:val="num" w:pos="2160"/>
        </w:tabs>
        <w:ind w:left="2160" w:hanging="360"/>
      </w:pPr>
      <w:rPr>
        <w:rFonts w:ascii="Wingdings" w:hAnsi="Wingdings" w:hint="default"/>
      </w:rPr>
    </w:lvl>
    <w:lvl w:ilvl="3" w:tplc="8FC629A6" w:tentative="1">
      <w:start w:val="1"/>
      <w:numFmt w:val="bullet"/>
      <w:lvlText w:val=""/>
      <w:lvlJc w:val="left"/>
      <w:pPr>
        <w:tabs>
          <w:tab w:val="num" w:pos="2880"/>
        </w:tabs>
        <w:ind w:left="2880" w:hanging="360"/>
      </w:pPr>
      <w:rPr>
        <w:rFonts w:ascii="Wingdings" w:hAnsi="Wingdings" w:hint="default"/>
      </w:rPr>
    </w:lvl>
    <w:lvl w:ilvl="4" w:tplc="3D0C78A0" w:tentative="1">
      <w:start w:val="1"/>
      <w:numFmt w:val="bullet"/>
      <w:lvlText w:val=""/>
      <w:lvlJc w:val="left"/>
      <w:pPr>
        <w:tabs>
          <w:tab w:val="num" w:pos="3600"/>
        </w:tabs>
        <w:ind w:left="3600" w:hanging="360"/>
      </w:pPr>
      <w:rPr>
        <w:rFonts w:ascii="Wingdings" w:hAnsi="Wingdings" w:hint="default"/>
      </w:rPr>
    </w:lvl>
    <w:lvl w:ilvl="5" w:tplc="2D0ED372" w:tentative="1">
      <w:start w:val="1"/>
      <w:numFmt w:val="bullet"/>
      <w:lvlText w:val=""/>
      <w:lvlJc w:val="left"/>
      <w:pPr>
        <w:tabs>
          <w:tab w:val="num" w:pos="4320"/>
        </w:tabs>
        <w:ind w:left="4320" w:hanging="360"/>
      </w:pPr>
      <w:rPr>
        <w:rFonts w:ascii="Wingdings" w:hAnsi="Wingdings" w:hint="default"/>
      </w:rPr>
    </w:lvl>
    <w:lvl w:ilvl="6" w:tplc="3AF2C744" w:tentative="1">
      <w:start w:val="1"/>
      <w:numFmt w:val="bullet"/>
      <w:lvlText w:val=""/>
      <w:lvlJc w:val="left"/>
      <w:pPr>
        <w:tabs>
          <w:tab w:val="num" w:pos="5040"/>
        </w:tabs>
        <w:ind w:left="5040" w:hanging="360"/>
      </w:pPr>
      <w:rPr>
        <w:rFonts w:ascii="Wingdings" w:hAnsi="Wingdings" w:hint="default"/>
      </w:rPr>
    </w:lvl>
    <w:lvl w:ilvl="7" w:tplc="17A21164" w:tentative="1">
      <w:start w:val="1"/>
      <w:numFmt w:val="bullet"/>
      <w:lvlText w:val=""/>
      <w:lvlJc w:val="left"/>
      <w:pPr>
        <w:tabs>
          <w:tab w:val="num" w:pos="5760"/>
        </w:tabs>
        <w:ind w:left="5760" w:hanging="360"/>
      </w:pPr>
      <w:rPr>
        <w:rFonts w:ascii="Wingdings" w:hAnsi="Wingdings" w:hint="default"/>
      </w:rPr>
    </w:lvl>
    <w:lvl w:ilvl="8" w:tplc="6E9A8378" w:tentative="1">
      <w:start w:val="1"/>
      <w:numFmt w:val="bullet"/>
      <w:lvlText w:val=""/>
      <w:lvlJc w:val="left"/>
      <w:pPr>
        <w:tabs>
          <w:tab w:val="num" w:pos="6480"/>
        </w:tabs>
        <w:ind w:left="6480" w:hanging="360"/>
      </w:pPr>
      <w:rPr>
        <w:rFonts w:ascii="Wingdings" w:hAnsi="Wingdings" w:hint="default"/>
      </w:rPr>
    </w:lvl>
  </w:abstractNum>
  <w:abstractNum w:abstractNumId="30">
    <w:nsid w:val="1A5B4342"/>
    <w:multiLevelType w:val="hybridMultilevel"/>
    <w:tmpl w:val="F09ACFB6"/>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1D2306F5"/>
    <w:multiLevelType w:val="hybridMultilevel"/>
    <w:tmpl w:val="30140070"/>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nsid w:val="1E5B50D6"/>
    <w:multiLevelType w:val="hybridMultilevel"/>
    <w:tmpl w:val="F67A2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118427B"/>
    <w:multiLevelType w:val="multilevel"/>
    <w:tmpl w:val="14D8E7AE"/>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1002" w:hanging="576"/>
      </w:pPr>
      <w:rPr>
        <w:rFonts w:hint="default"/>
      </w:rPr>
    </w:lvl>
    <w:lvl w:ilvl="2">
      <w:start w:val="1"/>
      <w:numFmt w:val="decimal"/>
      <w:pStyle w:val="Titre3"/>
      <w:suff w:val="space"/>
      <w:lvlText w:val="%1.%2.%3"/>
      <w:lvlJc w:val="left"/>
      <w:pPr>
        <w:ind w:left="1004"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34">
    <w:nsid w:val="220F57FF"/>
    <w:multiLevelType w:val="hybridMultilevel"/>
    <w:tmpl w:val="5248225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2224705D"/>
    <w:multiLevelType w:val="hybridMultilevel"/>
    <w:tmpl w:val="C4FC7D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24D07D3B"/>
    <w:multiLevelType w:val="hybridMultilevel"/>
    <w:tmpl w:val="30BC00AC"/>
    <w:lvl w:ilvl="0" w:tplc="163EC8AE">
      <w:start w:val="1"/>
      <w:numFmt w:val="bullet"/>
      <w:lvlText w:val=""/>
      <w:lvlJc w:val="left"/>
      <w:pPr>
        <w:tabs>
          <w:tab w:val="num" w:pos="720"/>
        </w:tabs>
        <w:ind w:left="720" w:hanging="360"/>
      </w:pPr>
      <w:rPr>
        <w:rFonts w:ascii="Wingdings" w:hAnsi="Wingdings" w:hint="default"/>
      </w:rPr>
    </w:lvl>
    <w:lvl w:ilvl="1" w:tplc="5CF6E242" w:tentative="1">
      <w:start w:val="1"/>
      <w:numFmt w:val="bullet"/>
      <w:lvlText w:val=""/>
      <w:lvlJc w:val="left"/>
      <w:pPr>
        <w:tabs>
          <w:tab w:val="num" w:pos="1440"/>
        </w:tabs>
        <w:ind w:left="1440" w:hanging="360"/>
      </w:pPr>
      <w:rPr>
        <w:rFonts w:ascii="Wingdings" w:hAnsi="Wingdings" w:hint="default"/>
      </w:rPr>
    </w:lvl>
    <w:lvl w:ilvl="2" w:tplc="7A64C35C" w:tentative="1">
      <w:start w:val="1"/>
      <w:numFmt w:val="bullet"/>
      <w:lvlText w:val=""/>
      <w:lvlJc w:val="left"/>
      <w:pPr>
        <w:tabs>
          <w:tab w:val="num" w:pos="2160"/>
        </w:tabs>
        <w:ind w:left="2160" w:hanging="360"/>
      </w:pPr>
      <w:rPr>
        <w:rFonts w:ascii="Wingdings" w:hAnsi="Wingdings" w:hint="default"/>
      </w:rPr>
    </w:lvl>
    <w:lvl w:ilvl="3" w:tplc="18E0B750" w:tentative="1">
      <w:start w:val="1"/>
      <w:numFmt w:val="bullet"/>
      <w:lvlText w:val=""/>
      <w:lvlJc w:val="left"/>
      <w:pPr>
        <w:tabs>
          <w:tab w:val="num" w:pos="2880"/>
        </w:tabs>
        <w:ind w:left="2880" w:hanging="360"/>
      </w:pPr>
      <w:rPr>
        <w:rFonts w:ascii="Wingdings" w:hAnsi="Wingdings" w:hint="default"/>
      </w:rPr>
    </w:lvl>
    <w:lvl w:ilvl="4" w:tplc="292E1F0A" w:tentative="1">
      <w:start w:val="1"/>
      <w:numFmt w:val="bullet"/>
      <w:lvlText w:val=""/>
      <w:lvlJc w:val="left"/>
      <w:pPr>
        <w:tabs>
          <w:tab w:val="num" w:pos="3600"/>
        </w:tabs>
        <w:ind w:left="3600" w:hanging="360"/>
      </w:pPr>
      <w:rPr>
        <w:rFonts w:ascii="Wingdings" w:hAnsi="Wingdings" w:hint="default"/>
      </w:rPr>
    </w:lvl>
    <w:lvl w:ilvl="5" w:tplc="0CEC0B1A" w:tentative="1">
      <w:start w:val="1"/>
      <w:numFmt w:val="bullet"/>
      <w:lvlText w:val=""/>
      <w:lvlJc w:val="left"/>
      <w:pPr>
        <w:tabs>
          <w:tab w:val="num" w:pos="4320"/>
        </w:tabs>
        <w:ind w:left="4320" w:hanging="360"/>
      </w:pPr>
      <w:rPr>
        <w:rFonts w:ascii="Wingdings" w:hAnsi="Wingdings" w:hint="default"/>
      </w:rPr>
    </w:lvl>
    <w:lvl w:ilvl="6" w:tplc="4C9C5A20" w:tentative="1">
      <w:start w:val="1"/>
      <w:numFmt w:val="bullet"/>
      <w:lvlText w:val=""/>
      <w:lvlJc w:val="left"/>
      <w:pPr>
        <w:tabs>
          <w:tab w:val="num" w:pos="5040"/>
        </w:tabs>
        <w:ind w:left="5040" w:hanging="360"/>
      </w:pPr>
      <w:rPr>
        <w:rFonts w:ascii="Wingdings" w:hAnsi="Wingdings" w:hint="default"/>
      </w:rPr>
    </w:lvl>
    <w:lvl w:ilvl="7" w:tplc="FAA66934" w:tentative="1">
      <w:start w:val="1"/>
      <w:numFmt w:val="bullet"/>
      <w:lvlText w:val=""/>
      <w:lvlJc w:val="left"/>
      <w:pPr>
        <w:tabs>
          <w:tab w:val="num" w:pos="5760"/>
        </w:tabs>
        <w:ind w:left="5760" w:hanging="360"/>
      </w:pPr>
      <w:rPr>
        <w:rFonts w:ascii="Wingdings" w:hAnsi="Wingdings" w:hint="default"/>
      </w:rPr>
    </w:lvl>
    <w:lvl w:ilvl="8" w:tplc="86445CCE" w:tentative="1">
      <w:start w:val="1"/>
      <w:numFmt w:val="bullet"/>
      <w:lvlText w:val=""/>
      <w:lvlJc w:val="left"/>
      <w:pPr>
        <w:tabs>
          <w:tab w:val="num" w:pos="6480"/>
        </w:tabs>
        <w:ind w:left="6480" w:hanging="360"/>
      </w:pPr>
      <w:rPr>
        <w:rFonts w:ascii="Wingdings" w:hAnsi="Wingdings" w:hint="default"/>
      </w:rPr>
    </w:lvl>
  </w:abstractNum>
  <w:abstractNum w:abstractNumId="37">
    <w:nsid w:val="264B3B4C"/>
    <w:multiLevelType w:val="hybridMultilevel"/>
    <w:tmpl w:val="2F6C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186F73"/>
    <w:multiLevelType w:val="multilevel"/>
    <w:tmpl w:val="97AAE538"/>
    <w:lvl w:ilvl="0">
      <w:start w:val="1"/>
      <w:numFmt w:val="decimal"/>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281A1A49"/>
    <w:multiLevelType w:val="hybridMultilevel"/>
    <w:tmpl w:val="19C87C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29EC72A5"/>
    <w:multiLevelType w:val="hybridMultilevel"/>
    <w:tmpl w:val="37F8A310"/>
    <w:lvl w:ilvl="0" w:tplc="2482F8F0">
      <w:numFmt w:val="bullet"/>
      <w:lvlText w:val="-"/>
      <w:lvlJc w:val="left"/>
      <w:pPr>
        <w:ind w:left="720" w:hanging="360"/>
      </w:pPr>
      <w:rPr>
        <w:rFonts w:ascii="Trebuchet MS" w:eastAsia="Times New Roman" w:hAnsi="Trebuchet M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2B407BFB"/>
    <w:multiLevelType w:val="hybridMultilevel"/>
    <w:tmpl w:val="0100DD84"/>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2BDC55DF"/>
    <w:multiLevelType w:val="hybridMultilevel"/>
    <w:tmpl w:val="95901CB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2C2E17F2"/>
    <w:multiLevelType w:val="hybridMultilevel"/>
    <w:tmpl w:val="C986ACD6"/>
    <w:lvl w:ilvl="0" w:tplc="2482F8F0">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5">
    <w:nsid w:val="2F3B1F02"/>
    <w:multiLevelType w:val="hybridMultilevel"/>
    <w:tmpl w:val="74DA526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nsid w:val="2F5B7783"/>
    <w:multiLevelType w:val="hybridMultilevel"/>
    <w:tmpl w:val="415486F0"/>
    <w:lvl w:ilvl="0" w:tplc="AE66F64C">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2FED4C7E"/>
    <w:multiLevelType w:val="hybridMultilevel"/>
    <w:tmpl w:val="1A84AD0E"/>
    <w:lvl w:ilvl="0" w:tplc="BB2636B4">
      <w:start w:val="101"/>
      <w:numFmt w:val="bullet"/>
      <w:lvlText w:val="-"/>
      <w:lvlJc w:val="left"/>
      <w:pPr>
        <w:tabs>
          <w:tab w:val="num" w:pos="1080"/>
        </w:tabs>
        <w:ind w:left="1080" w:hanging="360"/>
      </w:pPr>
      <w:rPr>
        <w:rFonts w:ascii="Arial" w:eastAsia="Times New Roman" w:hAnsi="Arial" w:hint="default"/>
      </w:rPr>
    </w:lvl>
    <w:lvl w:ilvl="1" w:tplc="040B0003" w:tentative="1">
      <w:start w:val="1"/>
      <w:numFmt w:val="bullet"/>
      <w:lvlText w:val="o"/>
      <w:lvlJc w:val="left"/>
      <w:pPr>
        <w:tabs>
          <w:tab w:val="num" w:pos="672"/>
        </w:tabs>
        <w:ind w:left="672" w:hanging="360"/>
      </w:pPr>
      <w:rPr>
        <w:rFonts w:ascii="Courier New" w:hAnsi="Courier New" w:hint="default"/>
      </w:rPr>
    </w:lvl>
    <w:lvl w:ilvl="2" w:tplc="040B0005" w:tentative="1">
      <w:start w:val="1"/>
      <w:numFmt w:val="bullet"/>
      <w:lvlText w:val=""/>
      <w:lvlJc w:val="left"/>
      <w:pPr>
        <w:tabs>
          <w:tab w:val="num" w:pos="1392"/>
        </w:tabs>
        <w:ind w:left="1392" w:hanging="360"/>
      </w:pPr>
      <w:rPr>
        <w:rFonts w:ascii="Wingdings" w:hAnsi="Wingdings" w:hint="default"/>
      </w:rPr>
    </w:lvl>
    <w:lvl w:ilvl="3" w:tplc="040B0001" w:tentative="1">
      <w:start w:val="1"/>
      <w:numFmt w:val="bullet"/>
      <w:lvlText w:val=""/>
      <w:lvlJc w:val="left"/>
      <w:pPr>
        <w:tabs>
          <w:tab w:val="num" w:pos="2112"/>
        </w:tabs>
        <w:ind w:left="2112" w:hanging="360"/>
      </w:pPr>
      <w:rPr>
        <w:rFonts w:ascii="Symbol" w:hAnsi="Symbol" w:hint="default"/>
      </w:rPr>
    </w:lvl>
    <w:lvl w:ilvl="4" w:tplc="040B0003" w:tentative="1">
      <w:start w:val="1"/>
      <w:numFmt w:val="bullet"/>
      <w:lvlText w:val="o"/>
      <w:lvlJc w:val="left"/>
      <w:pPr>
        <w:tabs>
          <w:tab w:val="num" w:pos="2832"/>
        </w:tabs>
        <w:ind w:left="2832" w:hanging="360"/>
      </w:pPr>
      <w:rPr>
        <w:rFonts w:ascii="Courier New" w:hAnsi="Courier New" w:hint="default"/>
      </w:rPr>
    </w:lvl>
    <w:lvl w:ilvl="5" w:tplc="040B0005" w:tentative="1">
      <w:start w:val="1"/>
      <w:numFmt w:val="bullet"/>
      <w:lvlText w:val=""/>
      <w:lvlJc w:val="left"/>
      <w:pPr>
        <w:tabs>
          <w:tab w:val="num" w:pos="3552"/>
        </w:tabs>
        <w:ind w:left="3552" w:hanging="360"/>
      </w:pPr>
      <w:rPr>
        <w:rFonts w:ascii="Wingdings" w:hAnsi="Wingdings" w:hint="default"/>
      </w:rPr>
    </w:lvl>
    <w:lvl w:ilvl="6" w:tplc="040B0001" w:tentative="1">
      <w:start w:val="1"/>
      <w:numFmt w:val="bullet"/>
      <w:lvlText w:val=""/>
      <w:lvlJc w:val="left"/>
      <w:pPr>
        <w:tabs>
          <w:tab w:val="num" w:pos="4272"/>
        </w:tabs>
        <w:ind w:left="4272" w:hanging="360"/>
      </w:pPr>
      <w:rPr>
        <w:rFonts w:ascii="Symbol" w:hAnsi="Symbol" w:hint="default"/>
      </w:rPr>
    </w:lvl>
    <w:lvl w:ilvl="7" w:tplc="040B0003" w:tentative="1">
      <w:start w:val="1"/>
      <w:numFmt w:val="bullet"/>
      <w:lvlText w:val="o"/>
      <w:lvlJc w:val="left"/>
      <w:pPr>
        <w:tabs>
          <w:tab w:val="num" w:pos="4992"/>
        </w:tabs>
        <w:ind w:left="4992" w:hanging="360"/>
      </w:pPr>
      <w:rPr>
        <w:rFonts w:ascii="Courier New" w:hAnsi="Courier New" w:hint="default"/>
      </w:rPr>
    </w:lvl>
    <w:lvl w:ilvl="8" w:tplc="040B0005" w:tentative="1">
      <w:start w:val="1"/>
      <w:numFmt w:val="bullet"/>
      <w:lvlText w:val=""/>
      <w:lvlJc w:val="left"/>
      <w:pPr>
        <w:tabs>
          <w:tab w:val="num" w:pos="5712"/>
        </w:tabs>
        <w:ind w:left="5712" w:hanging="360"/>
      </w:pPr>
      <w:rPr>
        <w:rFonts w:ascii="Wingdings" w:hAnsi="Wingdings" w:hint="default"/>
      </w:rPr>
    </w:lvl>
  </w:abstractNum>
  <w:abstractNum w:abstractNumId="48">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9">
    <w:nsid w:val="31C21937"/>
    <w:multiLevelType w:val="multilevel"/>
    <w:tmpl w:val="0A76B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334E75E5"/>
    <w:multiLevelType w:val="hybridMultilevel"/>
    <w:tmpl w:val="4494425A"/>
    <w:lvl w:ilvl="0" w:tplc="04070001">
      <w:start w:val="1"/>
      <w:numFmt w:val="bullet"/>
      <w:lvlText w:val=""/>
      <w:lvlJc w:val="left"/>
      <w:pPr>
        <w:ind w:left="840" w:hanging="360"/>
      </w:pPr>
      <w:rPr>
        <w:rFonts w:ascii="Symbol" w:hAnsi="Symbo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51">
    <w:nsid w:val="34333CE2"/>
    <w:multiLevelType w:val="hybridMultilevel"/>
    <w:tmpl w:val="F3DAB76E"/>
    <w:lvl w:ilvl="0" w:tplc="040B000F">
      <w:start w:val="101"/>
      <w:numFmt w:val="bullet"/>
      <w:lvlText w:val="-"/>
      <w:lvlJc w:val="left"/>
      <w:pPr>
        <w:tabs>
          <w:tab w:val="num" w:pos="720"/>
        </w:tabs>
        <w:ind w:left="720" w:hanging="360"/>
      </w:pPr>
      <w:rPr>
        <w:rFonts w:ascii="Arial" w:eastAsia="Times New Roman" w:hAnsi="Arial" w:hint="default"/>
      </w:rPr>
    </w:lvl>
    <w:lvl w:ilvl="1" w:tplc="040B0019" w:tentative="1">
      <w:start w:val="1"/>
      <w:numFmt w:val="bullet"/>
      <w:lvlText w:val="o"/>
      <w:lvlJc w:val="left"/>
      <w:pPr>
        <w:tabs>
          <w:tab w:val="num" w:pos="312"/>
        </w:tabs>
        <w:ind w:left="312" w:hanging="360"/>
      </w:pPr>
      <w:rPr>
        <w:rFonts w:ascii="Courier New" w:hAnsi="Courier New" w:hint="default"/>
      </w:rPr>
    </w:lvl>
    <w:lvl w:ilvl="2" w:tplc="040B001B" w:tentative="1">
      <w:start w:val="1"/>
      <w:numFmt w:val="bullet"/>
      <w:lvlText w:val=""/>
      <w:lvlJc w:val="left"/>
      <w:pPr>
        <w:tabs>
          <w:tab w:val="num" w:pos="1032"/>
        </w:tabs>
        <w:ind w:left="1032" w:hanging="360"/>
      </w:pPr>
      <w:rPr>
        <w:rFonts w:ascii="Wingdings" w:hAnsi="Wingdings" w:hint="default"/>
      </w:rPr>
    </w:lvl>
    <w:lvl w:ilvl="3" w:tplc="040B000F" w:tentative="1">
      <w:start w:val="1"/>
      <w:numFmt w:val="bullet"/>
      <w:lvlText w:val=""/>
      <w:lvlJc w:val="left"/>
      <w:pPr>
        <w:tabs>
          <w:tab w:val="num" w:pos="1752"/>
        </w:tabs>
        <w:ind w:left="1752" w:hanging="360"/>
      </w:pPr>
      <w:rPr>
        <w:rFonts w:ascii="Symbol" w:hAnsi="Symbol" w:hint="default"/>
      </w:rPr>
    </w:lvl>
    <w:lvl w:ilvl="4" w:tplc="040B0019" w:tentative="1">
      <w:start w:val="1"/>
      <w:numFmt w:val="bullet"/>
      <w:lvlText w:val="o"/>
      <w:lvlJc w:val="left"/>
      <w:pPr>
        <w:tabs>
          <w:tab w:val="num" w:pos="2472"/>
        </w:tabs>
        <w:ind w:left="2472" w:hanging="360"/>
      </w:pPr>
      <w:rPr>
        <w:rFonts w:ascii="Courier New" w:hAnsi="Courier New" w:hint="default"/>
      </w:rPr>
    </w:lvl>
    <w:lvl w:ilvl="5" w:tplc="040B001B" w:tentative="1">
      <w:start w:val="1"/>
      <w:numFmt w:val="bullet"/>
      <w:lvlText w:val=""/>
      <w:lvlJc w:val="left"/>
      <w:pPr>
        <w:tabs>
          <w:tab w:val="num" w:pos="3192"/>
        </w:tabs>
        <w:ind w:left="3192" w:hanging="360"/>
      </w:pPr>
      <w:rPr>
        <w:rFonts w:ascii="Wingdings" w:hAnsi="Wingdings" w:hint="default"/>
      </w:rPr>
    </w:lvl>
    <w:lvl w:ilvl="6" w:tplc="040B000F" w:tentative="1">
      <w:start w:val="1"/>
      <w:numFmt w:val="bullet"/>
      <w:lvlText w:val=""/>
      <w:lvlJc w:val="left"/>
      <w:pPr>
        <w:tabs>
          <w:tab w:val="num" w:pos="3912"/>
        </w:tabs>
        <w:ind w:left="3912" w:hanging="360"/>
      </w:pPr>
      <w:rPr>
        <w:rFonts w:ascii="Symbol" w:hAnsi="Symbol" w:hint="default"/>
      </w:rPr>
    </w:lvl>
    <w:lvl w:ilvl="7" w:tplc="040B0019" w:tentative="1">
      <w:start w:val="1"/>
      <w:numFmt w:val="bullet"/>
      <w:lvlText w:val="o"/>
      <w:lvlJc w:val="left"/>
      <w:pPr>
        <w:tabs>
          <w:tab w:val="num" w:pos="4632"/>
        </w:tabs>
        <w:ind w:left="4632" w:hanging="360"/>
      </w:pPr>
      <w:rPr>
        <w:rFonts w:ascii="Courier New" w:hAnsi="Courier New" w:hint="default"/>
      </w:rPr>
    </w:lvl>
    <w:lvl w:ilvl="8" w:tplc="040B001B" w:tentative="1">
      <w:start w:val="1"/>
      <w:numFmt w:val="bullet"/>
      <w:lvlText w:val=""/>
      <w:lvlJc w:val="left"/>
      <w:pPr>
        <w:tabs>
          <w:tab w:val="num" w:pos="5352"/>
        </w:tabs>
        <w:ind w:left="5352" w:hanging="360"/>
      </w:pPr>
      <w:rPr>
        <w:rFonts w:ascii="Wingdings" w:hAnsi="Wingdings" w:hint="default"/>
      </w:rPr>
    </w:lvl>
  </w:abstractNum>
  <w:abstractNum w:abstractNumId="52">
    <w:nsid w:val="35715EE1"/>
    <w:multiLevelType w:val="hybridMultilevel"/>
    <w:tmpl w:val="4358D4C8"/>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nsid w:val="35B76C78"/>
    <w:multiLevelType w:val="hybridMultilevel"/>
    <w:tmpl w:val="09FEB6C2"/>
    <w:lvl w:ilvl="0" w:tplc="B7B410FA">
      <w:start w:val="1"/>
      <w:numFmt w:val="bullet"/>
      <w:lvlText w:val="•"/>
      <w:lvlJc w:val="left"/>
      <w:pPr>
        <w:tabs>
          <w:tab w:val="num" w:pos="720"/>
        </w:tabs>
        <w:ind w:left="720" w:hanging="360"/>
      </w:pPr>
      <w:rPr>
        <w:rFonts w:ascii="Arial" w:hAnsi="Arial" w:hint="default"/>
      </w:rPr>
    </w:lvl>
    <w:lvl w:ilvl="1" w:tplc="8C08B1A8">
      <w:numFmt w:val="bullet"/>
      <w:lvlText w:val="-"/>
      <w:lvlJc w:val="left"/>
      <w:pPr>
        <w:tabs>
          <w:tab w:val="num" w:pos="1440"/>
        </w:tabs>
        <w:ind w:left="1440" w:hanging="360"/>
      </w:pPr>
      <w:rPr>
        <w:rFonts w:ascii="Lucida Grande" w:hAnsi="Lucida Grande" w:hint="default"/>
      </w:rPr>
    </w:lvl>
    <w:lvl w:ilvl="2" w:tplc="20D00E08" w:tentative="1">
      <w:start w:val="1"/>
      <w:numFmt w:val="bullet"/>
      <w:lvlText w:val="•"/>
      <w:lvlJc w:val="left"/>
      <w:pPr>
        <w:tabs>
          <w:tab w:val="num" w:pos="2160"/>
        </w:tabs>
        <w:ind w:left="2160" w:hanging="360"/>
      </w:pPr>
      <w:rPr>
        <w:rFonts w:ascii="Arial" w:hAnsi="Arial" w:hint="default"/>
      </w:rPr>
    </w:lvl>
    <w:lvl w:ilvl="3" w:tplc="9FEEE66C" w:tentative="1">
      <w:start w:val="1"/>
      <w:numFmt w:val="bullet"/>
      <w:lvlText w:val="•"/>
      <w:lvlJc w:val="left"/>
      <w:pPr>
        <w:tabs>
          <w:tab w:val="num" w:pos="2880"/>
        </w:tabs>
        <w:ind w:left="2880" w:hanging="360"/>
      </w:pPr>
      <w:rPr>
        <w:rFonts w:ascii="Arial" w:hAnsi="Arial" w:hint="default"/>
      </w:rPr>
    </w:lvl>
    <w:lvl w:ilvl="4" w:tplc="711CAC2A" w:tentative="1">
      <w:start w:val="1"/>
      <w:numFmt w:val="bullet"/>
      <w:lvlText w:val="•"/>
      <w:lvlJc w:val="left"/>
      <w:pPr>
        <w:tabs>
          <w:tab w:val="num" w:pos="3600"/>
        </w:tabs>
        <w:ind w:left="3600" w:hanging="360"/>
      </w:pPr>
      <w:rPr>
        <w:rFonts w:ascii="Arial" w:hAnsi="Arial" w:hint="default"/>
      </w:rPr>
    </w:lvl>
    <w:lvl w:ilvl="5" w:tplc="59CC7886" w:tentative="1">
      <w:start w:val="1"/>
      <w:numFmt w:val="bullet"/>
      <w:lvlText w:val="•"/>
      <w:lvlJc w:val="left"/>
      <w:pPr>
        <w:tabs>
          <w:tab w:val="num" w:pos="4320"/>
        </w:tabs>
        <w:ind w:left="4320" w:hanging="360"/>
      </w:pPr>
      <w:rPr>
        <w:rFonts w:ascii="Arial" w:hAnsi="Arial" w:hint="default"/>
      </w:rPr>
    </w:lvl>
    <w:lvl w:ilvl="6" w:tplc="19088E0E" w:tentative="1">
      <w:start w:val="1"/>
      <w:numFmt w:val="bullet"/>
      <w:lvlText w:val="•"/>
      <w:lvlJc w:val="left"/>
      <w:pPr>
        <w:tabs>
          <w:tab w:val="num" w:pos="5040"/>
        </w:tabs>
        <w:ind w:left="5040" w:hanging="360"/>
      </w:pPr>
      <w:rPr>
        <w:rFonts w:ascii="Arial" w:hAnsi="Arial" w:hint="default"/>
      </w:rPr>
    </w:lvl>
    <w:lvl w:ilvl="7" w:tplc="23BC66FC" w:tentative="1">
      <w:start w:val="1"/>
      <w:numFmt w:val="bullet"/>
      <w:lvlText w:val="•"/>
      <w:lvlJc w:val="left"/>
      <w:pPr>
        <w:tabs>
          <w:tab w:val="num" w:pos="5760"/>
        </w:tabs>
        <w:ind w:left="5760" w:hanging="360"/>
      </w:pPr>
      <w:rPr>
        <w:rFonts w:ascii="Arial" w:hAnsi="Arial" w:hint="default"/>
      </w:rPr>
    </w:lvl>
    <w:lvl w:ilvl="8" w:tplc="61B6DDD6" w:tentative="1">
      <w:start w:val="1"/>
      <w:numFmt w:val="bullet"/>
      <w:lvlText w:val="•"/>
      <w:lvlJc w:val="left"/>
      <w:pPr>
        <w:tabs>
          <w:tab w:val="num" w:pos="6480"/>
        </w:tabs>
        <w:ind w:left="6480" w:hanging="360"/>
      </w:pPr>
      <w:rPr>
        <w:rFonts w:ascii="Arial" w:hAnsi="Arial" w:hint="default"/>
      </w:rPr>
    </w:lvl>
  </w:abstractNum>
  <w:abstractNum w:abstractNumId="54">
    <w:nsid w:val="35C15E8B"/>
    <w:multiLevelType w:val="hybridMultilevel"/>
    <w:tmpl w:val="AD52A23C"/>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nsid w:val="360C3B01"/>
    <w:multiLevelType w:val="hybridMultilevel"/>
    <w:tmpl w:val="A3E04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6145F2D"/>
    <w:multiLevelType w:val="hybridMultilevel"/>
    <w:tmpl w:val="1096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7795578"/>
    <w:multiLevelType w:val="hybridMultilevel"/>
    <w:tmpl w:val="607CED1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3AFB0229"/>
    <w:multiLevelType w:val="hybridMultilevel"/>
    <w:tmpl w:val="2416C964"/>
    <w:lvl w:ilvl="0" w:tplc="50EE4D34">
      <w:start w:val="170"/>
      <w:numFmt w:val="bullet"/>
      <w:lvlText w:val="•"/>
      <w:lvlJc w:val="left"/>
      <w:pPr>
        <w:tabs>
          <w:tab w:val="num" w:pos="360"/>
        </w:tabs>
        <w:ind w:left="360" w:hanging="360"/>
      </w:pPr>
      <w:rPr>
        <w:rFonts w:ascii="Times New Roman" w:hAnsi="Times New Roman" w:hint="default"/>
        <w:color w:val="auto"/>
      </w:rPr>
    </w:lvl>
    <w:lvl w:ilvl="1" w:tplc="896A2AE8">
      <w:start w:val="170"/>
      <w:numFmt w:val="bullet"/>
      <w:lvlText w:val="•"/>
      <w:lvlJc w:val="left"/>
      <w:pPr>
        <w:tabs>
          <w:tab w:val="num" w:pos="786"/>
        </w:tabs>
        <w:ind w:left="786" w:hanging="360"/>
      </w:pPr>
      <w:rPr>
        <w:rFonts w:ascii="Times New Roman" w:hAnsi="Times New Roman" w:hint="default"/>
        <w:color w:val="auto"/>
      </w:rPr>
    </w:lvl>
    <w:lvl w:ilvl="2" w:tplc="04100005">
      <w:start w:val="1"/>
      <w:numFmt w:val="bullet"/>
      <w:lvlText w:val=""/>
      <w:lvlJc w:val="left"/>
      <w:pPr>
        <w:tabs>
          <w:tab w:val="num" w:pos="1211"/>
        </w:tabs>
        <w:ind w:left="1211"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59">
    <w:nsid w:val="3CD32351"/>
    <w:multiLevelType w:val="hybridMultilevel"/>
    <w:tmpl w:val="2F6EE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E9D414B"/>
    <w:multiLevelType w:val="hybridMultilevel"/>
    <w:tmpl w:val="5540E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3F2B230E"/>
    <w:multiLevelType w:val="hybridMultilevel"/>
    <w:tmpl w:val="06D0CB62"/>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nsid w:val="430C5AAE"/>
    <w:multiLevelType w:val="hybridMultilevel"/>
    <w:tmpl w:val="2EF01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4842626F"/>
    <w:multiLevelType w:val="hybridMultilevel"/>
    <w:tmpl w:val="F38A8B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nsid w:val="49C853D6"/>
    <w:multiLevelType w:val="hybridMultilevel"/>
    <w:tmpl w:val="E836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C4A689E"/>
    <w:multiLevelType w:val="hybridMultilevel"/>
    <w:tmpl w:val="F55086D6"/>
    <w:lvl w:ilvl="0" w:tplc="89D8CA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nsid w:val="50B03304"/>
    <w:multiLevelType w:val="hybridMultilevel"/>
    <w:tmpl w:val="CBD0A1A0"/>
    <w:lvl w:ilvl="0" w:tplc="F2DA1B3A">
      <w:start w:val="1"/>
      <w:numFmt w:val="bullet"/>
      <w:lvlText w:val=""/>
      <w:lvlJc w:val="left"/>
      <w:pPr>
        <w:tabs>
          <w:tab w:val="num" w:pos="720"/>
        </w:tabs>
        <w:ind w:left="720" w:hanging="360"/>
      </w:pPr>
      <w:rPr>
        <w:rFonts w:ascii="Wingdings" w:hAnsi="Wingdings" w:hint="default"/>
      </w:rPr>
    </w:lvl>
    <w:lvl w:ilvl="1" w:tplc="D28499F0" w:tentative="1">
      <w:start w:val="1"/>
      <w:numFmt w:val="bullet"/>
      <w:lvlText w:val=""/>
      <w:lvlJc w:val="left"/>
      <w:pPr>
        <w:tabs>
          <w:tab w:val="num" w:pos="1440"/>
        </w:tabs>
        <w:ind w:left="1440" w:hanging="360"/>
      </w:pPr>
      <w:rPr>
        <w:rFonts w:ascii="Wingdings" w:hAnsi="Wingdings" w:hint="default"/>
      </w:rPr>
    </w:lvl>
    <w:lvl w:ilvl="2" w:tplc="176E2CF2" w:tentative="1">
      <w:start w:val="1"/>
      <w:numFmt w:val="bullet"/>
      <w:lvlText w:val=""/>
      <w:lvlJc w:val="left"/>
      <w:pPr>
        <w:tabs>
          <w:tab w:val="num" w:pos="2160"/>
        </w:tabs>
        <w:ind w:left="2160" w:hanging="360"/>
      </w:pPr>
      <w:rPr>
        <w:rFonts w:ascii="Wingdings" w:hAnsi="Wingdings" w:hint="default"/>
      </w:rPr>
    </w:lvl>
    <w:lvl w:ilvl="3" w:tplc="C29EE20A" w:tentative="1">
      <w:start w:val="1"/>
      <w:numFmt w:val="bullet"/>
      <w:lvlText w:val=""/>
      <w:lvlJc w:val="left"/>
      <w:pPr>
        <w:tabs>
          <w:tab w:val="num" w:pos="2880"/>
        </w:tabs>
        <w:ind w:left="2880" w:hanging="360"/>
      </w:pPr>
      <w:rPr>
        <w:rFonts w:ascii="Wingdings" w:hAnsi="Wingdings" w:hint="default"/>
      </w:rPr>
    </w:lvl>
    <w:lvl w:ilvl="4" w:tplc="1C3C99EC" w:tentative="1">
      <w:start w:val="1"/>
      <w:numFmt w:val="bullet"/>
      <w:lvlText w:val=""/>
      <w:lvlJc w:val="left"/>
      <w:pPr>
        <w:tabs>
          <w:tab w:val="num" w:pos="3600"/>
        </w:tabs>
        <w:ind w:left="3600" w:hanging="360"/>
      </w:pPr>
      <w:rPr>
        <w:rFonts w:ascii="Wingdings" w:hAnsi="Wingdings" w:hint="default"/>
      </w:rPr>
    </w:lvl>
    <w:lvl w:ilvl="5" w:tplc="6AF0082C" w:tentative="1">
      <w:start w:val="1"/>
      <w:numFmt w:val="bullet"/>
      <w:lvlText w:val=""/>
      <w:lvlJc w:val="left"/>
      <w:pPr>
        <w:tabs>
          <w:tab w:val="num" w:pos="4320"/>
        </w:tabs>
        <w:ind w:left="4320" w:hanging="360"/>
      </w:pPr>
      <w:rPr>
        <w:rFonts w:ascii="Wingdings" w:hAnsi="Wingdings" w:hint="default"/>
      </w:rPr>
    </w:lvl>
    <w:lvl w:ilvl="6" w:tplc="E37E10BA" w:tentative="1">
      <w:start w:val="1"/>
      <w:numFmt w:val="bullet"/>
      <w:lvlText w:val=""/>
      <w:lvlJc w:val="left"/>
      <w:pPr>
        <w:tabs>
          <w:tab w:val="num" w:pos="5040"/>
        </w:tabs>
        <w:ind w:left="5040" w:hanging="360"/>
      </w:pPr>
      <w:rPr>
        <w:rFonts w:ascii="Wingdings" w:hAnsi="Wingdings" w:hint="default"/>
      </w:rPr>
    </w:lvl>
    <w:lvl w:ilvl="7" w:tplc="12522404" w:tentative="1">
      <w:start w:val="1"/>
      <w:numFmt w:val="bullet"/>
      <w:lvlText w:val=""/>
      <w:lvlJc w:val="left"/>
      <w:pPr>
        <w:tabs>
          <w:tab w:val="num" w:pos="5760"/>
        </w:tabs>
        <w:ind w:left="5760" w:hanging="360"/>
      </w:pPr>
      <w:rPr>
        <w:rFonts w:ascii="Wingdings" w:hAnsi="Wingdings" w:hint="default"/>
      </w:rPr>
    </w:lvl>
    <w:lvl w:ilvl="8" w:tplc="2D58003E" w:tentative="1">
      <w:start w:val="1"/>
      <w:numFmt w:val="bullet"/>
      <w:lvlText w:val=""/>
      <w:lvlJc w:val="left"/>
      <w:pPr>
        <w:tabs>
          <w:tab w:val="num" w:pos="6480"/>
        </w:tabs>
        <w:ind w:left="6480" w:hanging="360"/>
      </w:pPr>
      <w:rPr>
        <w:rFonts w:ascii="Wingdings" w:hAnsi="Wingdings" w:hint="default"/>
      </w:rPr>
    </w:lvl>
  </w:abstractNum>
  <w:abstractNum w:abstractNumId="67">
    <w:nsid w:val="51DA5BB6"/>
    <w:multiLevelType w:val="hybridMultilevel"/>
    <w:tmpl w:val="25B26E0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8">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70">
    <w:nsid w:val="55F429AB"/>
    <w:multiLevelType w:val="hybridMultilevel"/>
    <w:tmpl w:val="A23C45B4"/>
    <w:lvl w:ilvl="0" w:tplc="8E105EA8">
      <w:start w:val="1"/>
      <w:numFmt w:val="bullet"/>
      <w:lvlText w:val=""/>
      <w:lvlJc w:val="left"/>
      <w:pPr>
        <w:tabs>
          <w:tab w:val="num" w:pos="720"/>
        </w:tabs>
        <w:ind w:left="720" w:hanging="360"/>
      </w:pPr>
      <w:rPr>
        <w:rFonts w:ascii="Wingdings" w:hAnsi="Wingdings" w:hint="default"/>
      </w:rPr>
    </w:lvl>
    <w:lvl w:ilvl="1" w:tplc="EEAE49A6" w:tentative="1">
      <w:start w:val="1"/>
      <w:numFmt w:val="bullet"/>
      <w:lvlText w:val=""/>
      <w:lvlJc w:val="left"/>
      <w:pPr>
        <w:tabs>
          <w:tab w:val="num" w:pos="1440"/>
        </w:tabs>
        <w:ind w:left="1440" w:hanging="360"/>
      </w:pPr>
      <w:rPr>
        <w:rFonts w:ascii="Wingdings" w:hAnsi="Wingdings" w:hint="default"/>
      </w:rPr>
    </w:lvl>
    <w:lvl w:ilvl="2" w:tplc="DF96F71E" w:tentative="1">
      <w:start w:val="1"/>
      <w:numFmt w:val="bullet"/>
      <w:lvlText w:val=""/>
      <w:lvlJc w:val="left"/>
      <w:pPr>
        <w:tabs>
          <w:tab w:val="num" w:pos="2160"/>
        </w:tabs>
        <w:ind w:left="2160" w:hanging="360"/>
      </w:pPr>
      <w:rPr>
        <w:rFonts w:ascii="Wingdings" w:hAnsi="Wingdings" w:hint="default"/>
      </w:rPr>
    </w:lvl>
    <w:lvl w:ilvl="3" w:tplc="FC96C68C" w:tentative="1">
      <w:start w:val="1"/>
      <w:numFmt w:val="bullet"/>
      <w:lvlText w:val=""/>
      <w:lvlJc w:val="left"/>
      <w:pPr>
        <w:tabs>
          <w:tab w:val="num" w:pos="2880"/>
        </w:tabs>
        <w:ind w:left="2880" w:hanging="360"/>
      </w:pPr>
      <w:rPr>
        <w:rFonts w:ascii="Wingdings" w:hAnsi="Wingdings" w:hint="default"/>
      </w:rPr>
    </w:lvl>
    <w:lvl w:ilvl="4" w:tplc="7CDCA38A" w:tentative="1">
      <w:start w:val="1"/>
      <w:numFmt w:val="bullet"/>
      <w:lvlText w:val=""/>
      <w:lvlJc w:val="left"/>
      <w:pPr>
        <w:tabs>
          <w:tab w:val="num" w:pos="3600"/>
        </w:tabs>
        <w:ind w:left="3600" w:hanging="360"/>
      </w:pPr>
      <w:rPr>
        <w:rFonts w:ascii="Wingdings" w:hAnsi="Wingdings" w:hint="default"/>
      </w:rPr>
    </w:lvl>
    <w:lvl w:ilvl="5" w:tplc="8E6A167C" w:tentative="1">
      <w:start w:val="1"/>
      <w:numFmt w:val="bullet"/>
      <w:lvlText w:val=""/>
      <w:lvlJc w:val="left"/>
      <w:pPr>
        <w:tabs>
          <w:tab w:val="num" w:pos="4320"/>
        </w:tabs>
        <w:ind w:left="4320" w:hanging="360"/>
      </w:pPr>
      <w:rPr>
        <w:rFonts w:ascii="Wingdings" w:hAnsi="Wingdings" w:hint="default"/>
      </w:rPr>
    </w:lvl>
    <w:lvl w:ilvl="6" w:tplc="FD16036E" w:tentative="1">
      <w:start w:val="1"/>
      <w:numFmt w:val="bullet"/>
      <w:lvlText w:val=""/>
      <w:lvlJc w:val="left"/>
      <w:pPr>
        <w:tabs>
          <w:tab w:val="num" w:pos="5040"/>
        </w:tabs>
        <w:ind w:left="5040" w:hanging="360"/>
      </w:pPr>
      <w:rPr>
        <w:rFonts w:ascii="Wingdings" w:hAnsi="Wingdings" w:hint="default"/>
      </w:rPr>
    </w:lvl>
    <w:lvl w:ilvl="7" w:tplc="DDB4CC36" w:tentative="1">
      <w:start w:val="1"/>
      <w:numFmt w:val="bullet"/>
      <w:lvlText w:val=""/>
      <w:lvlJc w:val="left"/>
      <w:pPr>
        <w:tabs>
          <w:tab w:val="num" w:pos="5760"/>
        </w:tabs>
        <w:ind w:left="5760" w:hanging="360"/>
      </w:pPr>
      <w:rPr>
        <w:rFonts w:ascii="Wingdings" w:hAnsi="Wingdings" w:hint="default"/>
      </w:rPr>
    </w:lvl>
    <w:lvl w:ilvl="8" w:tplc="E848CBD2" w:tentative="1">
      <w:start w:val="1"/>
      <w:numFmt w:val="bullet"/>
      <w:lvlText w:val=""/>
      <w:lvlJc w:val="left"/>
      <w:pPr>
        <w:tabs>
          <w:tab w:val="num" w:pos="6480"/>
        </w:tabs>
        <w:ind w:left="6480" w:hanging="360"/>
      </w:pPr>
      <w:rPr>
        <w:rFonts w:ascii="Wingdings" w:hAnsi="Wingdings" w:hint="default"/>
      </w:rPr>
    </w:lvl>
  </w:abstractNum>
  <w:abstractNum w:abstractNumId="71">
    <w:nsid w:val="56D3372E"/>
    <w:multiLevelType w:val="hybridMultilevel"/>
    <w:tmpl w:val="1D2EC42C"/>
    <w:lvl w:ilvl="0" w:tplc="0409000F">
      <w:start w:val="101"/>
      <w:numFmt w:val="bullet"/>
      <w:lvlText w:val="-"/>
      <w:lvlJc w:val="left"/>
      <w:pPr>
        <w:tabs>
          <w:tab w:val="num" w:pos="720"/>
        </w:tabs>
        <w:ind w:left="720" w:hanging="360"/>
      </w:pPr>
      <w:rPr>
        <w:rFonts w:ascii="Arial" w:eastAsia="Times New Roman" w:hAnsi="Arial" w:hint="default"/>
      </w:rPr>
    </w:lvl>
    <w:lvl w:ilvl="1" w:tplc="04090019">
      <w:start w:val="1"/>
      <w:numFmt w:val="bullet"/>
      <w:lvlText w:val="o"/>
      <w:lvlJc w:val="left"/>
      <w:pPr>
        <w:tabs>
          <w:tab w:val="num" w:pos="312"/>
        </w:tabs>
        <w:ind w:left="312" w:hanging="360"/>
      </w:pPr>
      <w:rPr>
        <w:rFonts w:ascii="Courier New" w:hAnsi="Courier New" w:hint="default"/>
      </w:rPr>
    </w:lvl>
    <w:lvl w:ilvl="2" w:tplc="0409001B">
      <w:start w:val="1"/>
      <w:numFmt w:val="bullet"/>
      <w:lvlText w:val=""/>
      <w:lvlJc w:val="left"/>
      <w:pPr>
        <w:tabs>
          <w:tab w:val="num" w:pos="1032"/>
        </w:tabs>
        <w:ind w:left="1032" w:hanging="360"/>
      </w:pPr>
      <w:rPr>
        <w:rFonts w:ascii="Wingdings" w:hAnsi="Wingdings" w:hint="default"/>
      </w:rPr>
    </w:lvl>
    <w:lvl w:ilvl="3" w:tplc="0409000F">
      <w:start w:val="1"/>
      <w:numFmt w:val="bullet"/>
      <w:lvlText w:val=""/>
      <w:lvlJc w:val="left"/>
      <w:pPr>
        <w:tabs>
          <w:tab w:val="num" w:pos="1752"/>
        </w:tabs>
        <w:ind w:left="1752" w:hanging="360"/>
      </w:pPr>
      <w:rPr>
        <w:rFonts w:ascii="Symbol" w:hAnsi="Symbol" w:hint="default"/>
      </w:rPr>
    </w:lvl>
    <w:lvl w:ilvl="4" w:tplc="04090019" w:tentative="1">
      <w:start w:val="1"/>
      <w:numFmt w:val="bullet"/>
      <w:lvlText w:val="o"/>
      <w:lvlJc w:val="left"/>
      <w:pPr>
        <w:tabs>
          <w:tab w:val="num" w:pos="2472"/>
        </w:tabs>
        <w:ind w:left="2472" w:hanging="360"/>
      </w:pPr>
      <w:rPr>
        <w:rFonts w:ascii="Courier New" w:hAnsi="Courier New" w:hint="default"/>
      </w:rPr>
    </w:lvl>
    <w:lvl w:ilvl="5" w:tplc="0409001B" w:tentative="1">
      <w:start w:val="1"/>
      <w:numFmt w:val="bullet"/>
      <w:lvlText w:val=""/>
      <w:lvlJc w:val="left"/>
      <w:pPr>
        <w:tabs>
          <w:tab w:val="num" w:pos="3192"/>
        </w:tabs>
        <w:ind w:left="3192" w:hanging="360"/>
      </w:pPr>
      <w:rPr>
        <w:rFonts w:ascii="Wingdings" w:hAnsi="Wingdings" w:hint="default"/>
      </w:rPr>
    </w:lvl>
    <w:lvl w:ilvl="6" w:tplc="0409000F" w:tentative="1">
      <w:start w:val="1"/>
      <w:numFmt w:val="bullet"/>
      <w:lvlText w:val=""/>
      <w:lvlJc w:val="left"/>
      <w:pPr>
        <w:tabs>
          <w:tab w:val="num" w:pos="3912"/>
        </w:tabs>
        <w:ind w:left="3912" w:hanging="360"/>
      </w:pPr>
      <w:rPr>
        <w:rFonts w:ascii="Symbol" w:hAnsi="Symbol" w:hint="default"/>
      </w:rPr>
    </w:lvl>
    <w:lvl w:ilvl="7" w:tplc="04090019" w:tentative="1">
      <w:start w:val="1"/>
      <w:numFmt w:val="bullet"/>
      <w:lvlText w:val="o"/>
      <w:lvlJc w:val="left"/>
      <w:pPr>
        <w:tabs>
          <w:tab w:val="num" w:pos="4632"/>
        </w:tabs>
        <w:ind w:left="4632" w:hanging="360"/>
      </w:pPr>
      <w:rPr>
        <w:rFonts w:ascii="Courier New" w:hAnsi="Courier New" w:hint="default"/>
      </w:rPr>
    </w:lvl>
    <w:lvl w:ilvl="8" w:tplc="0409001B" w:tentative="1">
      <w:start w:val="1"/>
      <w:numFmt w:val="bullet"/>
      <w:lvlText w:val=""/>
      <w:lvlJc w:val="left"/>
      <w:pPr>
        <w:tabs>
          <w:tab w:val="num" w:pos="5352"/>
        </w:tabs>
        <w:ind w:left="5352" w:hanging="360"/>
      </w:pPr>
      <w:rPr>
        <w:rFonts w:ascii="Wingdings" w:hAnsi="Wingdings" w:hint="default"/>
      </w:rPr>
    </w:lvl>
  </w:abstractNum>
  <w:abstractNum w:abstractNumId="72">
    <w:nsid w:val="57372F45"/>
    <w:multiLevelType w:val="hybridMultilevel"/>
    <w:tmpl w:val="83DC149E"/>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57C73C27"/>
    <w:multiLevelType w:val="hybridMultilevel"/>
    <w:tmpl w:val="B1708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88F37F6"/>
    <w:multiLevelType w:val="hybridMultilevel"/>
    <w:tmpl w:val="37C86FC8"/>
    <w:lvl w:ilvl="0" w:tplc="04100005">
      <w:start w:val="1"/>
      <w:numFmt w:val="bullet"/>
      <w:lvlText w:val=""/>
      <w:lvlJc w:val="left"/>
      <w:pPr>
        <w:ind w:left="360" w:hanging="360"/>
      </w:pPr>
      <w:rPr>
        <w:rFonts w:ascii="Wingdings" w:hAnsi="Wingdings" w:hint="default"/>
      </w:rPr>
    </w:lvl>
    <w:lvl w:ilvl="1" w:tplc="04100005">
      <w:start w:val="1"/>
      <w:numFmt w:val="bullet"/>
      <w:lvlText w:val=""/>
      <w:lvlJc w:val="left"/>
      <w:pPr>
        <w:ind w:left="1080" w:hanging="360"/>
      </w:pPr>
      <w:rPr>
        <w:rFonts w:ascii="Wingdings" w:hAnsi="Wingdings"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5">
    <w:nsid w:val="5A1359EF"/>
    <w:multiLevelType w:val="hybridMultilevel"/>
    <w:tmpl w:val="BAD2B42C"/>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5B993F7F"/>
    <w:multiLevelType w:val="hybridMultilevel"/>
    <w:tmpl w:val="5B4E4FF6"/>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nsid w:val="5D1D5ED0"/>
    <w:multiLevelType w:val="hybridMultilevel"/>
    <w:tmpl w:val="4B1C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D6374B5"/>
    <w:multiLevelType w:val="hybridMultilevel"/>
    <w:tmpl w:val="B7027156"/>
    <w:lvl w:ilvl="0" w:tplc="35A8E1AA">
      <w:start w:val="2"/>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79">
    <w:nsid w:val="5D7D449C"/>
    <w:multiLevelType w:val="hybridMultilevel"/>
    <w:tmpl w:val="CF92B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0AD1DB1"/>
    <w:multiLevelType w:val="hybridMultilevel"/>
    <w:tmpl w:val="8EAA9010"/>
    <w:lvl w:ilvl="0" w:tplc="4E70A2E0">
      <w:start w:val="1"/>
      <w:numFmt w:val="bullet"/>
      <w:lvlText w:val=""/>
      <w:lvlJc w:val="left"/>
      <w:pPr>
        <w:tabs>
          <w:tab w:val="num" w:pos="720"/>
        </w:tabs>
        <w:ind w:left="720" w:hanging="360"/>
      </w:pPr>
      <w:rPr>
        <w:rFonts w:ascii="Wingdings" w:hAnsi="Wingdings" w:hint="default"/>
      </w:rPr>
    </w:lvl>
    <w:lvl w:ilvl="1" w:tplc="1AA210A6">
      <w:start w:val="1"/>
      <w:numFmt w:val="bullet"/>
      <w:lvlText w:val=""/>
      <w:lvlJc w:val="left"/>
      <w:pPr>
        <w:tabs>
          <w:tab w:val="num" w:pos="1440"/>
        </w:tabs>
        <w:ind w:left="1440" w:hanging="360"/>
      </w:pPr>
      <w:rPr>
        <w:rFonts w:ascii="Wingdings" w:hAnsi="Wingdings" w:hint="default"/>
      </w:rPr>
    </w:lvl>
    <w:lvl w:ilvl="2" w:tplc="EF902894" w:tentative="1">
      <w:start w:val="1"/>
      <w:numFmt w:val="bullet"/>
      <w:lvlText w:val=""/>
      <w:lvlJc w:val="left"/>
      <w:pPr>
        <w:tabs>
          <w:tab w:val="num" w:pos="2160"/>
        </w:tabs>
        <w:ind w:left="2160" w:hanging="360"/>
      </w:pPr>
      <w:rPr>
        <w:rFonts w:ascii="Wingdings" w:hAnsi="Wingdings" w:hint="default"/>
      </w:rPr>
    </w:lvl>
    <w:lvl w:ilvl="3" w:tplc="07EE7B0E" w:tentative="1">
      <w:start w:val="1"/>
      <w:numFmt w:val="bullet"/>
      <w:lvlText w:val=""/>
      <w:lvlJc w:val="left"/>
      <w:pPr>
        <w:tabs>
          <w:tab w:val="num" w:pos="2880"/>
        </w:tabs>
        <w:ind w:left="2880" w:hanging="360"/>
      </w:pPr>
      <w:rPr>
        <w:rFonts w:ascii="Wingdings" w:hAnsi="Wingdings" w:hint="default"/>
      </w:rPr>
    </w:lvl>
    <w:lvl w:ilvl="4" w:tplc="4A12E7F2" w:tentative="1">
      <w:start w:val="1"/>
      <w:numFmt w:val="bullet"/>
      <w:lvlText w:val=""/>
      <w:lvlJc w:val="left"/>
      <w:pPr>
        <w:tabs>
          <w:tab w:val="num" w:pos="3600"/>
        </w:tabs>
        <w:ind w:left="3600" w:hanging="360"/>
      </w:pPr>
      <w:rPr>
        <w:rFonts w:ascii="Wingdings" w:hAnsi="Wingdings" w:hint="default"/>
      </w:rPr>
    </w:lvl>
    <w:lvl w:ilvl="5" w:tplc="E09A1D10" w:tentative="1">
      <w:start w:val="1"/>
      <w:numFmt w:val="bullet"/>
      <w:lvlText w:val=""/>
      <w:lvlJc w:val="left"/>
      <w:pPr>
        <w:tabs>
          <w:tab w:val="num" w:pos="4320"/>
        </w:tabs>
        <w:ind w:left="4320" w:hanging="360"/>
      </w:pPr>
      <w:rPr>
        <w:rFonts w:ascii="Wingdings" w:hAnsi="Wingdings" w:hint="default"/>
      </w:rPr>
    </w:lvl>
    <w:lvl w:ilvl="6" w:tplc="4BB85F2E" w:tentative="1">
      <w:start w:val="1"/>
      <w:numFmt w:val="bullet"/>
      <w:lvlText w:val=""/>
      <w:lvlJc w:val="left"/>
      <w:pPr>
        <w:tabs>
          <w:tab w:val="num" w:pos="5040"/>
        </w:tabs>
        <w:ind w:left="5040" w:hanging="360"/>
      </w:pPr>
      <w:rPr>
        <w:rFonts w:ascii="Wingdings" w:hAnsi="Wingdings" w:hint="default"/>
      </w:rPr>
    </w:lvl>
    <w:lvl w:ilvl="7" w:tplc="CE44BE00" w:tentative="1">
      <w:start w:val="1"/>
      <w:numFmt w:val="bullet"/>
      <w:lvlText w:val=""/>
      <w:lvlJc w:val="left"/>
      <w:pPr>
        <w:tabs>
          <w:tab w:val="num" w:pos="5760"/>
        </w:tabs>
        <w:ind w:left="5760" w:hanging="360"/>
      </w:pPr>
      <w:rPr>
        <w:rFonts w:ascii="Wingdings" w:hAnsi="Wingdings" w:hint="default"/>
      </w:rPr>
    </w:lvl>
    <w:lvl w:ilvl="8" w:tplc="7C0C4922" w:tentative="1">
      <w:start w:val="1"/>
      <w:numFmt w:val="bullet"/>
      <w:lvlText w:val=""/>
      <w:lvlJc w:val="left"/>
      <w:pPr>
        <w:tabs>
          <w:tab w:val="num" w:pos="6480"/>
        </w:tabs>
        <w:ind w:left="6480" w:hanging="360"/>
      </w:pPr>
      <w:rPr>
        <w:rFonts w:ascii="Wingdings" w:hAnsi="Wingdings" w:hint="default"/>
      </w:rPr>
    </w:lvl>
  </w:abstractNum>
  <w:abstractNum w:abstractNumId="81">
    <w:nsid w:val="61276FF7"/>
    <w:multiLevelType w:val="hybridMultilevel"/>
    <w:tmpl w:val="5550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1AF2FD3"/>
    <w:multiLevelType w:val="hybridMultilevel"/>
    <w:tmpl w:val="2DFC711A"/>
    <w:lvl w:ilvl="0" w:tplc="8EDC25AA">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63003D2F"/>
    <w:multiLevelType w:val="hybridMultilevel"/>
    <w:tmpl w:val="D9B23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nsid w:val="63020B82"/>
    <w:multiLevelType w:val="hybridMultilevel"/>
    <w:tmpl w:val="7B04A92A"/>
    <w:lvl w:ilvl="0" w:tplc="040C0019">
      <w:start w:val="1"/>
      <w:numFmt w:val="lowerLetter"/>
      <w:lvlText w:val="%1."/>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85">
    <w:nsid w:val="64A55ED6"/>
    <w:multiLevelType w:val="hybridMultilevel"/>
    <w:tmpl w:val="095211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nsid w:val="66AB0C2D"/>
    <w:multiLevelType w:val="hybridMultilevel"/>
    <w:tmpl w:val="800E1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68402048"/>
    <w:multiLevelType w:val="hybridMultilevel"/>
    <w:tmpl w:val="2A94D8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8C21B59"/>
    <w:multiLevelType w:val="hybridMultilevel"/>
    <w:tmpl w:val="B29CB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69081F45"/>
    <w:multiLevelType w:val="hybridMultilevel"/>
    <w:tmpl w:val="BBC62E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6C7B0679"/>
    <w:multiLevelType w:val="hybridMultilevel"/>
    <w:tmpl w:val="1918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C7B6D08"/>
    <w:multiLevelType w:val="hybridMultilevel"/>
    <w:tmpl w:val="9D0ECF0C"/>
    <w:lvl w:ilvl="0" w:tplc="75443102">
      <w:start w:val="3"/>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92">
    <w:nsid w:val="6F525B52"/>
    <w:multiLevelType w:val="hybridMultilevel"/>
    <w:tmpl w:val="4BB609A2"/>
    <w:lvl w:ilvl="0" w:tplc="AE66F6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nsid w:val="71B87FE1"/>
    <w:multiLevelType w:val="hybridMultilevel"/>
    <w:tmpl w:val="66C06AF8"/>
    <w:lvl w:ilvl="0" w:tplc="AE66F64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2935190"/>
    <w:multiLevelType w:val="hybridMultilevel"/>
    <w:tmpl w:val="8466D64E"/>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6">
    <w:nsid w:val="764C2607"/>
    <w:multiLevelType w:val="hybridMultilevel"/>
    <w:tmpl w:val="E0BE8182"/>
    <w:lvl w:ilvl="0" w:tplc="C9509732">
      <w:start w:val="1"/>
      <w:numFmt w:val="decimal"/>
      <w:pStyle w:val="ASAMPSA2Table"/>
      <w:lvlText w:val="Table %1"/>
      <w:lvlJc w:val="left"/>
      <w:pPr>
        <w:tabs>
          <w:tab w:val="num" w:pos="567"/>
        </w:tabs>
      </w:pPr>
      <w:rPr>
        <w:rFonts w:cs="Times New Roman" w:hint="default"/>
        <w:sz w:val="18"/>
        <w:szCs w:val="1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7">
    <w:nsid w:val="76586AF3"/>
    <w:multiLevelType w:val="hybridMultilevel"/>
    <w:tmpl w:val="7228E3B6"/>
    <w:lvl w:ilvl="0" w:tplc="B0C292A2">
      <w:start w:val="1"/>
      <w:numFmt w:val="bullet"/>
      <w:lvlText w:val=""/>
      <w:lvlJc w:val="left"/>
      <w:pPr>
        <w:tabs>
          <w:tab w:val="num" w:pos="720"/>
        </w:tabs>
        <w:ind w:left="720" w:hanging="360"/>
      </w:pPr>
      <w:rPr>
        <w:rFonts w:ascii="Symbol" w:hAnsi="Symbol" w:hint="default"/>
      </w:rPr>
    </w:lvl>
    <w:lvl w:ilvl="1" w:tplc="080C0019">
      <w:start w:val="1"/>
      <w:numFmt w:val="bullet"/>
      <w:lvlText w:val="o"/>
      <w:lvlJc w:val="left"/>
      <w:pPr>
        <w:tabs>
          <w:tab w:val="num" w:pos="1440"/>
        </w:tabs>
        <w:ind w:left="1440" w:hanging="360"/>
      </w:pPr>
      <w:rPr>
        <w:rFonts w:ascii="Courier New" w:hAnsi="Courier New" w:hint="default"/>
      </w:rPr>
    </w:lvl>
    <w:lvl w:ilvl="2" w:tplc="080C001B" w:tentative="1">
      <w:start w:val="1"/>
      <w:numFmt w:val="bullet"/>
      <w:lvlText w:val=""/>
      <w:lvlJc w:val="left"/>
      <w:pPr>
        <w:tabs>
          <w:tab w:val="num" w:pos="2160"/>
        </w:tabs>
        <w:ind w:left="2160" w:hanging="360"/>
      </w:pPr>
      <w:rPr>
        <w:rFonts w:ascii="Wingdings" w:hAnsi="Wingdings" w:hint="default"/>
      </w:rPr>
    </w:lvl>
    <w:lvl w:ilvl="3" w:tplc="080C000F" w:tentative="1">
      <w:start w:val="1"/>
      <w:numFmt w:val="bullet"/>
      <w:lvlText w:val=""/>
      <w:lvlJc w:val="left"/>
      <w:pPr>
        <w:tabs>
          <w:tab w:val="num" w:pos="2880"/>
        </w:tabs>
        <w:ind w:left="2880" w:hanging="360"/>
      </w:pPr>
      <w:rPr>
        <w:rFonts w:ascii="Symbol" w:hAnsi="Symbol" w:hint="default"/>
      </w:rPr>
    </w:lvl>
    <w:lvl w:ilvl="4" w:tplc="080C0019" w:tentative="1">
      <w:start w:val="1"/>
      <w:numFmt w:val="bullet"/>
      <w:lvlText w:val="o"/>
      <w:lvlJc w:val="left"/>
      <w:pPr>
        <w:tabs>
          <w:tab w:val="num" w:pos="3600"/>
        </w:tabs>
        <w:ind w:left="3600" w:hanging="360"/>
      </w:pPr>
      <w:rPr>
        <w:rFonts w:ascii="Courier New" w:hAnsi="Courier New" w:hint="default"/>
      </w:rPr>
    </w:lvl>
    <w:lvl w:ilvl="5" w:tplc="080C001B" w:tentative="1">
      <w:start w:val="1"/>
      <w:numFmt w:val="bullet"/>
      <w:lvlText w:val=""/>
      <w:lvlJc w:val="left"/>
      <w:pPr>
        <w:tabs>
          <w:tab w:val="num" w:pos="4320"/>
        </w:tabs>
        <w:ind w:left="4320" w:hanging="360"/>
      </w:pPr>
      <w:rPr>
        <w:rFonts w:ascii="Wingdings" w:hAnsi="Wingdings" w:hint="default"/>
      </w:rPr>
    </w:lvl>
    <w:lvl w:ilvl="6" w:tplc="080C000F" w:tentative="1">
      <w:start w:val="1"/>
      <w:numFmt w:val="bullet"/>
      <w:lvlText w:val=""/>
      <w:lvlJc w:val="left"/>
      <w:pPr>
        <w:tabs>
          <w:tab w:val="num" w:pos="5040"/>
        </w:tabs>
        <w:ind w:left="5040" w:hanging="360"/>
      </w:pPr>
      <w:rPr>
        <w:rFonts w:ascii="Symbol" w:hAnsi="Symbol" w:hint="default"/>
      </w:rPr>
    </w:lvl>
    <w:lvl w:ilvl="7" w:tplc="080C0019" w:tentative="1">
      <w:start w:val="1"/>
      <w:numFmt w:val="bullet"/>
      <w:lvlText w:val="o"/>
      <w:lvlJc w:val="left"/>
      <w:pPr>
        <w:tabs>
          <w:tab w:val="num" w:pos="5760"/>
        </w:tabs>
        <w:ind w:left="5760" w:hanging="360"/>
      </w:pPr>
      <w:rPr>
        <w:rFonts w:ascii="Courier New" w:hAnsi="Courier New" w:hint="default"/>
      </w:rPr>
    </w:lvl>
    <w:lvl w:ilvl="8" w:tplc="080C001B" w:tentative="1">
      <w:start w:val="1"/>
      <w:numFmt w:val="bullet"/>
      <w:lvlText w:val=""/>
      <w:lvlJc w:val="left"/>
      <w:pPr>
        <w:tabs>
          <w:tab w:val="num" w:pos="6480"/>
        </w:tabs>
        <w:ind w:left="6480" w:hanging="360"/>
      </w:pPr>
      <w:rPr>
        <w:rFonts w:ascii="Wingdings" w:hAnsi="Wingdings" w:hint="default"/>
      </w:rPr>
    </w:lvl>
  </w:abstractNum>
  <w:abstractNum w:abstractNumId="98">
    <w:nsid w:val="78C8659C"/>
    <w:multiLevelType w:val="hybridMultilevel"/>
    <w:tmpl w:val="8DF215D8"/>
    <w:lvl w:ilvl="0" w:tplc="040C0001">
      <w:start w:val="1"/>
      <w:numFmt w:val="bullet"/>
      <w:lvlText w:val=""/>
      <w:lvlJc w:val="left"/>
      <w:pPr>
        <w:tabs>
          <w:tab w:val="num" w:pos="720"/>
        </w:tabs>
        <w:ind w:left="720" w:hanging="360"/>
      </w:pPr>
      <w:rPr>
        <w:rFonts w:ascii="Symbol" w:hAnsi="Symbol" w:hint="default"/>
      </w:rPr>
    </w:lvl>
    <w:lvl w:ilvl="1" w:tplc="52528768" w:tentative="1">
      <w:start w:val="1"/>
      <w:numFmt w:val="bullet"/>
      <w:lvlText w:val="o"/>
      <w:lvlJc w:val="left"/>
      <w:pPr>
        <w:tabs>
          <w:tab w:val="num" w:pos="1440"/>
        </w:tabs>
        <w:ind w:left="1440" w:hanging="360"/>
      </w:pPr>
      <w:rPr>
        <w:rFonts w:ascii="Courier New" w:hAnsi="Courier New" w:hint="default"/>
      </w:rPr>
    </w:lvl>
    <w:lvl w:ilvl="2" w:tplc="1E3C5504" w:tentative="1">
      <w:start w:val="1"/>
      <w:numFmt w:val="bullet"/>
      <w:lvlText w:val=""/>
      <w:lvlJc w:val="left"/>
      <w:pPr>
        <w:tabs>
          <w:tab w:val="num" w:pos="2160"/>
        </w:tabs>
        <w:ind w:left="2160" w:hanging="360"/>
      </w:pPr>
      <w:rPr>
        <w:rFonts w:ascii="Wingdings" w:hAnsi="Wingdings" w:hint="default"/>
      </w:rPr>
    </w:lvl>
    <w:lvl w:ilvl="3" w:tplc="E1DC2FD8" w:tentative="1">
      <w:start w:val="1"/>
      <w:numFmt w:val="bullet"/>
      <w:lvlText w:val=""/>
      <w:lvlJc w:val="left"/>
      <w:pPr>
        <w:tabs>
          <w:tab w:val="num" w:pos="2880"/>
        </w:tabs>
        <w:ind w:left="2880" w:hanging="360"/>
      </w:pPr>
      <w:rPr>
        <w:rFonts w:ascii="Symbol" w:hAnsi="Symbol" w:hint="default"/>
      </w:rPr>
    </w:lvl>
    <w:lvl w:ilvl="4" w:tplc="EF2877A2" w:tentative="1">
      <w:start w:val="1"/>
      <w:numFmt w:val="bullet"/>
      <w:lvlText w:val="o"/>
      <w:lvlJc w:val="left"/>
      <w:pPr>
        <w:tabs>
          <w:tab w:val="num" w:pos="3600"/>
        </w:tabs>
        <w:ind w:left="3600" w:hanging="360"/>
      </w:pPr>
      <w:rPr>
        <w:rFonts w:ascii="Courier New" w:hAnsi="Courier New" w:hint="default"/>
      </w:rPr>
    </w:lvl>
    <w:lvl w:ilvl="5" w:tplc="085E7264" w:tentative="1">
      <w:start w:val="1"/>
      <w:numFmt w:val="bullet"/>
      <w:lvlText w:val=""/>
      <w:lvlJc w:val="left"/>
      <w:pPr>
        <w:tabs>
          <w:tab w:val="num" w:pos="4320"/>
        </w:tabs>
        <w:ind w:left="4320" w:hanging="360"/>
      </w:pPr>
      <w:rPr>
        <w:rFonts w:ascii="Wingdings" w:hAnsi="Wingdings" w:hint="default"/>
      </w:rPr>
    </w:lvl>
    <w:lvl w:ilvl="6" w:tplc="C63EF35E" w:tentative="1">
      <w:start w:val="1"/>
      <w:numFmt w:val="bullet"/>
      <w:lvlText w:val=""/>
      <w:lvlJc w:val="left"/>
      <w:pPr>
        <w:tabs>
          <w:tab w:val="num" w:pos="5040"/>
        </w:tabs>
        <w:ind w:left="5040" w:hanging="360"/>
      </w:pPr>
      <w:rPr>
        <w:rFonts w:ascii="Symbol" w:hAnsi="Symbol" w:hint="default"/>
      </w:rPr>
    </w:lvl>
    <w:lvl w:ilvl="7" w:tplc="21285106" w:tentative="1">
      <w:start w:val="1"/>
      <w:numFmt w:val="bullet"/>
      <w:lvlText w:val="o"/>
      <w:lvlJc w:val="left"/>
      <w:pPr>
        <w:tabs>
          <w:tab w:val="num" w:pos="5760"/>
        </w:tabs>
        <w:ind w:left="5760" w:hanging="360"/>
      </w:pPr>
      <w:rPr>
        <w:rFonts w:ascii="Courier New" w:hAnsi="Courier New" w:hint="default"/>
      </w:rPr>
    </w:lvl>
    <w:lvl w:ilvl="8" w:tplc="AA1EB648" w:tentative="1">
      <w:start w:val="1"/>
      <w:numFmt w:val="bullet"/>
      <w:lvlText w:val=""/>
      <w:lvlJc w:val="left"/>
      <w:pPr>
        <w:tabs>
          <w:tab w:val="num" w:pos="6480"/>
        </w:tabs>
        <w:ind w:left="6480" w:hanging="360"/>
      </w:pPr>
      <w:rPr>
        <w:rFonts w:ascii="Wingdings" w:hAnsi="Wingdings" w:hint="default"/>
      </w:rPr>
    </w:lvl>
  </w:abstractNum>
  <w:abstractNum w:abstractNumId="99">
    <w:nsid w:val="792B3A61"/>
    <w:multiLevelType w:val="hybridMultilevel"/>
    <w:tmpl w:val="90826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9755897"/>
    <w:multiLevelType w:val="hybridMultilevel"/>
    <w:tmpl w:val="2FA4F3DC"/>
    <w:lvl w:ilvl="0" w:tplc="041B0017">
      <w:start w:val="1"/>
      <w:numFmt w:val="lowerLetter"/>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01">
    <w:nsid w:val="7C3A0DEA"/>
    <w:multiLevelType w:val="hybridMultilevel"/>
    <w:tmpl w:val="89448D5E"/>
    <w:lvl w:ilvl="0" w:tplc="E25C8E4C">
      <w:numFmt w:val="bullet"/>
      <w:lvlText w:val="-"/>
      <w:lvlJc w:val="left"/>
      <w:pPr>
        <w:ind w:left="720" w:hanging="360"/>
      </w:pPr>
      <w:rPr>
        <w:rFonts w:ascii="Trebuchet MS" w:eastAsia="Times New Roman" w:hAnsi="Trebuchet M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nsid w:val="7C505818"/>
    <w:multiLevelType w:val="hybridMultilevel"/>
    <w:tmpl w:val="8E1ADCF6"/>
    <w:lvl w:ilvl="0" w:tplc="04070003">
      <w:start w:val="1"/>
      <w:numFmt w:val="bullet"/>
      <w:lvlText w:val="o"/>
      <w:lvlJc w:val="left"/>
      <w:pPr>
        <w:ind w:left="1069" w:hanging="360"/>
      </w:pPr>
      <w:rPr>
        <w:rFonts w:ascii="Courier New" w:hAnsi="Courier New" w:cs="Courier New" w:hint="default"/>
      </w:rPr>
    </w:lvl>
    <w:lvl w:ilvl="1" w:tplc="04090003">
      <w:start w:val="1"/>
      <w:numFmt w:val="bullet"/>
      <w:lvlText w:val="o"/>
      <w:lvlJc w:val="left"/>
      <w:pPr>
        <w:ind w:left="1069" w:hanging="360"/>
      </w:pPr>
      <w:rPr>
        <w:rFonts w:ascii="Courier New" w:hAnsi="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103">
    <w:nsid w:val="7D0614F7"/>
    <w:multiLevelType w:val="hybridMultilevel"/>
    <w:tmpl w:val="5AA2622A"/>
    <w:lvl w:ilvl="0" w:tplc="B14E9588">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4">
    <w:nsid w:val="7D1A3332"/>
    <w:multiLevelType w:val="hybridMultilevel"/>
    <w:tmpl w:val="7520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ED500DF"/>
    <w:multiLevelType w:val="hybridMultilevel"/>
    <w:tmpl w:val="3F249682"/>
    <w:lvl w:ilvl="0" w:tplc="8EDC25AA">
      <w:start w:val="2"/>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FDA21EC"/>
    <w:multiLevelType w:val="hybridMultilevel"/>
    <w:tmpl w:val="21284056"/>
    <w:lvl w:ilvl="0" w:tplc="040C0001">
      <w:start w:val="101"/>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312"/>
        </w:tabs>
        <w:ind w:left="312" w:hanging="360"/>
      </w:pPr>
      <w:rPr>
        <w:rFonts w:ascii="Courier New" w:hAnsi="Courier New" w:hint="default"/>
      </w:rPr>
    </w:lvl>
    <w:lvl w:ilvl="2" w:tplc="040C0005" w:tentative="1">
      <w:start w:val="1"/>
      <w:numFmt w:val="bullet"/>
      <w:lvlText w:val=""/>
      <w:lvlJc w:val="left"/>
      <w:pPr>
        <w:tabs>
          <w:tab w:val="num" w:pos="1032"/>
        </w:tabs>
        <w:ind w:left="1032" w:hanging="360"/>
      </w:pPr>
      <w:rPr>
        <w:rFonts w:ascii="Wingdings" w:hAnsi="Wingdings" w:hint="default"/>
      </w:rPr>
    </w:lvl>
    <w:lvl w:ilvl="3" w:tplc="040C0001" w:tentative="1">
      <w:start w:val="1"/>
      <w:numFmt w:val="bullet"/>
      <w:lvlText w:val=""/>
      <w:lvlJc w:val="left"/>
      <w:pPr>
        <w:tabs>
          <w:tab w:val="num" w:pos="1752"/>
        </w:tabs>
        <w:ind w:left="1752" w:hanging="360"/>
      </w:pPr>
      <w:rPr>
        <w:rFonts w:ascii="Symbol" w:hAnsi="Symbol" w:hint="default"/>
      </w:rPr>
    </w:lvl>
    <w:lvl w:ilvl="4" w:tplc="040C0003" w:tentative="1">
      <w:start w:val="1"/>
      <w:numFmt w:val="bullet"/>
      <w:lvlText w:val="o"/>
      <w:lvlJc w:val="left"/>
      <w:pPr>
        <w:tabs>
          <w:tab w:val="num" w:pos="2472"/>
        </w:tabs>
        <w:ind w:left="2472" w:hanging="360"/>
      </w:pPr>
      <w:rPr>
        <w:rFonts w:ascii="Courier New" w:hAnsi="Courier New" w:hint="default"/>
      </w:rPr>
    </w:lvl>
    <w:lvl w:ilvl="5" w:tplc="040C0005" w:tentative="1">
      <w:start w:val="1"/>
      <w:numFmt w:val="bullet"/>
      <w:lvlText w:val=""/>
      <w:lvlJc w:val="left"/>
      <w:pPr>
        <w:tabs>
          <w:tab w:val="num" w:pos="3192"/>
        </w:tabs>
        <w:ind w:left="3192" w:hanging="360"/>
      </w:pPr>
      <w:rPr>
        <w:rFonts w:ascii="Wingdings" w:hAnsi="Wingdings" w:hint="default"/>
      </w:rPr>
    </w:lvl>
    <w:lvl w:ilvl="6" w:tplc="040C0001" w:tentative="1">
      <w:start w:val="1"/>
      <w:numFmt w:val="bullet"/>
      <w:lvlText w:val=""/>
      <w:lvlJc w:val="left"/>
      <w:pPr>
        <w:tabs>
          <w:tab w:val="num" w:pos="3912"/>
        </w:tabs>
        <w:ind w:left="3912" w:hanging="360"/>
      </w:pPr>
      <w:rPr>
        <w:rFonts w:ascii="Symbol" w:hAnsi="Symbol" w:hint="default"/>
      </w:rPr>
    </w:lvl>
    <w:lvl w:ilvl="7" w:tplc="040C0003" w:tentative="1">
      <w:start w:val="1"/>
      <w:numFmt w:val="bullet"/>
      <w:lvlText w:val="o"/>
      <w:lvlJc w:val="left"/>
      <w:pPr>
        <w:tabs>
          <w:tab w:val="num" w:pos="4632"/>
        </w:tabs>
        <w:ind w:left="4632" w:hanging="360"/>
      </w:pPr>
      <w:rPr>
        <w:rFonts w:ascii="Courier New" w:hAnsi="Courier New" w:hint="default"/>
      </w:rPr>
    </w:lvl>
    <w:lvl w:ilvl="8" w:tplc="040C0005" w:tentative="1">
      <w:start w:val="1"/>
      <w:numFmt w:val="bullet"/>
      <w:lvlText w:val=""/>
      <w:lvlJc w:val="left"/>
      <w:pPr>
        <w:tabs>
          <w:tab w:val="num" w:pos="5352"/>
        </w:tabs>
        <w:ind w:left="5352" w:hanging="360"/>
      </w:pPr>
      <w:rPr>
        <w:rFonts w:ascii="Wingdings" w:hAnsi="Wingdings" w:hint="default"/>
      </w:rPr>
    </w:lvl>
  </w:abstractNum>
  <w:num w:numId="1">
    <w:abstractNumId w:val="33"/>
  </w:num>
  <w:num w:numId="2">
    <w:abstractNumId w:val="68"/>
  </w:num>
  <w:num w:numId="3">
    <w:abstractNumId w:val="95"/>
  </w:num>
  <w:num w:numId="4">
    <w:abstractNumId w:val="69"/>
  </w:num>
  <w:num w:numId="5">
    <w:abstractNumId w:val="12"/>
  </w:num>
  <w:num w:numId="6">
    <w:abstractNumId w:val="94"/>
  </w:num>
  <w:num w:numId="7">
    <w:abstractNumId w:val="103"/>
  </w:num>
  <w:num w:numId="8">
    <w:abstractNumId w:val="48"/>
  </w:num>
  <w:num w:numId="9">
    <w:abstractNumId w:val="44"/>
  </w:num>
  <w:num w:numId="10">
    <w:abstractNumId w:val="65"/>
  </w:num>
  <w:num w:numId="11">
    <w:abstractNumId w:val="34"/>
  </w:num>
  <w:num w:numId="12">
    <w:abstractNumId w:val="57"/>
  </w:num>
  <w:num w:numId="13">
    <w:abstractNumId w:val="96"/>
  </w:num>
  <w:num w:numId="14">
    <w:abstractNumId w:val="47"/>
  </w:num>
  <w:num w:numId="15">
    <w:abstractNumId w:val="106"/>
  </w:num>
  <w:num w:numId="16">
    <w:abstractNumId w:val="98"/>
  </w:num>
  <w:num w:numId="17">
    <w:abstractNumId w:val="97"/>
  </w:num>
  <w:num w:numId="18">
    <w:abstractNumId w:val="71"/>
  </w:num>
  <w:num w:numId="19">
    <w:abstractNumId w:val="51"/>
  </w:num>
  <w:num w:numId="20">
    <w:abstractNumId w:val="20"/>
  </w:num>
  <w:num w:numId="21">
    <w:abstractNumId w:val="50"/>
  </w:num>
  <w:num w:numId="22">
    <w:abstractNumId w:val="63"/>
  </w:num>
  <w:num w:numId="23">
    <w:abstractNumId w:val="45"/>
  </w:num>
  <w:num w:numId="24">
    <w:abstractNumId w:val="40"/>
  </w:num>
  <w:num w:numId="25">
    <w:abstractNumId w:val="35"/>
  </w:num>
  <w:num w:numId="26">
    <w:abstractNumId w:val="56"/>
  </w:num>
  <w:num w:numId="27">
    <w:abstractNumId w:val="59"/>
  </w:num>
  <w:num w:numId="28">
    <w:abstractNumId w:val="13"/>
  </w:num>
  <w:num w:numId="29">
    <w:abstractNumId w:val="88"/>
  </w:num>
  <w:num w:numId="30">
    <w:abstractNumId w:val="60"/>
  </w:num>
  <w:num w:numId="31">
    <w:abstractNumId w:val="86"/>
  </w:num>
  <w:num w:numId="32">
    <w:abstractNumId w:val="32"/>
  </w:num>
  <w:num w:numId="33">
    <w:abstractNumId w:val="99"/>
  </w:num>
  <w:num w:numId="34">
    <w:abstractNumId w:val="93"/>
  </w:num>
  <w:num w:numId="35">
    <w:abstractNumId w:val="102"/>
  </w:num>
  <w:num w:numId="36">
    <w:abstractNumId w:val="14"/>
  </w:num>
  <w:num w:numId="37">
    <w:abstractNumId w:val="105"/>
  </w:num>
  <w:num w:numId="38">
    <w:abstractNumId w:val="38"/>
  </w:num>
  <w:num w:numId="39">
    <w:abstractNumId w:val="23"/>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num>
  <w:num w:numId="42">
    <w:abstractNumId w:val="31"/>
  </w:num>
  <w:num w:numId="43">
    <w:abstractNumId w:val="61"/>
  </w:num>
  <w:num w:numId="44">
    <w:abstractNumId w:val="74"/>
  </w:num>
  <w:num w:numId="45">
    <w:abstractNumId w:val="30"/>
  </w:num>
  <w:num w:numId="46">
    <w:abstractNumId w:val="52"/>
  </w:num>
  <w:num w:numId="47">
    <w:abstractNumId w:val="55"/>
  </w:num>
  <w:num w:numId="48">
    <w:abstractNumId w:val="24"/>
  </w:num>
  <w:num w:numId="49">
    <w:abstractNumId w:val="73"/>
  </w:num>
  <w:num w:numId="50">
    <w:abstractNumId w:val="22"/>
  </w:num>
  <w:num w:numId="51">
    <w:abstractNumId w:val="43"/>
  </w:num>
  <w:num w:numId="52">
    <w:abstractNumId w:val="49"/>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1"/>
  </w:num>
  <w:num w:numId="64">
    <w:abstractNumId w:val="58"/>
  </w:num>
  <w:num w:numId="65">
    <w:abstractNumId w:val="42"/>
  </w:num>
  <w:num w:numId="66">
    <w:abstractNumId w:val="39"/>
  </w:num>
  <w:num w:numId="67">
    <w:abstractNumId w:val="62"/>
  </w:num>
  <w:num w:numId="68">
    <w:abstractNumId w:val="83"/>
  </w:num>
  <w:num w:numId="69">
    <w:abstractNumId w:val="72"/>
  </w:num>
  <w:num w:numId="70">
    <w:abstractNumId w:val="85"/>
  </w:num>
  <w:num w:numId="71">
    <w:abstractNumId w:val="76"/>
  </w:num>
  <w:num w:numId="72">
    <w:abstractNumId w:val="25"/>
  </w:num>
  <w:num w:numId="73">
    <w:abstractNumId w:val="82"/>
  </w:num>
  <w:num w:numId="74">
    <w:abstractNumId w:val="92"/>
  </w:num>
  <w:num w:numId="75">
    <w:abstractNumId w:val="16"/>
  </w:num>
  <w:num w:numId="76">
    <w:abstractNumId w:val="15"/>
  </w:num>
  <w:num w:numId="77">
    <w:abstractNumId w:val="46"/>
  </w:num>
  <w:num w:numId="78">
    <w:abstractNumId w:val="41"/>
  </w:num>
  <w:num w:numId="79">
    <w:abstractNumId w:val="28"/>
  </w:num>
  <w:num w:numId="80">
    <w:abstractNumId w:val="75"/>
  </w:num>
  <w:num w:numId="81">
    <w:abstractNumId w:val="33"/>
  </w:num>
  <w:num w:numId="82">
    <w:abstractNumId w:val="81"/>
  </w:num>
  <w:num w:numId="83">
    <w:abstractNumId w:val="33"/>
  </w:num>
  <w:num w:numId="84">
    <w:abstractNumId w:val="67"/>
  </w:num>
  <w:num w:numId="85">
    <w:abstractNumId w:val="33"/>
  </w:num>
  <w:num w:numId="86">
    <w:abstractNumId w:val="89"/>
  </w:num>
  <w:num w:numId="87">
    <w:abstractNumId w:val="10"/>
  </w:num>
  <w:num w:numId="88">
    <w:abstractNumId w:val="8"/>
  </w:num>
  <w:num w:numId="89">
    <w:abstractNumId w:val="7"/>
  </w:num>
  <w:num w:numId="90">
    <w:abstractNumId w:val="6"/>
  </w:num>
  <w:num w:numId="91">
    <w:abstractNumId w:val="5"/>
  </w:num>
  <w:num w:numId="92">
    <w:abstractNumId w:val="9"/>
  </w:num>
  <w:num w:numId="93">
    <w:abstractNumId w:val="4"/>
  </w:num>
  <w:num w:numId="94">
    <w:abstractNumId w:val="3"/>
  </w:num>
  <w:num w:numId="95">
    <w:abstractNumId w:val="2"/>
  </w:num>
  <w:num w:numId="96">
    <w:abstractNumId w:val="1"/>
  </w:num>
  <w:num w:numId="97">
    <w:abstractNumId w:val="0"/>
  </w:num>
  <w:num w:numId="98">
    <w:abstractNumId w:val="104"/>
  </w:num>
  <w:num w:numId="99">
    <w:abstractNumId w:val="79"/>
  </w:num>
  <w:num w:numId="100">
    <w:abstractNumId w:val="11"/>
  </w:num>
  <w:num w:numId="101">
    <w:abstractNumId w:val="21"/>
  </w:num>
  <w:num w:numId="102">
    <w:abstractNumId w:val="77"/>
  </w:num>
  <w:num w:numId="1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
  </w:num>
  <w:num w:numId="105">
    <w:abstractNumId w:val="33"/>
  </w:num>
  <w:num w:numId="106">
    <w:abstractNumId w:val="33"/>
  </w:num>
  <w:num w:numId="107">
    <w:abstractNumId w:val="33"/>
  </w:num>
  <w:num w:numId="1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3"/>
  </w:num>
  <w:num w:numId="1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3"/>
  </w:num>
  <w:num w:numId="1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9"/>
  </w:num>
  <w:num w:numId="114">
    <w:abstractNumId w:val="36"/>
  </w:num>
  <w:num w:numId="115">
    <w:abstractNumId w:val="33"/>
  </w:num>
  <w:num w:numId="116">
    <w:abstractNumId w:val="33"/>
  </w:num>
  <w:num w:numId="117">
    <w:abstractNumId w:val="100"/>
  </w:num>
  <w:num w:numId="1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3"/>
  </w:num>
  <w:num w:numId="1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
  </w:num>
  <w:num w:numId="123">
    <w:abstractNumId w:val="33"/>
  </w:num>
  <w:num w:numId="124">
    <w:abstractNumId w:val="33"/>
  </w:num>
  <w:num w:numId="125">
    <w:abstractNumId w:val="33"/>
  </w:num>
  <w:num w:numId="126">
    <w:abstractNumId w:val="33"/>
  </w:num>
  <w:num w:numId="127">
    <w:abstractNumId w:val="33"/>
  </w:num>
  <w:num w:numId="128">
    <w:abstractNumId w:val="33"/>
  </w:num>
  <w:num w:numId="129">
    <w:abstractNumId w:val="33"/>
  </w:num>
  <w:num w:numId="130">
    <w:abstractNumId w:val="27"/>
  </w:num>
  <w:num w:numId="1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3"/>
  </w:num>
  <w:num w:numId="133">
    <w:abstractNumId w:val="64"/>
  </w:num>
  <w:num w:numId="134">
    <w:abstractNumId w:val="37"/>
  </w:num>
  <w:num w:numId="135">
    <w:abstractNumId w:val="70"/>
  </w:num>
  <w:num w:numId="136">
    <w:abstractNumId w:val="53"/>
  </w:num>
  <w:num w:numId="137">
    <w:abstractNumId w:val="80"/>
  </w:num>
  <w:num w:numId="138">
    <w:abstractNumId w:val="66"/>
  </w:num>
  <w:num w:numId="139">
    <w:abstractNumId w:val="90"/>
  </w:num>
  <w:num w:numId="1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3"/>
  </w:num>
  <w:num w:numId="142">
    <w:abstractNumId w:val="33"/>
  </w:num>
  <w:num w:numId="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1"/>
  </w:num>
  <w:num w:numId="145">
    <w:abstractNumId w:val="78"/>
  </w:num>
  <w:num w:numId="1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3"/>
  </w:num>
  <w:num w:numId="148">
    <w:abstractNumId w:val="33"/>
  </w:num>
  <w:num w:numId="149">
    <w:abstractNumId w:val="33"/>
  </w:num>
  <w:num w:numId="1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3"/>
  </w:num>
  <w:num w:numId="152">
    <w:abstractNumId w:val="33"/>
  </w:num>
  <w:num w:numId="153">
    <w:abstractNumId w:val="33"/>
  </w:num>
  <w:num w:numId="154">
    <w:abstractNumId w:val="33"/>
  </w:num>
  <w:num w:numId="155">
    <w:abstractNumId w:val="33"/>
  </w:num>
  <w:num w:numId="1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3"/>
  </w:num>
  <w:num w:numId="158">
    <w:abstractNumId w:val="33"/>
  </w:num>
  <w:num w:numId="159">
    <w:abstractNumId w:val="33"/>
  </w:num>
  <w:num w:numId="160">
    <w:abstractNumId w:val="33"/>
  </w:num>
  <w:num w:numId="1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3"/>
  </w:num>
  <w:num w:numId="1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3"/>
  </w:num>
  <w:num w:numId="165">
    <w:abstractNumId w:val="33"/>
  </w:num>
  <w:num w:numId="166">
    <w:abstractNumId w:val="33"/>
  </w:num>
  <w:num w:numId="167">
    <w:abstractNumId w:val="87"/>
  </w:num>
  <w:num w:numId="168">
    <w:abstractNumId w:val="33"/>
  </w:num>
  <w:num w:numId="169">
    <w:abstractNumId w:val="33"/>
  </w:num>
  <w:num w:numId="170">
    <w:abstractNumId w:val="8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85" style="mso-position-vertical-relative:line" fill="f" fillcolor="white" stroke="f">
      <v:fill color="white" on="f"/>
      <v:stroke on="f"/>
      <o:colormru v:ext="edit" colors="#fd18b9,#fd18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015C"/>
    <w:rsid w:val="00000E8B"/>
    <w:rsid w:val="00002842"/>
    <w:rsid w:val="00002F14"/>
    <w:rsid w:val="000031AE"/>
    <w:rsid w:val="00006770"/>
    <w:rsid w:val="00006C47"/>
    <w:rsid w:val="00006E33"/>
    <w:rsid w:val="00007347"/>
    <w:rsid w:val="000075F4"/>
    <w:rsid w:val="000077B1"/>
    <w:rsid w:val="000105CC"/>
    <w:rsid w:val="00012AB2"/>
    <w:rsid w:val="00013146"/>
    <w:rsid w:val="00014125"/>
    <w:rsid w:val="00014A4F"/>
    <w:rsid w:val="00014C6B"/>
    <w:rsid w:val="00015178"/>
    <w:rsid w:val="00015AF9"/>
    <w:rsid w:val="00015EEE"/>
    <w:rsid w:val="00016138"/>
    <w:rsid w:val="00016626"/>
    <w:rsid w:val="00017771"/>
    <w:rsid w:val="000221B1"/>
    <w:rsid w:val="00022226"/>
    <w:rsid w:val="00023691"/>
    <w:rsid w:val="00026241"/>
    <w:rsid w:val="000265D2"/>
    <w:rsid w:val="000268EF"/>
    <w:rsid w:val="0002740B"/>
    <w:rsid w:val="0002740F"/>
    <w:rsid w:val="00027858"/>
    <w:rsid w:val="00027D37"/>
    <w:rsid w:val="00027DB6"/>
    <w:rsid w:val="000301B3"/>
    <w:rsid w:val="00030534"/>
    <w:rsid w:val="00030AD8"/>
    <w:rsid w:val="00030CC8"/>
    <w:rsid w:val="000316F6"/>
    <w:rsid w:val="00031DD5"/>
    <w:rsid w:val="00032739"/>
    <w:rsid w:val="00032945"/>
    <w:rsid w:val="00032992"/>
    <w:rsid w:val="00032C51"/>
    <w:rsid w:val="00033356"/>
    <w:rsid w:val="00033508"/>
    <w:rsid w:val="00034481"/>
    <w:rsid w:val="00034835"/>
    <w:rsid w:val="00035200"/>
    <w:rsid w:val="00036565"/>
    <w:rsid w:val="00036A82"/>
    <w:rsid w:val="00036D3F"/>
    <w:rsid w:val="000400CB"/>
    <w:rsid w:val="000402C4"/>
    <w:rsid w:val="00040925"/>
    <w:rsid w:val="000420B3"/>
    <w:rsid w:val="000425A3"/>
    <w:rsid w:val="00043545"/>
    <w:rsid w:val="0004583A"/>
    <w:rsid w:val="00046441"/>
    <w:rsid w:val="0004665E"/>
    <w:rsid w:val="0004698E"/>
    <w:rsid w:val="00046DEC"/>
    <w:rsid w:val="0004713F"/>
    <w:rsid w:val="0004794C"/>
    <w:rsid w:val="0005066D"/>
    <w:rsid w:val="0005073B"/>
    <w:rsid w:val="00051EF3"/>
    <w:rsid w:val="00051FE9"/>
    <w:rsid w:val="00053411"/>
    <w:rsid w:val="00055993"/>
    <w:rsid w:val="00055F52"/>
    <w:rsid w:val="00057C72"/>
    <w:rsid w:val="000602D2"/>
    <w:rsid w:val="00061397"/>
    <w:rsid w:val="00061E1D"/>
    <w:rsid w:val="00062730"/>
    <w:rsid w:val="00064533"/>
    <w:rsid w:val="0006492E"/>
    <w:rsid w:val="00064B1B"/>
    <w:rsid w:val="00064C01"/>
    <w:rsid w:val="00064CF8"/>
    <w:rsid w:val="000656EB"/>
    <w:rsid w:val="0006640A"/>
    <w:rsid w:val="00066B28"/>
    <w:rsid w:val="00067935"/>
    <w:rsid w:val="00067FF8"/>
    <w:rsid w:val="0007032D"/>
    <w:rsid w:val="000704FF"/>
    <w:rsid w:val="00070DD1"/>
    <w:rsid w:val="00071517"/>
    <w:rsid w:val="00071FF0"/>
    <w:rsid w:val="0007271C"/>
    <w:rsid w:val="000738E3"/>
    <w:rsid w:val="00074E69"/>
    <w:rsid w:val="0007588E"/>
    <w:rsid w:val="00075C9F"/>
    <w:rsid w:val="0007655D"/>
    <w:rsid w:val="000765AF"/>
    <w:rsid w:val="00083147"/>
    <w:rsid w:val="00083A37"/>
    <w:rsid w:val="00083EB7"/>
    <w:rsid w:val="000848A7"/>
    <w:rsid w:val="00084CD9"/>
    <w:rsid w:val="00086103"/>
    <w:rsid w:val="00086E34"/>
    <w:rsid w:val="00090B2D"/>
    <w:rsid w:val="000914BC"/>
    <w:rsid w:val="00093969"/>
    <w:rsid w:val="00093A35"/>
    <w:rsid w:val="00094C3A"/>
    <w:rsid w:val="00095A89"/>
    <w:rsid w:val="0009604E"/>
    <w:rsid w:val="00097AC2"/>
    <w:rsid w:val="000A2D07"/>
    <w:rsid w:val="000A3024"/>
    <w:rsid w:val="000A56D1"/>
    <w:rsid w:val="000A7FC6"/>
    <w:rsid w:val="000B020F"/>
    <w:rsid w:val="000B0446"/>
    <w:rsid w:val="000B12FB"/>
    <w:rsid w:val="000B2576"/>
    <w:rsid w:val="000B2D86"/>
    <w:rsid w:val="000B4719"/>
    <w:rsid w:val="000B4E3E"/>
    <w:rsid w:val="000B657A"/>
    <w:rsid w:val="000B6728"/>
    <w:rsid w:val="000B6E4E"/>
    <w:rsid w:val="000B7888"/>
    <w:rsid w:val="000B7B39"/>
    <w:rsid w:val="000C1127"/>
    <w:rsid w:val="000C1ABB"/>
    <w:rsid w:val="000C3057"/>
    <w:rsid w:val="000C4034"/>
    <w:rsid w:val="000C44A0"/>
    <w:rsid w:val="000C4E95"/>
    <w:rsid w:val="000C50F9"/>
    <w:rsid w:val="000C5726"/>
    <w:rsid w:val="000C5FF2"/>
    <w:rsid w:val="000C7670"/>
    <w:rsid w:val="000D02B6"/>
    <w:rsid w:val="000D1DA0"/>
    <w:rsid w:val="000D1DB1"/>
    <w:rsid w:val="000D2880"/>
    <w:rsid w:val="000D2A92"/>
    <w:rsid w:val="000D2AC0"/>
    <w:rsid w:val="000D4465"/>
    <w:rsid w:val="000D4863"/>
    <w:rsid w:val="000D6264"/>
    <w:rsid w:val="000D6A47"/>
    <w:rsid w:val="000D7597"/>
    <w:rsid w:val="000E05C0"/>
    <w:rsid w:val="000E09FE"/>
    <w:rsid w:val="000E10F6"/>
    <w:rsid w:val="000E1D8B"/>
    <w:rsid w:val="000E371C"/>
    <w:rsid w:val="000E427E"/>
    <w:rsid w:val="000E49CA"/>
    <w:rsid w:val="000E4F25"/>
    <w:rsid w:val="000E7D86"/>
    <w:rsid w:val="000F0767"/>
    <w:rsid w:val="000F0B37"/>
    <w:rsid w:val="000F0C8D"/>
    <w:rsid w:val="000F2505"/>
    <w:rsid w:val="000F29A0"/>
    <w:rsid w:val="000F3015"/>
    <w:rsid w:val="000F3532"/>
    <w:rsid w:val="000F58E3"/>
    <w:rsid w:val="000F5A79"/>
    <w:rsid w:val="000F5FE3"/>
    <w:rsid w:val="001006B9"/>
    <w:rsid w:val="00101DFF"/>
    <w:rsid w:val="00102189"/>
    <w:rsid w:val="00102AD6"/>
    <w:rsid w:val="00103DD1"/>
    <w:rsid w:val="00104222"/>
    <w:rsid w:val="001047E8"/>
    <w:rsid w:val="0010485A"/>
    <w:rsid w:val="00105814"/>
    <w:rsid w:val="0010712C"/>
    <w:rsid w:val="00107509"/>
    <w:rsid w:val="00112551"/>
    <w:rsid w:val="00112CF0"/>
    <w:rsid w:val="00114273"/>
    <w:rsid w:val="00114C42"/>
    <w:rsid w:val="00114ECA"/>
    <w:rsid w:val="001157FB"/>
    <w:rsid w:val="00116A1D"/>
    <w:rsid w:val="00116AAB"/>
    <w:rsid w:val="001179E9"/>
    <w:rsid w:val="001207E3"/>
    <w:rsid w:val="0012087D"/>
    <w:rsid w:val="00120C53"/>
    <w:rsid w:val="001235CE"/>
    <w:rsid w:val="001256B3"/>
    <w:rsid w:val="00130234"/>
    <w:rsid w:val="0013059D"/>
    <w:rsid w:val="00131D03"/>
    <w:rsid w:val="0013227A"/>
    <w:rsid w:val="00132ED3"/>
    <w:rsid w:val="001331C8"/>
    <w:rsid w:val="0013449E"/>
    <w:rsid w:val="00134862"/>
    <w:rsid w:val="0013716D"/>
    <w:rsid w:val="0014127E"/>
    <w:rsid w:val="00141B41"/>
    <w:rsid w:val="00142209"/>
    <w:rsid w:val="001432A9"/>
    <w:rsid w:val="001471AD"/>
    <w:rsid w:val="001476E2"/>
    <w:rsid w:val="001478AB"/>
    <w:rsid w:val="0015320D"/>
    <w:rsid w:val="00154886"/>
    <w:rsid w:val="00155258"/>
    <w:rsid w:val="001557F6"/>
    <w:rsid w:val="00157818"/>
    <w:rsid w:val="00157E89"/>
    <w:rsid w:val="00160114"/>
    <w:rsid w:val="00161593"/>
    <w:rsid w:val="00161ABE"/>
    <w:rsid w:val="001624B6"/>
    <w:rsid w:val="00163118"/>
    <w:rsid w:val="0016356A"/>
    <w:rsid w:val="00166F2E"/>
    <w:rsid w:val="0016760B"/>
    <w:rsid w:val="001707DF"/>
    <w:rsid w:val="00171932"/>
    <w:rsid w:val="001724FC"/>
    <w:rsid w:val="001730EC"/>
    <w:rsid w:val="00174C42"/>
    <w:rsid w:val="00176E0E"/>
    <w:rsid w:val="0017708F"/>
    <w:rsid w:val="00180386"/>
    <w:rsid w:val="001812EF"/>
    <w:rsid w:val="00182525"/>
    <w:rsid w:val="00182B2B"/>
    <w:rsid w:val="00182E63"/>
    <w:rsid w:val="00183B1F"/>
    <w:rsid w:val="001854C0"/>
    <w:rsid w:val="00186FEB"/>
    <w:rsid w:val="00187FEF"/>
    <w:rsid w:val="001906FF"/>
    <w:rsid w:val="00190791"/>
    <w:rsid w:val="00190DA8"/>
    <w:rsid w:val="0019104C"/>
    <w:rsid w:val="00191381"/>
    <w:rsid w:val="00191F5A"/>
    <w:rsid w:val="001921E3"/>
    <w:rsid w:val="0019297D"/>
    <w:rsid w:val="00192DA8"/>
    <w:rsid w:val="00193DF5"/>
    <w:rsid w:val="00195297"/>
    <w:rsid w:val="00195332"/>
    <w:rsid w:val="00196765"/>
    <w:rsid w:val="001973DA"/>
    <w:rsid w:val="00197EFE"/>
    <w:rsid w:val="00197FE9"/>
    <w:rsid w:val="001A0D3A"/>
    <w:rsid w:val="001A151E"/>
    <w:rsid w:val="001A218E"/>
    <w:rsid w:val="001A27C5"/>
    <w:rsid w:val="001A348C"/>
    <w:rsid w:val="001A400E"/>
    <w:rsid w:val="001A450D"/>
    <w:rsid w:val="001A56F0"/>
    <w:rsid w:val="001A6309"/>
    <w:rsid w:val="001A6984"/>
    <w:rsid w:val="001A6B19"/>
    <w:rsid w:val="001A7F23"/>
    <w:rsid w:val="001B0DB3"/>
    <w:rsid w:val="001B1F30"/>
    <w:rsid w:val="001B2BA3"/>
    <w:rsid w:val="001B2F6B"/>
    <w:rsid w:val="001B383F"/>
    <w:rsid w:val="001B39AA"/>
    <w:rsid w:val="001B4A44"/>
    <w:rsid w:val="001B563D"/>
    <w:rsid w:val="001B697D"/>
    <w:rsid w:val="001B7A67"/>
    <w:rsid w:val="001B7B14"/>
    <w:rsid w:val="001C0FC6"/>
    <w:rsid w:val="001C1710"/>
    <w:rsid w:val="001C1788"/>
    <w:rsid w:val="001C224A"/>
    <w:rsid w:val="001C2577"/>
    <w:rsid w:val="001C3CBA"/>
    <w:rsid w:val="001C44C8"/>
    <w:rsid w:val="001C4A62"/>
    <w:rsid w:val="001C5758"/>
    <w:rsid w:val="001C59CE"/>
    <w:rsid w:val="001C5CC7"/>
    <w:rsid w:val="001C62D9"/>
    <w:rsid w:val="001C6572"/>
    <w:rsid w:val="001C6F02"/>
    <w:rsid w:val="001D0D53"/>
    <w:rsid w:val="001D1209"/>
    <w:rsid w:val="001D1BF0"/>
    <w:rsid w:val="001D2FD5"/>
    <w:rsid w:val="001D36E0"/>
    <w:rsid w:val="001D3C93"/>
    <w:rsid w:val="001D45AB"/>
    <w:rsid w:val="001D4E25"/>
    <w:rsid w:val="001D5148"/>
    <w:rsid w:val="001D5A87"/>
    <w:rsid w:val="001D5D7E"/>
    <w:rsid w:val="001D62BD"/>
    <w:rsid w:val="001D7298"/>
    <w:rsid w:val="001E00E4"/>
    <w:rsid w:val="001E0103"/>
    <w:rsid w:val="001E0582"/>
    <w:rsid w:val="001E1B9A"/>
    <w:rsid w:val="001E2AB2"/>
    <w:rsid w:val="001E2AC4"/>
    <w:rsid w:val="001E39FE"/>
    <w:rsid w:val="001E3D4C"/>
    <w:rsid w:val="001E6E7D"/>
    <w:rsid w:val="001E7635"/>
    <w:rsid w:val="001F005C"/>
    <w:rsid w:val="001F05FC"/>
    <w:rsid w:val="001F1E38"/>
    <w:rsid w:val="001F1F86"/>
    <w:rsid w:val="001F396A"/>
    <w:rsid w:val="001F3FA2"/>
    <w:rsid w:val="001F4482"/>
    <w:rsid w:val="001F4519"/>
    <w:rsid w:val="001F48DA"/>
    <w:rsid w:val="001F5275"/>
    <w:rsid w:val="001F5560"/>
    <w:rsid w:val="001F55EF"/>
    <w:rsid w:val="001F5D5C"/>
    <w:rsid w:val="001F5FD4"/>
    <w:rsid w:val="001F634E"/>
    <w:rsid w:val="001F76B8"/>
    <w:rsid w:val="002001A3"/>
    <w:rsid w:val="002018ED"/>
    <w:rsid w:val="00202701"/>
    <w:rsid w:val="00203093"/>
    <w:rsid w:val="00203FDF"/>
    <w:rsid w:val="0020467C"/>
    <w:rsid w:val="0020525F"/>
    <w:rsid w:val="00205FDB"/>
    <w:rsid w:val="0020619F"/>
    <w:rsid w:val="00206CA2"/>
    <w:rsid w:val="00207353"/>
    <w:rsid w:val="002076E5"/>
    <w:rsid w:val="00207A0C"/>
    <w:rsid w:val="002110B3"/>
    <w:rsid w:val="00211766"/>
    <w:rsid w:val="00211E63"/>
    <w:rsid w:val="00213804"/>
    <w:rsid w:val="00213995"/>
    <w:rsid w:val="00215F1B"/>
    <w:rsid w:val="002161CA"/>
    <w:rsid w:val="00216935"/>
    <w:rsid w:val="0021697F"/>
    <w:rsid w:val="00216C0F"/>
    <w:rsid w:val="002170CC"/>
    <w:rsid w:val="00220314"/>
    <w:rsid w:val="0022046F"/>
    <w:rsid w:val="00223370"/>
    <w:rsid w:val="002244B1"/>
    <w:rsid w:val="0022464B"/>
    <w:rsid w:val="002255F7"/>
    <w:rsid w:val="00225D86"/>
    <w:rsid w:val="00226A12"/>
    <w:rsid w:val="00226ABF"/>
    <w:rsid w:val="00227298"/>
    <w:rsid w:val="00227440"/>
    <w:rsid w:val="00227519"/>
    <w:rsid w:val="00230D13"/>
    <w:rsid w:val="0023169D"/>
    <w:rsid w:val="0023309E"/>
    <w:rsid w:val="00235560"/>
    <w:rsid w:val="002359E8"/>
    <w:rsid w:val="0023630E"/>
    <w:rsid w:val="00236466"/>
    <w:rsid w:val="002368DF"/>
    <w:rsid w:val="002370CA"/>
    <w:rsid w:val="002373DB"/>
    <w:rsid w:val="00237544"/>
    <w:rsid w:val="0024054A"/>
    <w:rsid w:val="00240BD5"/>
    <w:rsid w:val="00240CCF"/>
    <w:rsid w:val="002416FE"/>
    <w:rsid w:val="00241B6D"/>
    <w:rsid w:val="00241CB3"/>
    <w:rsid w:val="00242DC8"/>
    <w:rsid w:val="0024326E"/>
    <w:rsid w:val="002432EC"/>
    <w:rsid w:val="002437AC"/>
    <w:rsid w:val="00243D1F"/>
    <w:rsid w:val="00243E6B"/>
    <w:rsid w:val="00243E70"/>
    <w:rsid w:val="0024469B"/>
    <w:rsid w:val="00244AC3"/>
    <w:rsid w:val="00244CDF"/>
    <w:rsid w:val="00245A36"/>
    <w:rsid w:val="00245A8E"/>
    <w:rsid w:val="00245AA5"/>
    <w:rsid w:val="00245CDB"/>
    <w:rsid w:val="00245E43"/>
    <w:rsid w:val="00246848"/>
    <w:rsid w:val="002469FC"/>
    <w:rsid w:val="00247639"/>
    <w:rsid w:val="0025176E"/>
    <w:rsid w:val="002521F4"/>
    <w:rsid w:val="00252F15"/>
    <w:rsid w:val="00253691"/>
    <w:rsid w:val="00253C41"/>
    <w:rsid w:val="00255BDD"/>
    <w:rsid w:val="00256251"/>
    <w:rsid w:val="00257B1F"/>
    <w:rsid w:val="0026061B"/>
    <w:rsid w:val="00260D80"/>
    <w:rsid w:val="00260E95"/>
    <w:rsid w:val="00261653"/>
    <w:rsid w:val="00261B66"/>
    <w:rsid w:val="00261BCE"/>
    <w:rsid w:val="00261D1E"/>
    <w:rsid w:val="00262C82"/>
    <w:rsid w:val="00263B50"/>
    <w:rsid w:val="00265466"/>
    <w:rsid w:val="00266182"/>
    <w:rsid w:val="00266CEB"/>
    <w:rsid w:val="00267632"/>
    <w:rsid w:val="0026788D"/>
    <w:rsid w:val="00271E5C"/>
    <w:rsid w:val="00272C3A"/>
    <w:rsid w:val="00273B31"/>
    <w:rsid w:val="00273C80"/>
    <w:rsid w:val="00274B1C"/>
    <w:rsid w:val="00274DEE"/>
    <w:rsid w:val="00274E29"/>
    <w:rsid w:val="002770D0"/>
    <w:rsid w:val="002776CD"/>
    <w:rsid w:val="002778A8"/>
    <w:rsid w:val="00280192"/>
    <w:rsid w:val="00280A6D"/>
    <w:rsid w:val="0028240C"/>
    <w:rsid w:val="00282895"/>
    <w:rsid w:val="00283506"/>
    <w:rsid w:val="00285C95"/>
    <w:rsid w:val="00286AE4"/>
    <w:rsid w:val="00287726"/>
    <w:rsid w:val="00287AC4"/>
    <w:rsid w:val="00287B2F"/>
    <w:rsid w:val="00287EA0"/>
    <w:rsid w:val="00290496"/>
    <w:rsid w:val="00290635"/>
    <w:rsid w:val="00290823"/>
    <w:rsid w:val="00290A03"/>
    <w:rsid w:val="0029169D"/>
    <w:rsid w:val="00291835"/>
    <w:rsid w:val="00291C35"/>
    <w:rsid w:val="002922B3"/>
    <w:rsid w:val="00292469"/>
    <w:rsid w:val="00292C27"/>
    <w:rsid w:val="0029349C"/>
    <w:rsid w:val="00294BD6"/>
    <w:rsid w:val="00295CEB"/>
    <w:rsid w:val="00297D26"/>
    <w:rsid w:val="002A0AC2"/>
    <w:rsid w:val="002A0C61"/>
    <w:rsid w:val="002A3E53"/>
    <w:rsid w:val="002A4E1A"/>
    <w:rsid w:val="002A71D3"/>
    <w:rsid w:val="002B0215"/>
    <w:rsid w:val="002B110A"/>
    <w:rsid w:val="002B17ED"/>
    <w:rsid w:val="002B1E99"/>
    <w:rsid w:val="002B2513"/>
    <w:rsid w:val="002B2D50"/>
    <w:rsid w:val="002B3B85"/>
    <w:rsid w:val="002B446B"/>
    <w:rsid w:val="002B4B48"/>
    <w:rsid w:val="002B4DD2"/>
    <w:rsid w:val="002B5E85"/>
    <w:rsid w:val="002B61B7"/>
    <w:rsid w:val="002B7ADF"/>
    <w:rsid w:val="002B7C55"/>
    <w:rsid w:val="002C15E7"/>
    <w:rsid w:val="002C1877"/>
    <w:rsid w:val="002C2E16"/>
    <w:rsid w:val="002C3959"/>
    <w:rsid w:val="002C455E"/>
    <w:rsid w:val="002C60B4"/>
    <w:rsid w:val="002C7DF7"/>
    <w:rsid w:val="002D0DE9"/>
    <w:rsid w:val="002D1B5A"/>
    <w:rsid w:val="002D1B79"/>
    <w:rsid w:val="002D3230"/>
    <w:rsid w:val="002D3561"/>
    <w:rsid w:val="002D3B69"/>
    <w:rsid w:val="002D48FA"/>
    <w:rsid w:val="002D4C52"/>
    <w:rsid w:val="002D5C97"/>
    <w:rsid w:val="002D6554"/>
    <w:rsid w:val="002E078C"/>
    <w:rsid w:val="002E0891"/>
    <w:rsid w:val="002E1055"/>
    <w:rsid w:val="002E2783"/>
    <w:rsid w:val="002E31AA"/>
    <w:rsid w:val="002E32D6"/>
    <w:rsid w:val="002E3676"/>
    <w:rsid w:val="002E3823"/>
    <w:rsid w:val="002E3E79"/>
    <w:rsid w:val="002E5252"/>
    <w:rsid w:val="002E5DA0"/>
    <w:rsid w:val="002E5E0A"/>
    <w:rsid w:val="002E6E1C"/>
    <w:rsid w:val="002E6FD3"/>
    <w:rsid w:val="002E7D27"/>
    <w:rsid w:val="002F05B7"/>
    <w:rsid w:val="002F0B87"/>
    <w:rsid w:val="002F16AD"/>
    <w:rsid w:val="002F20B6"/>
    <w:rsid w:val="002F2D08"/>
    <w:rsid w:val="002F2F21"/>
    <w:rsid w:val="002F3BFF"/>
    <w:rsid w:val="002F3E9C"/>
    <w:rsid w:val="002F3FF8"/>
    <w:rsid w:val="002F4128"/>
    <w:rsid w:val="002F4C58"/>
    <w:rsid w:val="002F52EC"/>
    <w:rsid w:val="002F6289"/>
    <w:rsid w:val="002F79A2"/>
    <w:rsid w:val="00300AD5"/>
    <w:rsid w:val="00300BD1"/>
    <w:rsid w:val="00300EED"/>
    <w:rsid w:val="00301F02"/>
    <w:rsid w:val="003024D2"/>
    <w:rsid w:val="00304A99"/>
    <w:rsid w:val="00304E7E"/>
    <w:rsid w:val="0030597E"/>
    <w:rsid w:val="00306258"/>
    <w:rsid w:val="0030687A"/>
    <w:rsid w:val="0030782D"/>
    <w:rsid w:val="003112EB"/>
    <w:rsid w:val="003116BD"/>
    <w:rsid w:val="003122BF"/>
    <w:rsid w:val="00312E3A"/>
    <w:rsid w:val="0031338E"/>
    <w:rsid w:val="003134D5"/>
    <w:rsid w:val="003134EB"/>
    <w:rsid w:val="00313E82"/>
    <w:rsid w:val="00314465"/>
    <w:rsid w:val="00314711"/>
    <w:rsid w:val="003154E4"/>
    <w:rsid w:val="00317481"/>
    <w:rsid w:val="00320706"/>
    <w:rsid w:val="0032120F"/>
    <w:rsid w:val="00323C1B"/>
    <w:rsid w:val="00323DA4"/>
    <w:rsid w:val="00324236"/>
    <w:rsid w:val="00324D2E"/>
    <w:rsid w:val="0032538E"/>
    <w:rsid w:val="003255BD"/>
    <w:rsid w:val="003257A9"/>
    <w:rsid w:val="00325CD1"/>
    <w:rsid w:val="003300E8"/>
    <w:rsid w:val="00330737"/>
    <w:rsid w:val="00330739"/>
    <w:rsid w:val="00331039"/>
    <w:rsid w:val="00332170"/>
    <w:rsid w:val="003324E4"/>
    <w:rsid w:val="00333020"/>
    <w:rsid w:val="0033399C"/>
    <w:rsid w:val="0033445F"/>
    <w:rsid w:val="00334AC1"/>
    <w:rsid w:val="00334D51"/>
    <w:rsid w:val="00335E2A"/>
    <w:rsid w:val="0033725B"/>
    <w:rsid w:val="00337F94"/>
    <w:rsid w:val="0034010C"/>
    <w:rsid w:val="00340722"/>
    <w:rsid w:val="00340E4C"/>
    <w:rsid w:val="00343541"/>
    <w:rsid w:val="003435A0"/>
    <w:rsid w:val="003436E4"/>
    <w:rsid w:val="003439A8"/>
    <w:rsid w:val="003478A2"/>
    <w:rsid w:val="00347E5C"/>
    <w:rsid w:val="003503CC"/>
    <w:rsid w:val="0035129B"/>
    <w:rsid w:val="003513A7"/>
    <w:rsid w:val="00351512"/>
    <w:rsid w:val="00351644"/>
    <w:rsid w:val="00351786"/>
    <w:rsid w:val="003518B2"/>
    <w:rsid w:val="00352469"/>
    <w:rsid w:val="003526B5"/>
    <w:rsid w:val="00353C46"/>
    <w:rsid w:val="00354701"/>
    <w:rsid w:val="00355A3F"/>
    <w:rsid w:val="00355F26"/>
    <w:rsid w:val="0035766A"/>
    <w:rsid w:val="00360961"/>
    <w:rsid w:val="00360B10"/>
    <w:rsid w:val="00360DE5"/>
    <w:rsid w:val="00361D3D"/>
    <w:rsid w:val="00362A74"/>
    <w:rsid w:val="00363165"/>
    <w:rsid w:val="00363CAE"/>
    <w:rsid w:val="00364DCD"/>
    <w:rsid w:val="003651CB"/>
    <w:rsid w:val="0036682C"/>
    <w:rsid w:val="00367A67"/>
    <w:rsid w:val="003712C2"/>
    <w:rsid w:val="00371FE0"/>
    <w:rsid w:val="003722F5"/>
    <w:rsid w:val="00372A24"/>
    <w:rsid w:val="00372FCE"/>
    <w:rsid w:val="00373D70"/>
    <w:rsid w:val="00373E68"/>
    <w:rsid w:val="00373E93"/>
    <w:rsid w:val="003749D0"/>
    <w:rsid w:val="00374B0B"/>
    <w:rsid w:val="00375670"/>
    <w:rsid w:val="00375ED4"/>
    <w:rsid w:val="003766BA"/>
    <w:rsid w:val="00376EBA"/>
    <w:rsid w:val="00376FB0"/>
    <w:rsid w:val="00377FD1"/>
    <w:rsid w:val="0038056B"/>
    <w:rsid w:val="00380E88"/>
    <w:rsid w:val="003811B6"/>
    <w:rsid w:val="00382231"/>
    <w:rsid w:val="00383C76"/>
    <w:rsid w:val="00385043"/>
    <w:rsid w:val="003854D4"/>
    <w:rsid w:val="00386ACC"/>
    <w:rsid w:val="00386D10"/>
    <w:rsid w:val="00387AE5"/>
    <w:rsid w:val="00390467"/>
    <w:rsid w:val="003909F6"/>
    <w:rsid w:val="00390CAA"/>
    <w:rsid w:val="0039109C"/>
    <w:rsid w:val="003911F0"/>
    <w:rsid w:val="003916AE"/>
    <w:rsid w:val="00391C54"/>
    <w:rsid w:val="00392253"/>
    <w:rsid w:val="00392ABA"/>
    <w:rsid w:val="00394DBC"/>
    <w:rsid w:val="00395086"/>
    <w:rsid w:val="00395A9F"/>
    <w:rsid w:val="00395AF9"/>
    <w:rsid w:val="00395E57"/>
    <w:rsid w:val="00395E63"/>
    <w:rsid w:val="00396541"/>
    <w:rsid w:val="00397323"/>
    <w:rsid w:val="00397A35"/>
    <w:rsid w:val="00397F91"/>
    <w:rsid w:val="003A0E77"/>
    <w:rsid w:val="003A261A"/>
    <w:rsid w:val="003A47D2"/>
    <w:rsid w:val="003A4B71"/>
    <w:rsid w:val="003A5AB1"/>
    <w:rsid w:val="003A7105"/>
    <w:rsid w:val="003B17A2"/>
    <w:rsid w:val="003B1872"/>
    <w:rsid w:val="003B1A6A"/>
    <w:rsid w:val="003B21F2"/>
    <w:rsid w:val="003B2E49"/>
    <w:rsid w:val="003B3E5F"/>
    <w:rsid w:val="003B4CC1"/>
    <w:rsid w:val="003B4F71"/>
    <w:rsid w:val="003B524E"/>
    <w:rsid w:val="003B55CD"/>
    <w:rsid w:val="003B5944"/>
    <w:rsid w:val="003C1B24"/>
    <w:rsid w:val="003C1E5F"/>
    <w:rsid w:val="003C3501"/>
    <w:rsid w:val="003C4228"/>
    <w:rsid w:val="003C4B8E"/>
    <w:rsid w:val="003C5560"/>
    <w:rsid w:val="003C6182"/>
    <w:rsid w:val="003C734D"/>
    <w:rsid w:val="003C7D90"/>
    <w:rsid w:val="003D3B67"/>
    <w:rsid w:val="003D4464"/>
    <w:rsid w:val="003D5419"/>
    <w:rsid w:val="003D55FD"/>
    <w:rsid w:val="003D5B13"/>
    <w:rsid w:val="003D5E09"/>
    <w:rsid w:val="003D6469"/>
    <w:rsid w:val="003E0644"/>
    <w:rsid w:val="003E19B1"/>
    <w:rsid w:val="003E2D8B"/>
    <w:rsid w:val="003E40E4"/>
    <w:rsid w:val="003E4E8D"/>
    <w:rsid w:val="003E53F9"/>
    <w:rsid w:val="003E5660"/>
    <w:rsid w:val="003E5A80"/>
    <w:rsid w:val="003E5EE0"/>
    <w:rsid w:val="003E6033"/>
    <w:rsid w:val="003E60DA"/>
    <w:rsid w:val="003E663E"/>
    <w:rsid w:val="003E6850"/>
    <w:rsid w:val="003E6D2B"/>
    <w:rsid w:val="003E6EEE"/>
    <w:rsid w:val="003E7DB9"/>
    <w:rsid w:val="003F0FAC"/>
    <w:rsid w:val="003F1655"/>
    <w:rsid w:val="003F2120"/>
    <w:rsid w:val="003F22C3"/>
    <w:rsid w:val="003F263F"/>
    <w:rsid w:val="003F266C"/>
    <w:rsid w:val="003F27DF"/>
    <w:rsid w:val="003F3E17"/>
    <w:rsid w:val="003F4539"/>
    <w:rsid w:val="003F4E19"/>
    <w:rsid w:val="003F54A7"/>
    <w:rsid w:val="003F56B7"/>
    <w:rsid w:val="00400DAA"/>
    <w:rsid w:val="004016E1"/>
    <w:rsid w:val="00402804"/>
    <w:rsid w:val="004029D0"/>
    <w:rsid w:val="004068E9"/>
    <w:rsid w:val="00407A5F"/>
    <w:rsid w:val="00407F34"/>
    <w:rsid w:val="00410C42"/>
    <w:rsid w:val="00410EF1"/>
    <w:rsid w:val="004112D5"/>
    <w:rsid w:val="00412475"/>
    <w:rsid w:val="00413847"/>
    <w:rsid w:val="00413DDA"/>
    <w:rsid w:val="00414E13"/>
    <w:rsid w:val="00415513"/>
    <w:rsid w:val="004156D9"/>
    <w:rsid w:val="00416052"/>
    <w:rsid w:val="004163B5"/>
    <w:rsid w:val="00416B82"/>
    <w:rsid w:val="004206A8"/>
    <w:rsid w:val="0042104F"/>
    <w:rsid w:val="00421254"/>
    <w:rsid w:val="004212BD"/>
    <w:rsid w:val="00421325"/>
    <w:rsid w:val="0042160A"/>
    <w:rsid w:val="00421867"/>
    <w:rsid w:val="00422BD7"/>
    <w:rsid w:val="00423B57"/>
    <w:rsid w:val="0042496C"/>
    <w:rsid w:val="00424BF7"/>
    <w:rsid w:val="00425E72"/>
    <w:rsid w:val="0042616D"/>
    <w:rsid w:val="00427400"/>
    <w:rsid w:val="004346C5"/>
    <w:rsid w:val="004365F1"/>
    <w:rsid w:val="0043746A"/>
    <w:rsid w:val="00437583"/>
    <w:rsid w:val="0043793E"/>
    <w:rsid w:val="00437A95"/>
    <w:rsid w:val="0044054F"/>
    <w:rsid w:val="0044130E"/>
    <w:rsid w:val="00441F11"/>
    <w:rsid w:val="004420C7"/>
    <w:rsid w:val="00442801"/>
    <w:rsid w:val="00442901"/>
    <w:rsid w:val="004444A3"/>
    <w:rsid w:val="00444CFD"/>
    <w:rsid w:val="004504F2"/>
    <w:rsid w:val="00450F19"/>
    <w:rsid w:val="0045109E"/>
    <w:rsid w:val="00451795"/>
    <w:rsid w:val="00451BB4"/>
    <w:rsid w:val="00453C9E"/>
    <w:rsid w:val="004549D9"/>
    <w:rsid w:val="004570D9"/>
    <w:rsid w:val="00457D13"/>
    <w:rsid w:val="00460113"/>
    <w:rsid w:val="00460BEE"/>
    <w:rsid w:val="00461347"/>
    <w:rsid w:val="004620BE"/>
    <w:rsid w:val="00463C87"/>
    <w:rsid w:val="00464135"/>
    <w:rsid w:val="004641FC"/>
    <w:rsid w:val="004642CE"/>
    <w:rsid w:val="0046455C"/>
    <w:rsid w:val="0046487D"/>
    <w:rsid w:val="00464DEE"/>
    <w:rsid w:val="00465C13"/>
    <w:rsid w:val="00465F7F"/>
    <w:rsid w:val="00466B79"/>
    <w:rsid w:val="00467404"/>
    <w:rsid w:val="004678E6"/>
    <w:rsid w:val="00470410"/>
    <w:rsid w:val="00470DB4"/>
    <w:rsid w:val="004713EB"/>
    <w:rsid w:val="004717D5"/>
    <w:rsid w:val="00472102"/>
    <w:rsid w:val="00472113"/>
    <w:rsid w:val="004722DC"/>
    <w:rsid w:val="00472CBD"/>
    <w:rsid w:val="00472DA1"/>
    <w:rsid w:val="004741EA"/>
    <w:rsid w:val="00476031"/>
    <w:rsid w:val="00480FCF"/>
    <w:rsid w:val="0048246E"/>
    <w:rsid w:val="0048264C"/>
    <w:rsid w:val="00484CC8"/>
    <w:rsid w:val="004863D4"/>
    <w:rsid w:val="0048682E"/>
    <w:rsid w:val="00486B63"/>
    <w:rsid w:val="004910B9"/>
    <w:rsid w:val="00492322"/>
    <w:rsid w:val="0049262C"/>
    <w:rsid w:val="00493315"/>
    <w:rsid w:val="00493B85"/>
    <w:rsid w:val="00493C88"/>
    <w:rsid w:val="004942AC"/>
    <w:rsid w:val="00495872"/>
    <w:rsid w:val="0049703F"/>
    <w:rsid w:val="004A00AB"/>
    <w:rsid w:val="004A04A6"/>
    <w:rsid w:val="004A0882"/>
    <w:rsid w:val="004A2922"/>
    <w:rsid w:val="004A2F3D"/>
    <w:rsid w:val="004A2FD6"/>
    <w:rsid w:val="004A3BC8"/>
    <w:rsid w:val="004A4434"/>
    <w:rsid w:val="004A54D7"/>
    <w:rsid w:val="004A563F"/>
    <w:rsid w:val="004A668F"/>
    <w:rsid w:val="004A7541"/>
    <w:rsid w:val="004B0EC0"/>
    <w:rsid w:val="004B11CD"/>
    <w:rsid w:val="004B16E4"/>
    <w:rsid w:val="004B1B44"/>
    <w:rsid w:val="004B1DAD"/>
    <w:rsid w:val="004B349C"/>
    <w:rsid w:val="004B3C9C"/>
    <w:rsid w:val="004B4DA1"/>
    <w:rsid w:val="004B65D6"/>
    <w:rsid w:val="004B6881"/>
    <w:rsid w:val="004B787A"/>
    <w:rsid w:val="004B7BF0"/>
    <w:rsid w:val="004C002C"/>
    <w:rsid w:val="004C00E3"/>
    <w:rsid w:val="004C03AF"/>
    <w:rsid w:val="004C191F"/>
    <w:rsid w:val="004C2694"/>
    <w:rsid w:val="004C2710"/>
    <w:rsid w:val="004C2741"/>
    <w:rsid w:val="004C2CDD"/>
    <w:rsid w:val="004C2DD6"/>
    <w:rsid w:val="004C3F4E"/>
    <w:rsid w:val="004C4479"/>
    <w:rsid w:val="004C4B57"/>
    <w:rsid w:val="004C5839"/>
    <w:rsid w:val="004C6365"/>
    <w:rsid w:val="004C6ABB"/>
    <w:rsid w:val="004C7796"/>
    <w:rsid w:val="004C7DDB"/>
    <w:rsid w:val="004D202B"/>
    <w:rsid w:val="004D2846"/>
    <w:rsid w:val="004D2E3B"/>
    <w:rsid w:val="004D2E50"/>
    <w:rsid w:val="004D41CB"/>
    <w:rsid w:val="004D4695"/>
    <w:rsid w:val="004D46FF"/>
    <w:rsid w:val="004D5627"/>
    <w:rsid w:val="004D7C87"/>
    <w:rsid w:val="004E0510"/>
    <w:rsid w:val="004E10EC"/>
    <w:rsid w:val="004E2014"/>
    <w:rsid w:val="004E204D"/>
    <w:rsid w:val="004E31BA"/>
    <w:rsid w:val="004E54D6"/>
    <w:rsid w:val="004E5FC1"/>
    <w:rsid w:val="004E636D"/>
    <w:rsid w:val="004E6F13"/>
    <w:rsid w:val="004E7337"/>
    <w:rsid w:val="004E7716"/>
    <w:rsid w:val="004F0ED2"/>
    <w:rsid w:val="004F2CA3"/>
    <w:rsid w:val="004F4B79"/>
    <w:rsid w:val="004F540F"/>
    <w:rsid w:val="004F5C9B"/>
    <w:rsid w:val="004F7B2D"/>
    <w:rsid w:val="004F7B32"/>
    <w:rsid w:val="004F7EB7"/>
    <w:rsid w:val="005000F9"/>
    <w:rsid w:val="00500359"/>
    <w:rsid w:val="00500577"/>
    <w:rsid w:val="005017C5"/>
    <w:rsid w:val="00502BB3"/>
    <w:rsid w:val="005046A4"/>
    <w:rsid w:val="0050507E"/>
    <w:rsid w:val="005051A6"/>
    <w:rsid w:val="005058CB"/>
    <w:rsid w:val="00505B2A"/>
    <w:rsid w:val="00505BFB"/>
    <w:rsid w:val="00505E14"/>
    <w:rsid w:val="00507438"/>
    <w:rsid w:val="00510EED"/>
    <w:rsid w:val="00511E99"/>
    <w:rsid w:val="0051245B"/>
    <w:rsid w:val="00512A2B"/>
    <w:rsid w:val="0051310E"/>
    <w:rsid w:val="00514691"/>
    <w:rsid w:val="0051476A"/>
    <w:rsid w:val="00514DC4"/>
    <w:rsid w:val="005164F9"/>
    <w:rsid w:val="00517B66"/>
    <w:rsid w:val="00517ED4"/>
    <w:rsid w:val="005202B4"/>
    <w:rsid w:val="00520A83"/>
    <w:rsid w:val="00520CF4"/>
    <w:rsid w:val="00521DA9"/>
    <w:rsid w:val="005230F3"/>
    <w:rsid w:val="00524736"/>
    <w:rsid w:val="005252B9"/>
    <w:rsid w:val="00525A1E"/>
    <w:rsid w:val="005266AD"/>
    <w:rsid w:val="00526C63"/>
    <w:rsid w:val="0052728A"/>
    <w:rsid w:val="00527D0D"/>
    <w:rsid w:val="00530A86"/>
    <w:rsid w:val="00530E98"/>
    <w:rsid w:val="00530F62"/>
    <w:rsid w:val="00532F70"/>
    <w:rsid w:val="00534955"/>
    <w:rsid w:val="00535410"/>
    <w:rsid w:val="00535C75"/>
    <w:rsid w:val="0053628E"/>
    <w:rsid w:val="005407FD"/>
    <w:rsid w:val="0054091C"/>
    <w:rsid w:val="0054193D"/>
    <w:rsid w:val="00542B7B"/>
    <w:rsid w:val="00544127"/>
    <w:rsid w:val="00544968"/>
    <w:rsid w:val="00545DAA"/>
    <w:rsid w:val="00550229"/>
    <w:rsid w:val="005502AF"/>
    <w:rsid w:val="00550BC9"/>
    <w:rsid w:val="00552578"/>
    <w:rsid w:val="005526A2"/>
    <w:rsid w:val="00552F4E"/>
    <w:rsid w:val="0055303C"/>
    <w:rsid w:val="00553285"/>
    <w:rsid w:val="00553987"/>
    <w:rsid w:val="00553B85"/>
    <w:rsid w:val="0055485F"/>
    <w:rsid w:val="005566E3"/>
    <w:rsid w:val="00556D6C"/>
    <w:rsid w:val="00556DEB"/>
    <w:rsid w:val="00557A1D"/>
    <w:rsid w:val="00557AD7"/>
    <w:rsid w:val="0056007C"/>
    <w:rsid w:val="00560C9F"/>
    <w:rsid w:val="00561020"/>
    <w:rsid w:val="00564CFF"/>
    <w:rsid w:val="00565CA2"/>
    <w:rsid w:val="005667C1"/>
    <w:rsid w:val="00566E30"/>
    <w:rsid w:val="00567D02"/>
    <w:rsid w:val="005711C8"/>
    <w:rsid w:val="005721A3"/>
    <w:rsid w:val="005723A3"/>
    <w:rsid w:val="00573BF2"/>
    <w:rsid w:val="00575119"/>
    <w:rsid w:val="005759FA"/>
    <w:rsid w:val="00575C9E"/>
    <w:rsid w:val="005766F6"/>
    <w:rsid w:val="005768C7"/>
    <w:rsid w:val="0057737E"/>
    <w:rsid w:val="0057749E"/>
    <w:rsid w:val="00577F46"/>
    <w:rsid w:val="005800A8"/>
    <w:rsid w:val="0058052A"/>
    <w:rsid w:val="00581C95"/>
    <w:rsid w:val="00581ECF"/>
    <w:rsid w:val="00582D9A"/>
    <w:rsid w:val="0058315F"/>
    <w:rsid w:val="0058616D"/>
    <w:rsid w:val="0058620A"/>
    <w:rsid w:val="0058675D"/>
    <w:rsid w:val="00586E86"/>
    <w:rsid w:val="00587850"/>
    <w:rsid w:val="00587F43"/>
    <w:rsid w:val="005908CE"/>
    <w:rsid w:val="00590956"/>
    <w:rsid w:val="005911F8"/>
    <w:rsid w:val="00591A63"/>
    <w:rsid w:val="00592A03"/>
    <w:rsid w:val="00592B9F"/>
    <w:rsid w:val="00592CE5"/>
    <w:rsid w:val="00593844"/>
    <w:rsid w:val="00593B02"/>
    <w:rsid w:val="0059473E"/>
    <w:rsid w:val="005947D5"/>
    <w:rsid w:val="005949C8"/>
    <w:rsid w:val="0059559B"/>
    <w:rsid w:val="0059571D"/>
    <w:rsid w:val="00595D44"/>
    <w:rsid w:val="0059754E"/>
    <w:rsid w:val="005A0D56"/>
    <w:rsid w:val="005A0E94"/>
    <w:rsid w:val="005A140E"/>
    <w:rsid w:val="005A2995"/>
    <w:rsid w:val="005A44A6"/>
    <w:rsid w:val="005A5199"/>
    <w:rsid w:val="005A599B"/>
    <w:rsid w:val="005A61DB"/>
    <w:rsid w:val="005A7DB4"/>
    <w:rsid w:val="005B0C9E"/>
    <w:rsid w:val="005B123E"/>
    <w:rsid w:val="005B1C27"/>
    <w:rsid w:val="005B20B0"/>
    <w:rsid w:val="005B215E"/>
    <w:rsid w:val="005B2D38"/>
    <w:rsid w:val="005B3188"/>
    <w:rsid w:val="005B3375"/>
    <w:rsid w:val="005B42F9"/>
    <w:rsid w:val="005B4B33"/>
    <w:rsid w:val="005B4B4E"/>
    <w:rsid w:val="005B4E9E"/>
    <w:rsid w:val="005B58C7"/>
    <w:rsid w:val="005B6DCA"/>
    <w:rsid w:val="005C07A2"/>
    <w:rsid w:val="005C2DB7"/>
    <w:rsid w:val="005C2EC8"/>
    <w:rsid w:val="005C2F07"/>
    <w:rsid w:val="005C3031"/>
    <w:rsid w:val="005C3702"/>
    <w:rsid w:val="005C4323"/>
    <w:rsid w:val="005C46AE"/>
    <w:rsid w:val="005C4AA8"/>
    <w:rsid w:val="005C5F50"/>
    <w:rsid w:val="005C7933"/>
    <w:rsid w:val="005C7D48"/>
    <w:rsid w:val="005D07A4"/>
    <w:rsid w:val="005D0CAF"/>
    <w:rsid w:val="005D0E46"/>
    <w:rsid w:val="005D635D"/>
    <w:rsid w:val="005D7568"/>
    <w:rsid w:val="005D7B63"/>
    <w:rsid w:val="005E05C7"/>
    <w:rsid w:val="005E11EE"/>
    <w:rsid w:val="005E14B8"/>
    <w:rsid w:val="005E17D3"/>
    <w:rsid w:val="005E17FA"/>
    <w:rsid w:val="005E1A02"/>
    <w:rsid w:val="005E2B97"/>
    <w:rsid w:val="005E2F52"/>
    <w:rsid w:val="005E2F6E"/>
    <w:rsid w:val="005E38AF"/>
    <w:rsid w:val="005E48C9"/>
    <w:rsid w:val="005E490F"/>
    <w:rsid w:val="005E5588"/>
    <w:rsid w:val="005E596D"/>
    <w:rsid w:val="005E604F"/>
    <w:rsid w:val="005E74D9"/>
    <w:rsid w:val="005E7745"/>
    <w:rsid w:val="005E78E0"/>
    <w:rsid w:val="005F0640"/>
    <w:rsid w:val="005F0947"/>
    <w:rsid w:val="005F0AE3"/>
    <w:rsid w:val="005F14E7"/>
    <w:rsid w:val="005F177F"/>
    <w:rsid w:val="005F36D2"/>
    <w:rsid w:val="005F3E6E"/>
    <w:rsid w:val="005F40B7"/>
    <w:rsid w:val="005F43A6"/>
    <w:rsid w:val="005F4624"/>
    <w:rsid w:val="005F4AD7"/>
    <w:rsid w:val="005F5169"/>
    <w:rsid w:val="005F71E3"/>
    <w:rsid w:val="006002E2"/>
    <w:rsid w:val="00600A5C"/>
    <w:rsid w:val="00601510"/>
    <w:rsid w:val="00603165"/>
    <w:rsid w:val="006044E4"/>
    <w:rsid w:val="00605D95"/>
    <w:rsid w:val="00607BB9"/>
    <w:rsid w:val="00607CA9"/>
    <w:rsid w:val="00610A32"/>
    <w:rsid w:val="00613146"/>
    <w:rsid w:val="00613751"/>
    <w:rsid w:val="00613B53"/>
    <w:rsid w:val="00614502"/>
    <w:rsid w:val="006159C7"/>
    <w:rsid w:val="0061682E"/>
    <w:rsid w:val="00616EC7"/>
    <w:rsid w:val="00617093"/>
    <w:rsid w:val="00617F9D"/>
    <w:rsid w:val="0062004C"/>
    <w:rsid w:val="00621169"/>
    <w:rsid w:val="00621F48"/>
    <w:rsid w:val="00621F84"/>
    <w:rsid w:val="006227ED"/>
    <w:rsid w:val="00622B9A"/>
    <w:rsid w:val="00623861"/>
    <w:rsid w:val="00623DA2"/>
    <w:rsid w:val="0062499A"/>
    <w:rsid w:val="006249E8"/>
    <w:rsid w:val="0062618C"/>
    <w:rsid w:val="00626279"/>
    <w:rsid w:val="006269E7"/>
    <w:rsid w:val="006270C0"/>
    <w:rsid w:val="006304E1"/>
    <w:rsid w:val="00631864"/>
    <w:rsid w:val="006337A8"/>
    <w:rsid w:val="006366C1"/>
    <w:rsid w:val="0063672A"/>
    <w:rsid w:val="00636B67"/>
    <w:rsid w:val="0063761D"/>
    <w:rsid w:val="00637779"/>
    <w:rsid w:val="00637A62"/>
    <w:rsid w:val="00637D28"/>
    <w:rsid w:val="00642FD5"/>
    <w:rsid w:val="006434B0"/>
    <w:rsid w:val="006454CA"/>
    <w:rsid w:val="006459B3"/>
    <w:rsid w:val="006519DD"/>
    <w:rsid w:val="006539B0"/>
    <w:rsid w:val="0065539F"/>
    <w:rsid w:val="006556BD"/>
    <w:rsid w:val="00655977"/>
    <w:rsid w:val="006565BB"/>
    <w:rsid w:val="00656A26"/>
    <w:rsid w:val="00656EE9"/>
    <w:rsid w:val="00657E76"/>
    <w:rsid w:val="00660414"/>
    <w:rsid w:val="0066104C"/>
    <w:rsid w:val="00661400"/>
    <w:rsid w:val="00661940"/>
    <w:rsid w:val="00663297"/>
    <w:rsid w:val="006636CF"/>
    <w:rsid w:val="00663C06"/>
    <w:rsid w:val="00663D6C"/>
    <w:rsid w:val="00663D94"/>
    <w:rsid w:val="00663F1F"/>
    <w:rsid w:val="00664774"/>
    <w:rsid w:val="006648D5"/>
    <w:rsid w:val="00665277"/>
    <w:rsid w:val="00665278"/>
    <w:rsid w:val="006658A0"/>
    <w:rsid w:val="0066637F"/>
    <w:rsid w:val="006668D4"/>
    <w:rsid w:val="00667C6C"/>
    <w:rsid w:val="00667C9B"/>
    <w:rsid w:val="00667D08"/>
    <w:rsid w:val="00670A67"/>
    <w:rsid w:val="0067110B"/>
    <w:rsid w:val="00671A38"/>
    <w:rsid w:val="0067327D"/>
    <w:rsid w:val="00673569"/>
    <w:rsid w:val="0067605C"/>
    <w:rsid w:val="006761CE"/>
    <w:rsid w:val="006771D0"/>
    <w:rsid w:val="006775FB"/>
    <w:rsid w:val="00677791"/>
    <w:rsid w:val="00680B18"/>
    <w:rsid w:val="00681F16"/>
    <w:rsid w:val="00684680"/>
    <w:rsid w:val="00684990"/>
    <w:rsid w:val="00684C77"/>
    <w:rsid w:val="00684E24"/>
    <w:rsid w:val="006855C6"/>
    <w:rsid w:val="0068619E"/>
    <w:rsid w:val="00686779"/>
    <w:rsid w:val="0069087F"/>
    <w:rsid w:val="00692D66"/>
    <w:rsid w:val="006945E7"/>
    <w:rsid w:val="00694A50"/>
    <w:rsid w:val="00694F4A"/>
    <w:rsid w:val="0069507E"/>
    <w:rsid w:val="00696D17"/>
    <w:rsid w:val="00696F2C"/>
    <w:rsid w:val="006972B0"/>
    <w:rsid w:val="00697E1F"/>
    <w:rsid w:val="00697F40"/>
    <w:rsid w:val="006A07F6"/>
    <w:rsid w:val="006A1BA8"/>
    <w:rsid w:val="006A21EA"/>
    <w:rsid w:val="006A314B"/>
    <w:rsid w:val="006A35D4"/>
    <w:rsid w:val="006A43E2"/>
    <w:rsid w:val="006A57DC"/>
    <w:rsid w:val="006A5E58"/>
    <w:rsid w:val="006A5EED"/>
    <w:rsid w:val="006A6217"/>
    <w:rsid w:val="006A6BCA"/>
    <w:rsid w:val="006A7E90"/>
    <w:rsid w:val="006B1B8A"/>
    <w:rsid w:val="006B2811"/>
    <w:rsid w:val="006B2DFD"/>
    <w:rsid w:val="006B2EE6"/>
    <w:rsid w:val="006B3302"/>
    <w:rsid w:val="006B438E"/>
    <w:rsid w:val="006B4EC6"/>
    <w:rsid w:val="006B58DC"/>
    <w:rsid w:val="006B658E"/>
    <w:rsid w:val="006B7CBD"/>
    <w:rsid w:val="006C050A"/>
    <w:rsid w:val="006C1298"/>
    <w:rsid w:val="006C298F"/>
    <w:rsid w:val="006C2C01"/>
    <w:rsid w:val="006C3C2B"/>
    <w:rsid w:val="006C495C"/>
    <w:rsid w:val="006C5E83"/>
    <w:rsid w:val="006C663A"/>
    <w:rsid w:val="006D0CCA"/>
    <w:rsid w:val="006D20B8"/>
    <w:rsid w:val="006D25DA"/>
    <w:rsid w:val="006D6008"/>
    <w:rsid w:val="006D6213"/>
    <w:rsid w:val="006D792F"/>
    <w:rsid w:val="006E1692"/>
    <w:rsid w:val="006E18B0"/>
    <w:rsid w:val="006E19F5"/>
    <w:rsid w:val="006E1C4C"/>
    <w:rsid w:val="006E26A5"/>
    <w:rsid w:val="006E2DFF"/>
    <w:rsid w:val="006E34A5"/>
    <w:rsid w:val="006E3870"/>
    <w:rsid w:val="006E3CED"/>
    <w:rsid w:val="006E44B0"/>
    <w:rsid w:val="006E4505"/>
    <w:rsid w:val="006E4752"/>
    <w:rsid w:val="006E4E29"/>
    <w:rsid w:val="006E740E"/>
    <w:rsid w:val="006E7D9C"/>
    <w:rsid w:val="006F17E9"/>
    <w:rsid w:val="006F3130"/>
    <w:rsid w:val="006F35CB"/>
    <w:rsid w:val="006F36E2"/>
    <w:rsid w:val="006F3AAB"/>
    <w:rsid w:val="006F3FEC"/>
    <w:rsid w:val="006F4243"/>
    <w:rsid w:val="006F4316"/>
    <w:rsid w:val="006F5A62"/>
    <w:rsid w:val="006F67AC"/>
    <w:rsid w:val="006F6C86"/>
    <w:rsid w:val="006F7187"/>
    <w:rsid w:val="006F749D"/>
    <w:rsid w:val="0070145C"/>
    <w:rsid w:val="007042DF"/>
    <w:rsid w:val="00705A4C"/>
    <w:rsid w:val="00705EA2"/>
    <w:rsid w:val="00705F45"/>
    <w:rsid w:val="007062EF"/>
    <w:rsid w:val="0070632E"/>
    <w:rsid w:val="007063D1"/>
    <w:rsid w:val="00706466"/>
    <w:rsid w:val="007070BE"/>
    <w:rsid w:val="00707EBF"/>
    <w:rsid w:val="00710445"/>
    <w:rsid w:val="00710F69"/>
    <w:rsid w:val="00710FFF"/>
    <w:rsid w:val="00712E7A"/>
    <w:rsid w:val="00713CE0"/>
    <w:rsid w:val="00713E27"/>
    <w:rsid w:val="00714C33"/>
    <w:rsid w:val="00716E94"/>
    <w:rsid w:val="00721EAA"/>
    <w:rsid w:val="00722D32"/>
    <w:rsid w:val="00724961"/>
    <w:rsid w:val="007250E8"/>
    <w:rsid w:val="0072701E"/>
    <w:rsid w:val="00727167"/>
    <w:rsid w:val="00730242"/>
    <w:rsid w:val="007304CA"/>
    <w:rsid w:val="00730EE7"/>
    <w:rsid w:val="0073113F"/>
    <w:rsid w:val="007311B5"/>
    <w:rsid w:val="0073154A"/>
    <w:rsid w:val="00731E36"/>
    <w:rsid w:val="00733B26"/>
    <w:rsid w:val="00734691"/>
    <w:rsid w:val="00734A0C"/>
    <w:rsid w:val="00734ADE"/>
    <w:rsid w:val="00734AF7"/>
    <w:rsid w:val="00735020"/>
    <w:rsid w:val="007350E7"/>
    <w:rsid w:val="007351F3"/>
    <w:rsid w:val="00736700"/>
    <w:rsid w:val="007374EB"/>
    <w:rsid w:val="00737A59"/>
    <w:rsid w:val="00740D81"/>
    <w:rsid w:val="007411E2"/>
    <w:rsid w:val="00741D3C"/>
    <w:rsid w:val="00742DE0"/>
    <w:rsid w:val="00743F92"/>
    <w:rsid w:val="00743FA4"/>
    <w:rsid w:val="00744A30"/>
    <w:rsid w:val="00745BD0"/>
    <w:rsid w:val="00745FE4"/>
    <w:rsid w:val="00746B51"/>
    <w:rsid w:val="00746CC5"/>
    <w:rsid w:val="00746D79"/>
    <w:rsid w:val="00750481"/>
    <w:rsid w:val="00751012"/>
    <w:rsid w:val="00751177"/>
    <w:rsid w:val="00752675"/>
    <w:rsid w:val="00752C2D"/>
    <w:rsid w:val="00752D2A"/>
    <w:rsid w:val="00753A25"/>
    <w:rsid w:val="00753A51"/>
    <w:rsid w:val="00753C91"/>
    <w:rsid w:val="00755698"/>
    <w:rsid w:val="00756C49"/>
    <w:rsid w:val="0076016C"/>
    <w:rsid w:val="0076078B"/>
    <w:rsid w:val="00761F43"/>
    <w:rsid w:val="00763641"/>
    <w:rsid w:val="00763F7D"/>
    <w:rsid w:val="00764062"/>
    <w:rsid w:val="007642CF"/>
    <w:rsid w:val="0076471C"/>
    <w:rsid w:val="0076680B"/>
    <w:rsid w:val="007675CA"/>
    <w:rsid w:val="00767DA5"/>
    <w:rsid w:val="0077044A"/>
    <w:rsid w:val="00770679"/>
    <w:rsid w:val="00770D5C"/>
    <w:rsid w:val="0077117F"/>
    <w:rsid w:val="007723A5"/>
    <w:rsid w:val="00772576"/>
    <w:rsid w:val="00772962"/>
    <w:rsid w:val="00773155"/>
    <w:rsid w:val="00773B93"/>
    <w:rsid w:val="00775265"/>
    <w:rsid w:val="007755D4"/>
    <w:rsid w:val="007757CD"/>
    <w:rsid w:val="00777037"/>
    <w:rsid w:val="00777ED4"/>
    <w:rsid w:val="00780D0A"/>
    <w:rsid w:val="00782B86"/>
    <w:rsid w:val="00782B8E"/>
    <w:rsid w:val="00783236"/>
    <w:rsid w:val="00783DBE"/>
    <w:rsid w:val="00784551"/>
    <w:rsid w:val="00785254"/>
    <w:rsid w:val="007853DC"/>
    <w:rsid w:val="00787FC0"/>
    <w:rsid w:val="00790565"/>
    <w:rsid w:val="00790BCD"/>
    <w:rsid w:val="007932C3"/>
    <w:rsid w:val="00793385"/>
    <w:rsid w:val="00793762"/>
    <w:rsid w:val="00794E3E"/>
    <w:rsid w:val="00794F3E"/>
    <w:rsid w:val="007971FA"/>
    <w:rsid w:val="007975B4"/>
    <w:rsid w:val="007A068C"/>
    <w:rsid w:val="007A0B77"/>
    <w:rsid w:val="007A22A0"/>
    <w:rsid w:val="007A2E00"/>
    <w:rsid w:val="007A3BC4"/>
    <w:rsid w:val="007A516D"/>
    <w:rsid w:val="007A5511"/>
    <w:rsid w:val="007A600F"/>
    <w:rsid w:val="007A6010"/>
    <w:rsid w:val="007A634B"/>
    <w:rsid w:val="007A685F"/>
    <w:rsid w:val="007A6F35"/>
    <w:rsid w:val="007B01E6"/>
    <w:rsid w:val="007B0D77"/>
    <w:rsid w:val="007B21A2"/>
    <w:rsid w:val="007B24BF"/>
    <w:rsid w:val="007B34BD"/>
    <w:rsid w:val="007B4A25"/>
    <w:rsid w:val="007B4F97"/>
    <w:rsid w:val="007B551D"/>
    <w:rsid w:val="007B5BF6"/>
    <w:rsid w:val="007B7974"/>
    <w:rsid w:val="007B7CF9"/>
    <w:rsid w:val="007C03B7"/>
    <w:rsid w:val="007C0812"/>
    <w:rsid w:val="007C2ADC"/>
    <w:rsid w:val="007C3C20"/>
    <w:rsid w:val="007C4208"/>
    <w:rsid w:val="007C444A"/>
    <w:rsid w:val="007C5AD1"/>
    <w:rsid w:val="007C5B9F"/>
    <w:rsid w:val="007C692C"/>
    <w:rsid w:val="007D3109"/>
    <w:rsid w:val="007D3462"/>
    <w:rsid w:val="007D3D82"/>
    <w:rsid w:val="007D4D38"/>
    <w:rsid w:val="007D4EF1"/>
    <w:rsid w:val="007D59EC"/>
    <w:rsid w:val="007D5B6E"/>
    <w:rsid w:val="007D5E00"/>
    <w:rsid w:val="007D72AA"/>
    <w:rsid w:val="007D7D35"/>
    <w:rsid w:val="007E0835"/>
    <w:rsid w:val="007E0A73"/>
    <w:rsid w:val="007E0C24"/>
    <w:rsid w:val="007E0F3D"/>
    <w:rsid w:val="007E3344"/>
    <w:rsid w:val="007E37A8"/>
    <w:rsid w:val="007E415F"/>
    <w:rsid w:val="007E4F68"/>
    <w:rsid w:val="007E58FD"/>
    <w:rsid w:val="007E667C"/>
    <w:rsid w:val="007E6AD6"/>
    <w:rsid w:val="007E6D57"/>
    <w:rsid w:val="007E6E59"/>
    <w:rsid w:val="007E77E6"/>
    <w:rsid w:val="007F03A9"/>
    <w:rsid w:val="007F0540"/>
    <w:rsid w:val="007F207B"/>
    <w:rsid w:val="007F23BF"/>
    <w:rsid w:val="007F33B8"/>
    <w:rsid w:val="007F4C5D"/>
    <w:rsid w:val="007F62E4"/>
    <w:rsid w:val="007F78F1"/>
    <w:rsid w:val="007F794C"/>
    <w:rsid w:val="0080072F"/>
    <w:rsid w:val="00800747"/>
    <w:rsid w:val="00801BDF"/>
    <w:rsid w:val="00801C6B"/>
    <w:rsid w:val="00801FEC"/>
    <w:rsid w:val="008020CE"/>
    <w:rsid w:val="00802B4D"/>
    <w:rsid w:val="00803542"/>
    <w:rsid w:val="00803879"/>
    <w:rsid w:val="00803DE6"/>
    <w:rsid w:val="00803E6C"/>
    <w:rsid w:val="008042A7"/>
    <w:rsid w:val="0080433C"/>
    <w:rsid w:val="0080522C"/>
    <w:rsid w:val="008053EC"/>
    <w:rsid w:val="00806825"/>
    <w:rsid w:val="0080775C"/>
    <w:rsid w:val="00807A95"/>
    <w:rsid w:val="00807C44"/>
    <w:rsid w:val="00810229"/>
    <w:rsid w:val="00811AB0"/>
    <w:rsid w:val="00812900"/>
    <w:rsid w:val="008129B7"/>
    <w:rsid w:val="00812F45"/>
    <w:rsid w:val="00813151"/>
    <w:rsid w:val="008131A1"/>
    <w:rsid w:val="00813D2F"/>
    <w:rsid w:val="00814E35"/>
    <w:rsid w:val="008154F3"/>
    <w:rsid w:val="00815584"/>
    <w:rsid w:val="0081574E"/>
    <w:rsid w:val="00815E39"/>
    <w:rsid w:val="0081638A"/>
    <w:rsid w:val="00816B8C"/>
    <w:rsid w:val="00816E64"/>
    <w:rsid w:val="00817208"/>
    <w:rsid w:val="00820C74"/>
    <w:rsid w:val="00821125"/>
    <w:rsid w:val="0082122E"/>
    <w:rsid w:val="00821E53"/>
    <w:rsid w:val="0082281D"/>
    <w:rsid w:val="008229DC"/>
    <w:rsid w:val="00823004"/>
    <w:rsid w:val="00823A75"/>
    <w:rsid w:val="00825073"/>
    <w:rsid w:val="008263E8"/>
    <w:rsid w:val="00827642"/>
    <w:rsid w:val="00827D3D"/>
    <w:rsid w:val="00830DA5"/>
    <w:rsid w:val="0083140A"/>
    <w:rsid w:val="00832204"/>
    <w:rsid w:val="008325F7"/>
    <w:rsid w:val="00832C2D"/>
    <w:rsid w:val="00833913"/>
    <w:rsid w:val="00834134"/>
    <w:rsid w:val="00835818"/>
    <w:rsid w:val="0083595F"/>
    <w:rsid w:val="00835D3A"/>
    <w:rsid w:val="00836890"/>
    <w:rsid w:val="008379B3"/>
    <w:rsid w:val="00837E88"/>
    <w:rsid w:val="008406B2"/>
    <w:rsid w:val="00842116"/>
    <w:rsid w:val="008427C3"/>
    <w:rsid w:val="00842AD6"/>
    <w:rsid w:val="00842B9A"/>
    <w:rsid w:val="0084401F"/>
    <w:rsid w:val="008441A4"/>
    <w:rsid w:val="00844BBF"/>
    <w:rsid w:val="00845269"/>
    <w:rsid w:val="008462E4"/>
    <w:rsid w:val="00846A11"/>
    <w:rsid w:val="008473DB"/>
    <w:rsid w:val="0084787C"/>
    <w:rsid w:val="008501B9"/>
    <w:rsid w:val="00850225"/>
    <w:rsid w:val="008517DE"/>
    <w:rsid w:val="00852B73"/>
    <w:rsid w:val="00852C47"/>
    <w:rsid w:val="00853537"/>
    <w:rsid w:val="00853725"/>
    <w:rsid w:val="0085449E"/>
    <w:rsid w:val="008551EE"/>
    <w:rsid w:val="008558A2"/>
    <w:rsid w:val="00857D76"/>
    <w:rsid w:val="0086154A"/>
    <w:rsid w:val="00862B5C"/>
    <w:rsid w:val="008647A0"/>
    <w:rsid w:val="008649AD"/>
    <w:rsid w:val="00864F47"/>
    <w:rsid w:val="008654DF"/>
    <w:rsid w:val="00865620"/>
    <w:rsid w:val="0086702B"/>
    <w:rsid w:val="00870195"/>
    <w:rsid w:val="008702CA"/>
    <w:rsid w:val="00870791"/>
    <w:rsid w:val="008714F1"/>
    <w:rsid w:val="008715B2"/>
    <w:rsid w:val="00871E3F"/>
    <w:rsid w:val="00872668"/>
    <w:rsid w:val="00872B08"/>
    <w:rsid w:val="00874267"/>
    <w:rsid w:val="00874BFF"/>
    <w:rsid w:val="00874ED0"/>
    <w:rsid w:val="00874FAC"/>
    <w:rsid w:val="00875058"/>
    <w:rsid w:val="00875EFF"/>
    <w:rsid w:val="00875FF2"/>
    <w:rsid w:val="00876260"/>
    <w:rsid w:val="0087635C"/>
    <w:rsid w:val="00876C82"/>
    <w:rsid w:val="00876F69"/>
    <w:rsid w:val="008771C5"/>
    <w:rsid w:val="00880D0F"/>
    <w:rsid w:val="00881A6E"/>
    <w:rsid w:val="008820CC"/>
    <w:rsid w:val="00884179"/>
    <w:rsid w:val="00884429"/>
    <w:rsid w:val="008849BC"/>
    <w:rsid w:val="00884D74"/>
    <w:rsid w:val="008853F4"/>
    <w:rsid w:val="00885426"/>
    <w:rsid w:val="00885D51"/>
    <w:rsid w:val="00886287"/>
    <w:rsid w:val="008870E3"/>
    <w:rsid w:val="00890010"/>
    <w:rsid w:val="0089206A"/>
    <w:rsid w:val="0089273E"/>
    <w:rsid w:val="00893D61"/>
    <w:rsid w:val="00893E3C"/>
    <w:rsid w:val="0089496B"/>
    <w:rsid w:val="0089581E"/>
    <w:rsid w:val="00895B76"/>
    <w:rsid w:val="00896103"/>
    <w:rsid w:val="008A0264"/>
    <w:rsid w:val="008A0611"/>
    <w:rsid w:val="008A1688"/>
    <w:rsid w:val="008A1B10"/>
    <w:rsid w:val="008A2FE6"/>
    <w:rsid w:val="008A3C4A"/>
    <w:rsid w:val="008A41E4"/>
    <w:rsid w:val="008A42D3"/>
    <w:rsid w:val="008A4F74"/>
    <w:rsid w:val="008A5D20"/>
    <w:rsid w:val="008A62F2"/>
    <w:rsid w:val="008B0383"/>
    <w:rsid w:val="008B0A69"/>
    <w:rsid w:val="008B0B8A"/>
    <w:rsid w:val="008B0FED"/>
    <w:rsid w:val="008B1501"/>
    <w:rsid w:val="008B3298"/>
    <w:rsid w:val="008B3B45"/>
    <w:rsid w:val="008B3E90"/>
    <w:rsid w:val="008B4A42"/>
    <w:rsid w:val="008B4D6C"/>
    <w:rsid w:val="008B5B5D"/>
    <w:rsid w:val="008B67BA"/>
    <w:rsid w:val="008B6CE7"/>
    <w:rsid w:val="008B7F91"/>
    <w:rsid w:val="008C2250"/>
    <w:rsid w:val="008C2A72"/>
    <w:rsid w:val="008C3A9B"/>
    <w:rsid w:val="008C44DD"/>
    <w:rsid w:val="008C50A5"/>
    <w:rsid w:val="008C56AF"/>
    <w:rsid w:val="008C593D"/>
    <w:rsid w:val="008D1B5A"/>
    <w:rsid w:val="008D1E15"/>
    <w:rsid w:val="008D3361"/>
    <w:rsid w:val="008D4459"/>
    <w:rsid w:val="008D6C27"/>
    <w:rsid w:val="008D6C88"/>
    <w:rsid w:val="008D70BA"/>
    <w:rsid w:val="008D76F6"/>
    <w:rsid w:val="008D7C8E"/>
    <w:rsid w:val="008D7CCF"/>
    <w:rsid w:val="008D7D30"/>
    <w:rsid w:val="008E22C9"/>
    <w:rsid w:val="008E2F62"/>
    <w:rsid w:val="008E3B6D"/>
    <w:rsid w:val="008E43A3"/>
    <w:rsid w:val="008E4916"/>
    <w:rsid w:val="008E4AF6"/>
    <w:rsid w:val="008E5140"/>
    <w:rsid w:val="008E52BC"/>
    <w:rsid w:val="008E6749"/>
    <w:rsid w:val="008E6B05"/>
    <w:rsid w:val="008F0657"/>
    <w:rsid w:val="008F0A1B"/>
    <w:rsid w:val="008F2D2B"/>
    <w:rsid w:val="008F3998"/>
    <w:rsid w:val="008F3F0B"/>
    <w:rsid w:val="008F53E2"/>
    <w:rsid w:val="008F58CE"/>
    <w:rsid w:val="008F6145"/>
    <w:rsid w:val="008F6330"/>
    <w:rsid w:val="008F6648"/>
    <w:rsid w:val="008F685E"/>
    <w:rsid w:val="008F6DDC"/>
    <w:rsid w:val="008F7015"/>
    <w:rsid w:val="008F725D"/>
    <w:rsid w:val="009013D1"/>
    <w:rsid w:val="00901FEC"/>
    <w:rsid w:val="00902E81"/>
    <w:rsid w:val="009030DB"/>
    <w:rsid w:val="009032A4"/>
    <w:rsid w:val="00904B21"/>
    <w:rsid w:val="00905350"/>
    <w:rsid w:val="00905FE5"/>
    <w:rsid w:val="00906AB2"/>
    <w:rsid w:val="00906F69"/>
    <w:rsid w:val="0090767E"/>
    <w:rsid w:val="0091030E"/>
    <w:rsid w:val="009109AE"/>
    <w:rsid w:val="00911EE9"/>
    <w:rsid w:val="009123E3"/>
    <w:rsid w:val="009143C7"/>
    <w:rsid w:val="00914547"/>
    <w:rsid w:val="00915312"/>
    <w:rsid w:val="0091567E"/>
    <w:rsid w:val="009163DC"/>
    <w:rsid w:val="00916706"/>
    <w:rsid w:val="00916A8C"/>
    <w:rsid w:val="009173DC"/>
    <w:rsid w:val="00917776"/>
    <w:rsid w:val="00920266"/>
    <w:rsid w:val="00920584"/>
    <w:rsid w:val="00921145"/>
    <w:rsid w:val="00921469"/>
    <w:rsid w:val="0092225F"/>
    <w:rsid w:val="00923621"/>
    <w:rsid w:val="00924CB9"/>
    <w:rsid w:val="00925A57"/>
    <w:rsid w:val="00926A43"/>
    <w:rsid w:val="00927643"/>
    <w:rsid w:val="00927D18"/>
    <w:rsid w:val="00930045"/>
    <w:rsid w:val="009301AB"/>
    <w:rsid w:val="00932870"/>
    <w:rsid w:val="00932A47"/>
    <w:rsid w:val="00932BC5"/>
    <w:rsid w:val="00932BC8"/>
    <w:rsid w:val="00932DBD"/>
    <w:rsid w:val="00933458"/>
    <w:rsid w:val="00935A25"/>
    <w:rsid w:val="00935C14"/>
    <w:rsid w:val="00935F51"/>
    <w:rsid w:val="00936226"/>
    <w:rsid w:val="00936859"/>
    <w:rsid w:val="009374D7"/>
    <w:rsid w:val="009374F3"/>
    <w:rsid w:val="00937C98"/>
    <w:rsid w:val="00941F7A"/>
    <w:rsid w:val="009425C8"/>
    <w:rsid w:val="00942738"/>
    <w:rsid w:val="00943BBF"/>
    <w:rsid w:val="00944BAD"/>
    <w:rsid w:val="00945899"/>
    <w:rsid w:val="009465F2"/>
    <w:rsid w:val="00947E2D"/>
    <w:rsid w:val="009508D0"/>
    <w:rsid w:val="009529A0"/>
    <w:rsid w:val="00953C8C"/>
    <w:rsid w:val="00955FEC"/>
    <w:rsid w:val="00957EB7"/>
    <w:rsid w:val="00960E6A"/>
    <w:rsid w:val="00960E7C"/>
    <w:rsid w:val="009623FD"/>
    <w:rsid w:val="00962869"/>
    <w:rsid w:val="00962A59"/>
    <w:rsid w:val="00962B1A"/>
    <w:rsid w:val="009630F2"/>
    <w:rsid w:val="009634DB"/>
    <w:rsid w:val="00964198"/>
    <w:rsid w:val="009651A1"/>
    <w:rsid w:val="009660B2"/>
    <w:rsid w:val="0096618F"/>
    <w:rsid w:val="00967803"/>
    <w:rsid w:val="0097093C"/>
    <w:rsid w:val="00970DDD"/>
    <w:rsid w:val="0097110F"/>
    <w:rsid w:val="00971B78"/>
    <w:rsid w:val="00971D3D"/>
    <w:rsid w:val="009721C4"/>
    <w:rsid w:val="009728D3"/>
    <w:rsid w:val="00975033"/>
    <w:rsid w:val="00975372"/>
    <w:rsid w:val="0097566D"/>
    <w:rsid w:val="00976A09"/>
    <w:rsid w:val="00976E63"/>
    <w:rsid w:val="00977A51"/>
    <w:rsid w:val="009807D5"/>
    <w:rsid w:val="00980AD0"/>
    <w:rsid w:val="00981631"/>
    <w:rsid w:val="0098270A"/>
    <w:rsid w:val="00982CDB"/>
    <w:rsid w:val="0098438B"/>
    <w:rsid w:val="0098445F"/>
    <w:rsid w:val="00984D08"/>
    <w:rsid w:val="00985122"/>
    <w:rsid w:val="0098520D"/>
    <w:rsid w:val="00986082"/>
    <w:rsid w:val="00990D43"/>
    <w:rsid w:val="00990D60"/>
    <w:rsid w:val="00991650"/>
    <w:rsid w:val="0099219C"/>
    <w:rsid w:val="00992C93"/>
    <w:rsid w:val="00993B7F"/>
    <w:rsid w:val="00995DCE"/>
    <w:rsid w:val="00996221"/>
    <w:rsid w:val="00996AA4"/>
    <w:rsid w:val="00996FC0"/>
    <w:rsid w:val="009971EC"/>
    <w:rsid w:val="00997907"/>
    <w:rsid w:val="00997DC1"/>
    <w:rsid w:val="009A019A"/>
    <w:rsid w:val="009A0C53"/>
    <w:rsid w:val="009A1C44"/>
    <w:rsid w:val="009A3893"/>
    <w:rsid w:val="009A3A53"/>
    <w:rsid w:val="009A5420"/>
    <w:rsid w:val="009A6CB3"/>
    <w:rsid w:val="009A78F1"/>
    <w:rsid w:val="009B134A"/>
    <w:rsid w:val="009B1B03"/>
    <w:rsid w:val="009B29E6"/>
    <w:rsid w:val="009B3C77"/>
    <w:rsid w:val="009B40D9"/>
    <w:rsid w:val="009C0951"/>
    <w:rsid w:val="009C0CDC"/>
    <w:rsid w:val="009C1316"/>
    <w:rsid w:val="009C188F"/>
    <w:rsid w:val="009C277C"/>
    <w:rsid w:val="009C2E23"/>
    <w:rsid w:val="009C36A8"/>
    <w:rsid w:val="009C4269"/>
    <w:rsid w:val="009C588C"/>
    <w:rsid w:val="009C672C"/>
    <w:rsid w:val="009C6A23"/>
    <w:rsid w:val="009C7F70"/>
    <w:rsid w:val="009D06CC"/>
    <w:rsid w:val="009D0BDE"/>
    <w:rsid w:val="009D179E"/>
    <w:rsid w:val="009D1AAC"/>
    <w:rsid w:val="009D23CF"/>
    <w:rsid w:val="009D3B91"/>
    <w:rsid w:val="009D40F7"/>
    <w:rsid w:val="009D4DB0"/>
    <w:rsid w:val="009D5853"/>
    <w:rsid w:val="009D58C2"/>
    <w:rsid w:val="009D6080"/>
    <w:rsid w:val="009D6820"/>
    <w:rsid w:val="009D711E"/>
    <w:rsid w:val="009D74D8"/>
    <w:rsid w:val="009E069D"/>
    <w:rsid w:val="009E10DE"/>
    <w:rsid w:val="009E139D"/>
    <w:rsid w:val="009E13CC"/>
    <w:rsid w:val="009E16FF"/>
    <w:rsid w:val="009E2575"/>
    <w:rsid w:val="009E2A59"/>
    <w:rsid w:val="009E2BAA"/>
    <w:rsid w:val="009E2E8B"/>
    <w:rsid w:val="009E5CD1"/>
    <w:rsid w:val="009E6EAA"/>
    <w:rsid w:val="009E7145"/>
    <w:rsid w:val="009E72CA"/>
    <w:rsid w:val="009E768B"/>
    <w:rsid w:val="009F09C4"/>
    <w:rsid w:val="009F442D"/>
    <w:rsid w:val="009F51DF"/>
    <w:rsid w:val="009F5D62"/>
    <w:rsid w:val="009F5D63"/>
    <w:rsid w:val="009F66C3"/>
    <w:rsid w:val="009F7748"/>
    <w:rsid w:val="009F7FF4"/>
    <w:rsid w:val="00A008CA"/>
    <w:rsid w:val="00A01850"/>
    <w:rsid w:val="00A04784"/>
    <w:rsid w:val="00A05F33"/>
    <w:rsid w:val="00A07122"/>
    <w:rsid w:val="00A107C8"/>
    <w:rsid w:val="00A10FB7"/>
    <w:rsid w:val="00A11BF1"/>
    <w:rsid w:val="00A1221B"/>
    <w:rsid w:val="00A12BA5"/>
    <w:rsid w:val="00A137F4"/>
    <w:rsid w:val="00A16015"/>
    <w:rsid w:val="00A172F6"/>
    <w:rsid w:val="00A206E8"/>
    <w:rsid w:val="00A208FB"/>
    <w:rsid w:val="00A20C64"/>
    <w:rsid w:val="00A20C6B"/>
    <w:rsid w:val="00A21885"/>
    <w:rsid w:val="00A22C54"/>
    <w:rsid w:val="00A22C5D"/>
    <w:rsid w:val="00A23FCA"/>
    <w:rsid w:val="00A248C5"/>
    <w:rsid w:val="00A250E1"/>
    <w:rsid w:val="00A25AF7"/>
    <w:rsid w:val="00A2657B"/>
    <w:rsid w:val="00A2694E"/>
    <w:rsid w:val="00A275D7"/>
    <w:rsid w:val="00A27ABD"/>
    <w:rsid w:val="00A27FBA"/>
    <w:rsid w:val="00A3057F"/>
    <w:rsid w:val="00A30D35"/>
    <w:rsid w:val="00A319D4"/>
    <w:rsid w:val="00A31A35"/>
    <w:rsid w:val="00A31CC7"/>
    <w:rsid w:val="00A322D5"/>
    <w:rsid w:val="00A328FD"/>
    <w:rsid w:val="00A33324"/>
    <w:rsid w:val="00A33591"/>
    <w:rsid w:val="00A3387D"/>
    <w:rsid w:val="00A3485C"/>
    <w:rsid w:val="00A34CD4"/>
    <w:rsid w:val="00A34F51"/>
    <w:rsid w:val="00A35240"/>
    <w:rsid w:val="00A3562F"/>
    <w:rsid w:val="00A369B1"/>
    <w:rsid w:val="00A4094C"/>
    <w:rsid w:val="00A41E40"/>
    <w:rsid w:val="00A41FBE"/>
    <w:rsid w:val="00A42373"/>
    <w:rsid w:val="00A42BB0"/>
    <w:rsid w:val="00A44028"/>
    <w:rsid w:val="00A445AC"/>
    <w:rsid w:val="00A4604E"/>
    <w:rsid w:val="00A46C00"/>
    <w:rsid w:val="00A46D88"/>
    <w:rsid w:val="00A47AA6"/>
    <w:rsid w:val="00A47F09"/>
    <w:rsid w:val="00A502B3"/>
    <w:rsid w:val="00A5264F"/>
    <w:rsid w:val="00A526AF"/>
    <w:rsid w:val="00A529F4"/>
    <w:rsid w:val="00A53F74"/>
    <w:rsid w:val="00A551AB"/>
    <w:rsid w:val="00A5533B"/>
    <w:rsid w:val="00A559C4"/>
    <w:rsid w:val="00A571DA"/>
    <w:rsid w:val="00A573C3"/>
    <w:rsid w:val="00A57DE2"/>
    <w:rsid w:val="00A6032A"/>
    <w:rsid w:val="00A604E1"/>
    <w:rsid w:val="00A60D68"/>
    <w:rsid w:val="00A61957"/>
    <w:rsid w:val="00A61C95"/>
    <w:rsid w:val="00A62995"/>
    <w:rsid w:val="00A6455C"/>
    <w:rsid w:val="00A64EE4"/>
    <w:rsid w:val="00A66AF5"/>
    <w:rsid w:val="00A7079D"/>
    <w:rsid w:val="00A710B2"/>
    <w:rsid w:val="00A72064"/>
    <w:rsid w:val="00A720FE"/>
    <w:rsid w:val="00A7397D"/>
    <w:rsid w:val="00A73A08"/>
    <w:rsid w:val="00A73CF3"/>
    <w:rsid w:val="00A73F32"/>
    <w:rsid w:val="00A74614"/>
    <w:rsid w:val="00A7493E"/>
    <w:rsid w:val="00A76D33"/>
    <w:rsid w:val="00A777D0"/>
    <w:rsid w:val="00A77ACA"/>
    <w:rsid w:val="00A80487"/>
    <w:rsid w:val="00A80FD6"/>
    <w:rsid w:val="00A82949"/>
    <w:rsid w:val="00A82CCC"/>
    <w:rsid w:val="00A8448D"/>
    <w:rsid w:val="00A861B3"/>
    <w:rsid w:val="00A86CF0"/>
    <w:rsid w:val="00A8792C"/>
    <w:rsid w:val="00A87F4E"/>
    <w:rsid w:val="00A90E34"/>
    <w:rsid w:val="00A9133B"/>
    <w:rsid w:val="00A932CB"/>
    <w:rsid w:val="00A94B97"/>
    <w:rsid w:val="00A964BA"/>
    <w:rsid w:val="00A96DCC"/>
    <w:rsid w:val="00A97367"/>
    <w:rsid w:val="00A9765B"/>
    <w:rsid w:val="00AA0C61"/>
    <w:rsid w:val="00AA200D"/>
    <w:rsid w:val="00AA298C"/>
    <w:rsid w:val="00AA2FA0"/>
    <w:rsid w:val="00AA2FB2"/>
    <w:rsid w:val="00AA3017"/>
    <w:rsid w:val="00AA5A50"/>
    <w:rsid w:val="00AA66B6"/>
    <w:rsid w:val="00AA69AD"/>
    <w:rsid w:val="00AA75D7"/>
    <w:rsid w:val="00AA7A27"/>
    <w:rsid w:val="00AB0E50"/>
    <w:rsid w:val="00AB1E53"/>
    <w:rsid w:val="00AB1F1E"/>
    <w:rsid w:val="00AB2C50"/>
    <w:rsid w:val="00AB423D"/>
    <w:rsid w:val="00AB7CA4"/>
    <w:rsid w:val="00AC1C18"/>
    <w:rsid w:val="00AC2457"/>
    <w:rsid w:val="00AC2CEF"/>
    <w:rsid w:val="00AC345B"/>
    <w:rsid w:val="00AC4A74"/>
    <w:rsid w:val="00AC4DDC"/>
    <w:rsid w:val="00AC59E6"/>
    <w:rsid w:val="00AC5D9E"/>
    <w:rsid w:val="00AC5E26"/>
    <w:rsid w:val="00AC72C9"/>
    <w:rsid w:val="00AC73B3"/>
    <w:rsid w:val="00AD080A"/>
    <w:rsid w:val="00AD0EF3"/>
    <w:rsid w:val="00AD1702"/>
    <w:rsid w:val="00AD193F"/>
    <w:rsid w:val="00AD23B5"/>
    <w:rsid w:val="00AD366C"/>
    <w:rsid w:val="00AD4554"/>
    <w:rsid w:val="00AD54D7"/>
    <w:rsid w:val="00AD5C06"/>
    <w:rsid w:val="00AD6271"/>
    <w:rsid w:val="00AD6996"/>
    <w:rsid w:val="00AD6E5D"/>
    <w:rsid w:val="00AE13A5"/>
    <w:rsid w:val="00AE198A"/>
    <w:rsid w:val="00AE3F15"/>
    <w:rsid w:val="00AE47B2"/>
    <w:rsid w:val="00AE4996"/>
    <w:rsid w:val="00AE5CAC"/>
    <w:rsid w:val="00AE6469"/>
    <w:rsid w:val="00AE75F7"/>
    <w:rsid w:val="00AF0A01"/>
    <w:rsid w:val="00AF14D4"/>
    <w:rsid w:val="00AF1D43"/>
    <w:rsid w:val="00AF2050"/>
    <w:rsid w:val="00AF2B02"/>
    <w:rsid w:val="00AF3134"/>
    <w:rsid w:val="00AF3177"/>
    <w:rsid w:val="00AF3A1E"/>
    <w:rsid w:val="00AF3E5A"/>
    <w:rsid w:val="00AF4660"/>
    <w:rsid w:val="00AF5146"/>
    <w:rsid w:val="00AF5C85"/>
    <w:rsid w:val="00AF60E0"/>
    <w:rsid w:val="00AF6AE5"/>
    <w:rsid w:val="00AF7197"/>
    <w:rsid w:val="00B001F0"/>
    <w:rsid w:val="00B00AFB"/>
    <w:rsid w:val="00B011F7"/>
    <w:rsid w:val="00B012AE"/>
    <w:rsid w:val="00B033CD"/>
    <w:rsid w:val="00B04AA3"/>
    <w:rsid w:val="00B04E5D"/>
    <w:rsid w:val="00B05378"/>
    <w:rsid w:val="00B05CAC"/>
    <w:rsid w:val="00B060FE"/>
    <w:rsid w:val="00B0734B"/>
    <w:rsid w:val="00B07F5B"/>
    <w:rsid w:val="00B10DED"/>
    <w:rsid w:val="00B1143F"/>
    <w:rsid w:val="00B134A0"/>
    <w:rsid w:val="00B13E20"/>
    <w:rsid w:val="00B14F70"/>
    <w:rsid w:val="00B16223"/>
    <w:rsid w:val="00B1664A"/>
    <w:rsid w:val="00B16927"/>
    <w:rsid w:val="00B17CE8"/>
    <w:rsid w:val="00B2097A"/>
    <w:rsid w:val="00B22ADA"/>
    <w:rsid w:val="00B22EA1"/>
    <w:rsid w:val="00B2311D"/>
    <w:rsid w:val="00B2386E"/>
    <w:rsid w:val="00B25EB9"/>
    <w:rsid w:val="00B25F82"/>
    <w:rsid w:val="00B262ED"/>
    <w:rsid w:val="00B31041"/>
    <w:rsid w:val="00B32D46"/>
    <w:rsid w:val="00B33F80"/>
    <w:rsid w:val="00B34BB3"/>
    <w:rsid w:val="00B35283"/>
    <w:rsid w:val="00B35661"/>
    <w:rsid w:val="00B35C5D"/>
    <w:rsid w:val="00B35F0C"/>
    <w:rsid w:val="00B35F86"/>
    <w:rsid w:val="00B36753"/>
    <w:rsid w:val="00B36B31"/>
    <w:rsid w:val="00B36BB8"/>
    <w:rsid w:val="00B36E3C"/>
    <w:rsid w:val="00B36FC0"/>
    <w:rsid w:val="00B37350"/>
    <w:rsid w:val="00B37809"/>
    <w:rsid w:val="00B37E72"/>
    <w:rsid w:val="00B37F6A"/>
    <w:rsid w:val="00B40B0F"/>
    <w:rsid w:val="00B41D6A"/>
    <w:rsid w:val="00B42228"/>
    <w:rsid w:val="00B44A7D"/>
    <w:rsid w:val="00B461D7"/>
    <w:rsid w:val="00B46A1A"/>
    <w:rsid w:val="00B50564"/>
    <w:rsid w:val="00B510FB"/>
    <w:rsid w:val="00B51692"/>
    <w:rsid w:val="00B51FFD"/>
    <w:rsid w:val="00B52ABA"/>
    <w:rsid w:val="00B53CE9"/>
    <w:rsid w:val="00B53DC6"/>
    <w:rsid w:val="00B53E2A"/>
    <w:rsid w:val="00B543C3"/>
    <w:rsid w:val="00B55631"/>
    <w:rsid w:val="00B56188"/>
    <w:rsid w:val="00B57706"/>
    <w:rsid w:val="00B57C0C"/>
    <w:rsid w:val="00B57CAC"/>
    <w:rsid w:val="00B6177C"/>
    <w:rsid w:val="00B61D26"/>
    <w:rsid w:val="00B61D27"/>
    <w:rsid w:val="00B624D6"/>
    <w:rsid w:val="00B6319C"/>
    <w:rsid w:val="00B632E7"/>
    <w:rsid w:val="00B6337D"/>
    <w:rsid w:val="00B6523F"/>
    <w:rsid w:val="00B6596B"/>
    <w:rsid w:val="00B65DA7"/>
    <w:rsid w:val="00B703D0"/>
    <w:rsid w:val="00B706AA"/>
    <w:rsid w:val="00B70F9C"/>
    <w:rsid w:val="00B726A4"/>
    <w:rsid w:val="00B72BFC"/>
    <w:rsid w:val="00B73D0E"/>
    <w:rsid w:val="00B76270"/>
    <w:rsid w:val="00B76293"/>
    <w:rsid w:val="00B76953"/>
    <w:rsid w:val="00B7718F"/>
    <w:rsid w:val="00B772CA"/>
    <w:rsid w:val="00B77D78"/>
    <w:rsid w:val="00B8197A"/>
    <w:rsid w:val="00B82133"/>
    <w:rsid w:val="00B8420F"/>
    <w:rsid w:val="00B8451A"/>
    <w:rsid w:val="00B8504B"/>
    <w:rsid w:val="00B85109"/>
    <w:rsid w:val="00B85C5F"/>
    <w:rsid w:val="00B86BA4"/>
    <w:rsid w:val="00B87EC9"/>
    <w:rsid w:val="00B87F04"/>
    <w:rsid w:val="00B9160E"/>
    <w:rsid w:val="00B91E61"/>
    <w:rsid w:val="00B92F8D"/>
    <w:rsid w:val="00B93310"/>
    <w:rsid w:val="00B94257"/>
    <w:rsid w:val="00B94532"/>
    <w:rsid w:val="00B96BD0"/>
    <w:rsid w:val="00B97121"/>
    <w:rsid w:val="00B9799B"/>
    <w:rsid w:val="00BA1B40"/>
    <w:rsid w:val="00BA346B"/>
    <w:rsid w:val="00BA4453"/>
    <w:rsid w:val="00BA6541"/>
    <w:rsid w:val="00BA688C"/>
    <w:rsid w:val="00BA6A17"/>
    <w:rsid w:val="00BA6B89"/>
    <w:rsid w:val="00BB0E00"/>
    <w:rsid w:val="00BB1256"/>
    <w:rsid w:val="00BB1804"/>
    <w:rsid w:val="00BB2717"/>
    <w:rsid w:val="00BB42F7"/>
    <w:rsid w:val="00BB4674"/>
    <w:rsid w:val="00BB538E"/>
    <w:rsid w:val="00BB60BF"/>
    <w:rsid w:val="00BB6606"/>
    <w:rsid w:val="00BB6C8A"/>
    <w:rsid w:val="00BB6D0E"/>
    <w:rsid w:val="00BB7358"/>
    <w:rsid w:val="00BB7494"/>
    <w:rsid w:val="00BC0000"/>
    <w:rsid w:val="00BC0612"/>
    <w:rsid w:val="00BC1113"/>
    <w:rsid w:val="00BC1CAB"/>
    <w:rsid w:val="00BC2F08"/>
    <w:rsid w:val="00BC3F2B"/>
    <w:rsid w:val="00BC4A0E"/>
    <w:rsid w:val="00BC5399"/>
    <w:rsid w:val="00BC601C"/>
    <w:rsid w:val="00BC7DF5"/>
    <w:rsid w:val="00BD0263"/>
    <w:rsid w:val="00BD171A"/>
    <w:rsid w:val="00BD3B36"/>
    <w:rsid w:val="00BD459D"/>
    <w:rsid w:val="00BD4D01"/>
    <w:rsid w:val="00BD5053"/>
    <w:rsid w:val="00BD5145"/>
    <w:rsid w:val="00BD5D5B"/>
    <w:rsid w:val="00BD7F52"/>
    <w:rsid w:val="00BE166B"/>
    <w:rsid w:val="00BE1C25"/>
    <w:rsid w:val="00BE21CC"/>
    <w:rsid w:val="00BE2FE5"/>
    <w:rsid w:val="00BE3C4E"/>
    <w:rsid w:val="00BE4FA5"/>
    <w:rsid w:val="00BE64E2"/>
    <w:rsid w:val="00BE6ACE"/>
    <w:rsid w:val="00BE7346"/>
    <w:rsid w:val="00BF000F"/>
    <w:rsid w:val="00BF1BC8"/>
    <w:rsid w:val="00BF36DA"/>
    <w:rsid w:val="00BF3FBE"/>
    <w:rsid w:val="00BF473E"/>
    <w:rsid w:val="00BF5520"/>
    <w:rsid w:val="00BF6422"/>
    <w:rsid w:val="00BF6B9C"/>
    <w:rsid w:val="00C00B6E"/>
    <w:rsid w:val="00C00CFA"/>
    <w:rsid w:val="00C03A14"/>
    <w:rsid w:val="00C0464E"/>
    <w:rsid w:val="00C04787"/>
    <w:rsid w:val="00C05D8E"/>
    <w:rsid w:val="00C060A5"/>
    <w:rsid w:val="00C0749E"/>
    <w:rsid w:val="00C10750"/>
    <w:rsid w:val="00C11BCA"/>
    <w:rsid w:val="00C11C8F"/>
    <w:rsid w:val="00C120C9"/>
    <w:rsid w:val="00C126D7"/>
    <w:rsid w:val="00C13218"/>
    <w:rsid w:val="00C13B47"/>
    <w:rsid w:val="00C13F8F"/>
    <w:rsid w:val="00C14D66"/>
    <w:rsid w:val="00C15FF8"/>
    <w:rsid w:val="00C17178"/>
    <w:rsid w:val="00C17C4B"/>
    <w:rsid w:val="00C21D50"/>
    <w:rsid w:val="00C220BE"/>
    <w:rsid w:val="00C22C61"/>
    <w:rsid w:val="00C24A84"/>
    <w:rsid w:val="00C24D41"/>
    <w:rsid w:val="00C258C5"/>
    <w:rsid w:val="00C25AD7"/>
    <w:rsid w:val="00C25E89"/>
    <w:rsid w:val="00C25F4D"/>
    <w:rsid w:val="00C2602B"/>
    <w:rsid w:val="00C302C0"/>
    <w:rsid w:val="00C304BB"/>
    <w:rsid w:val="00C30CA7"/>
    <w:rsid w:val="00C3142C"/>
    <w:rsid w:val="00C32768"/>
    <w:rsid w:val="00C33368"/>
    <w:rsid w:val="00C33FD8"/>
    <w:rsid w:val="00C35C52"/>
    <w:rsid w:val="00C366ED"/>
    <w:rsid w:val="00C36B37"/>
    <w:rsid w:val="00C372AD"/>
    <w:rsid w:val="00C407F7"/>
    <w:rsid w:val="00C40A84"/>
    <w:rsid w:val="00C40DAB"/>
    <w:rsid w:val="00C40E5E"/>
    <w:rsid w:val="00C416CB"/>
    <w:rsid w:val="00C42C1D"/>
    <w:rsid w:val="00C43592"/>
    <w:rsid w:val="00C44D68"/>
    <w:rsid w:val="00C45254"/>
    <w:rsid w:val="00C4542F"/>
    <w:rsid w:val="00C45DD6"/>
    <w:rsid w:val="00C460A2"/>
    <w:rsid w:val="00C460B1"/>
    <w:rsid w:val="00C466B1"/>
    <w:rsid w:val="00C46A8B"/>
    <w:rsid w:val="00C5097D"/>
    <w:rsid w:val="00C50D8F"/>
    <w:rsid w:val="00C513E2"/>
    <w:rsid w:val="00C51831"/>
    <w:rsid w:val="00C51F3D"/>
    <w:rsid w:val="00C54B04"/>
    <w:rsid w:val="00C54C01"/>
    <w:rsid w:val="00C55C09"/>
    <w:rsid w:val="00C57CA7"/>
    <w:rsid w:val="00C57ED4"/>
    <w:rsid w:val="00C60E0B"/>
    <w:rsid w:val="00C632CC"/>
    <w:rsid w:val="00C6342C"/>
    <w:rsid w:val="00C65A7D"/>
    <w:rsid w:val="00C65F43"/>
    <w:rsid w:val="00C71212"/>
    <w:rsid w:val="00C736B2"/>
    <w:rsid w:val="00C73F3D"/>
    <w:rsid w:val="00C73FF4"/>
    <w:rsid w:val="00C749BA"/>
    <w:rsid w:val="00C756A2"/>
    <w:rsid w:val="00C76A40"/>
    <w:rsid w:val="00C77059"/>
    <w:rsid w:val="00C773E4"/>
    <w:rsid w:val="00C80CE3"/>
    <w:rsid w:val="00C81767"/>
    <w:rsid w:val="00C817AD"/>
    <w:rsid w:val="00C81EED"/>
    <w:rsid w:val="00C820CB"/>
    <w:rsid w:val="00C8282E"/>
    <w:rsid w:val="00C82EDB"/>
    <w:rsid w:val="00C83EFE"/>
    <w:rsid w:val="00C84308"/>
    <w:rsid w:val="00C86ADC"/>
    <w:rsid w:val="00C86C35"/>
    <w:rsid w:val="00C8702D"/>
    <w:rsid w:val="00C90FDD"/>
    <w:rsid w:val="00C9131B"/>
    <w:rsid w:val="00C913A9"/>
    <w:rsid w:val="00C92372"/>
    <w:rsid w:val="00C923E6"/>
    <w:rsid w:val="00C93305"/>
    <w:rsid w:val="00C938E1"/>
    <w:rsid w:val="00C93907"/>
    <w:rsid w:val="00C94556"/>
    <w:rsid w:val="00C94DA6"/>
    <w:rsid w:val="00C953D3"/>
    <w:rsid w:val="00C95A25"/>
    <w:rsid w:val="00C9608E"/>
    <w:rsid w:val="00C96247"/>
    <w:rsid w:val="00C969FB"/>
    <w:rsid w:val="00C96F34"/>
    <w:rsid w:val="00C97032"/>
    <w:rsid w:val="00CA0DE1"/>
    <w:rsid w:val="00CA1FF5"/>
    <w:rsid w:val="00CA4E43"/>
    <w:rsid w:val="00CA6AEF"/>
    <w:rsid w:val="00CA717C"/>
    <w:rsid w:val="00CA788A"/>
    <w:rsid w:val="00CA7B5D"/>
    <w:rsid w:val="00CB03CB"/>
    <w:rsid w:val="00CB0DC9"/>
    <w:rsid w:val="00CB2B69"/>
    <w:rsid w:val="00CB2FEB"/>
    <w:rsid w:val="00CB48AD"/>
    <w:rsid w:val="00CB54C8"/>
    <w:rsid w:val="00CB5723"/>
    <w:rsid w:val="00CB6E35"/>
    <w:rsid w:val="00CB7352"/>
    <w:rsid w:val="00CC01A7"/>
    <w:rsid w:val="00CC0483"/>
    <w:rsid w:val="00CC0E9F"/>
    <w:rsid w:val="00CC173C"/>
    <w:rsid w:val="00CC1E7D"/>
    <w:rsid w:val="00CC1F29"/>
    <w:rsid w:val="00CC2520"/>
    <w:rsid w:val="00CC3236"/>
    <w:rsid w:val="00CC394C"/>
    <w:rsid w:val="00CC41F6"/>
    <w:rsid w:val="00CC496D"/>
    <w:rsid w:val="00CC4F5D"/>
    <w:rsid w:val="00CC559A"/>
    <w:rsid w:val="00CC5B34"/>
    <w:rsid w:val="00CC6F6B"/>
    <w:rsid w:val="00CC7CF7"/>
    <w:rsid w:val="00CD0CBE"/>
    <w:rsid w:val="00CD1C37"/>
    <w:rsid w:val="00CD1DEC"/>
    <w:rsid w:val="00CD2145"/>
    <w:rsid w:val="00CD29A2"/>
    <w:rsid w:val="00CD6257"/>
    <w:rsid w:val="00CD7161"/>
    <w:rsid w:val="00CE04A3"/>
    <w:rsid w:val="00CE1762"/>
    <w:rsid w:val="00CE2071"/>
    <w:rsid w:val="00CE20E3"/>
    <w:rsid w:val="00CE241B"/>
    <w:rsid w:val="00CE3645"/>
    <w:rsid w:val="00CE375F"/>
    <w:rsid w:val="00CE5835"/>
    <w:rsid w:val="00CE7468"/>
    <w:rsid w:val="00CE757C"/>
    <w:rsid w:val="00CE7B0A"/>
    <w:rsid w:val="00CF073F"/>
    <w:rsid w:val="00CF076C"/>
    <w:rsid w:val="00CF0D85"/>
    <w:rsid w:val="00CF171C"/>
    <w:rsid w:val="00CF2362"/>
    <w:rsid w:val="00CF27B6"/>
    <w:rsid w:val="00CF2E68"/>
    <w:rsid w:val="00CF3550"/>
    <w:rsid w:val="00CF38E6"/>
    <w:rsid w:val="00CF3FB9"/>
    <w:rsid w:val="00CF4F0A"/>
    <w:rsid w:val="00CF5658"/>
    <w:rsid w:val="00CF57A4"/>
    <w:rsid w:val="00CF5810"/>
    <w:rsid w:val="00CF5A23"/>
    <w:rsid w:val="00CF5C1C"/>
    <w:rsid w:val="00CF6029"/>
    <w:rsid w:val="00CF7FDD"/>
    <w:rsid w:val="00D01303"/>
    <w:rsid w:val="00D01A66"/>
    <w:rsid w:val="00D01B98"/>
    <w:rsid w:val="00D03B41"/>
    <w:rsid w:val="00D03C59"/>
    <w:rsid w:val="00D042C6"/>
    <w:rsid w:val="00D052DF"/>
    <w:rsid w:val="00D05584"/>
    <w:rsid w:val="00D058C6"/>
    <w:rsid w:val="00D05ACE"/>
    <w:rsid w:val="00D05F9F"/>
    <w:rsid w:val="00D06C76"/>
    <w:rsid w:val="00D06DD7"/>
    <w:rsid w:val="00D106DA"/>
    <w:rsid w:val="00D10783"/>
    <w:rsid w:val="00D11068"/>
    <w:rsid w:val="00D11D33"/>
    <w:rsid w:val="00D133E6"/>
    <w:rsid w:val="00D13AA9"/>
    <w:rsid w:val="00D148C9"/>
    <w:rsid w:val="00D171D5"/>
    <w:rsid w:val="00D1721A"/>
    <w:rsid w:val="00D175D2"/>
    <w:rsid w:val="00D1785D"/>
    <w:rsid w:val="00D17E1B"/>
    <w:rsid w:val="00D20E62"/>
    <w:rsid w:val="00D21803"/>
    <w:rsid w:val="00D22F41"/>
    <w:rsid w:val="00D2559A"/>
    <w:rsid w:val="00D270B4"/>
    <w:rsid w:val="00D272A8"/>
    <w:rsid w:val="00D2763C"/>
    <w:rsid w:val="00D30B8A"/>
    <w:rsid w:val="00D32230"/>
    <w:rsid w:val="00D32D86"/>
    <w:rsid w:val="00D3390F"/>
    <w:rsid w:val="00D3487C"/>
    <w:rsid w:val="00D361B1"/>
    <w:rsid w:val="00D362ED"/>
    <w:rsid w:val="00D37642"/>
    <w:rsid w:val="00D40478"/>
    <w:rsid w:val="00D43145"/>
    <w:rsid w:val="00D4338E"/>
    <w:rsid w:val="00D439D1"/>
    <w:rsid w:val="00D43FC6"/>
    <w:rsid w:val="00D448E9"/>
    <w:rsid w:val="00D4543D"/>
    <w:rsid w:val="00D47162"/>
    <w:rsid w:val="00D4724F"/>
    <w:rsid w:val="00D5150D"/>
    <w:rsid w:val="00D51B44"/>
    <w:rsid w:val="00D53241"/>
    <w:rsid w:val="00D536A4"/>
    <w:rsid w:val="00D53FA7"/>
    <w:rsid w:val="00D556A8"/>
    <w:rsid w:val="00D55BA5"/>
    <w:rsid w:val="00D56351"/>
    <w:rsid w:val="00D56903"/>
    <w:rsid w:val="00D56B3B"/>
    <w:rsid w:val="00D57F9C"/>
    <w:rsid w:val="00D607CA"/>
    <w:rsid w:val="00D60817"/>
    <w:rsid w:val="00D61199"/>
    <w:rsid w:val="00D61B9B"/>
    <w:rsid w:val="00D62072"/>
    <w:rsid w:val="00D63845"/>
    <w:rsid w:val="00D640E2"/>
    <w:rsid w:val="00D64D82"/>
    <w:rsid w:val="00D653B9"/>
    <w:rsid w:val="00D6547C"/>
    <w:rsid w:val="00D663AC"/>
    <w:rsid w:val="00D6734B"/>
    <w:rsid w:val="00D67511"/>
    <w:rsid w:val="00D67D16"/>
    <w:rsid w:val="00D705C9"/>
    <w:rsid w:val="00D70A2A"/>
    <w:rsid w:val="00D74B51"/>
    <w:rsid w:val="00D75480"/>
    <w:rsid w:val="00D75868"/>
    <w:rsid w:val="00D75CA9"/>
    <w:rsid w:val="00D7692A"/>
    <w:rsid w:val="00D76940"/>
    <w:rsid w:val="00D76BD4"/>
    <w:rsid w:val="00D779E6"/>
    <w:rsid w:val="00D808BC"/>
    <w:rsid w:val="00D812EF"/>
    <w:rsid w:val="00D81A8D"/>
    <w:rsid w:val="00D8465F"/>
    <w:rsid w:val="00D8508E"/>
    <w:rsid w:val="00D855EF"/>
    <w:rsid w:val="00D873A7"/>
    <w:rsid w:val="00D87BF7"/>
    <w:rsid w:val="00D9060B"/>
    <w:rsid w:val="00D90DF0"/>
    <w:rsid w:val="00D92087"/>
    <w:rsid w:val="00D92616"/>
    <w:rsid w:val="00D92816"/>
    <w:rsid w:val="00D93E57"/>
    <w:rsid w:val="00D95046"/>
    <w:rsid w:val="00D950D3"/>
    <w:rsid w:val="00D96009"/>
    <w:rsid w:val="00DA0682"/>
    <w:rsid w:val="00DA0BF5"/>
    <w:rsid w:val="00DA152A"/>
    <w:rsid w:val="00DA2306"/>
    <w:rsid w:val="00DA270C"/>
    <w:rsid w:val="00DA4A0B"/>
    <w:rsid w:val="00DA53E9"/>
    <w:rsid w:val="00DA64CA"/>
    <w:rsid w:val="00DA6E8A"/>
    <w:rsid w:val="00DB08AE"/>
    <w:rsid w:val="00DB160E"/>
    <w:rsid w:val="00DB19EB"/>
    <w:rsid w:val="00DB1AE2"/>
    <w:rsid w:val="00DB259D"/>
    <w:rsid w:val="00DB29A8"/>
    <w:rsid w:val="00DB2BBF"/>
    <w:rsid w:val="00DB2DD1"/>
    <w:rsid w:val="00DB32F4"/>
    <w:rsid w:val="00DB3834"/>
    <w:rsid w:val="00DB38CA"/>
    <w:rsid w:val="00DB42AB"/>
    <w:rsid w:val="00DB447F"/>
    <w:rsid w:val="00DB4FCF"/>
    <w:rsid w:val="00DB5788"/>
    <w:rsid w:val="00DB62AD"/>
    <w:rsid w:val="00DB6FB2"/>
    <w:rsid w:val="00DC02D1"/>
    <w:rsid w:val="00DC1695"/>
    <w:rsid w:val="00DC29FE"/>
    <w:rsid w:val="00DC3364"/>
    <w:rsid w:val="00DC3ABD"/>
    <w:rsid w:val="00DC3BFE"/>
    <w:rsid w:val="00DC3DAF"/>
    <w:rsid w:val="00DC4521"/>
    <w:rsid w:val="00DC7B02"/>
    <w:rsid w:val="00DD1380"/>
    <w:rsid w:val="00DD1748"/>
    <w:rsid w:val="00DD2306"/>
    <w:rsid w:val="00DD27B1"/>
    <w:rsid w:val="00DD2C15"/>
    <w:rsid w:val="00DD301D"/>
    <w:rsid w:val="00DD34DA"/>
    <w:rsid w:val="00DD46F9"/>
    <w:rsid w:val="00DD6640"/>
    <w:rsid w:val="00DD7E8A"/>
    <w:rsid w:val="00DE0EA0"/>
    <w:rsid w:val="00DE30F6"/>
    <w:rsid w:val="00DE39F4"/>
    <w:rsid w:val="00DE3E4E"/>
    <w:rsid w:val="00DE4E08"/>
    <w:rsid w:val="00DE5199"/>
    <w:rsid w:val="00DE5642"/>
    <w:rsid w:val="00DE56F1"/>
    <w:rsid w:val="00DE6367"/>
    <w:rsid w:val="00DE6A87"/>
    <w:rsid w:val="00DE708B"/>
    <w:rsid w:val="00DF0385"/>
    <w:rsid w:val="00DF058D"/>
    <w:rsid w:val="00DF0DF9"/>
    <w:rsid w:val="00DF1D30"/>
    <w:rsid w:val="00DF2137"/>
    <w:rsid w:val="00DF5D77"/>
    <w:rsid w:val="00DF70EE"/>
    <w:rsid w:val="00DF73D6"/>
    <w:rsid w:val="00DF7F8A"/>
    <w:rsid w:val="00E0048A"/>
    <w:rsid w:val="00E0219F"/>
    <w:rsid w:val="00E02654"/>
    <w:rsid w:val="00E02A08"/>
    <w:rsid w:val="00E02A17"/>
    <w:rsid w:val="00E04C6C"/>
    <w:rsid w:val="00E04C94"/>
    <w:rsid w:val="00E056DD"/>
    <w:rsid w:val="00E05D2D"/>
    <w:rsid w:val="00E05F29"/>
    <w:rsid w:val="00E06777"/>
    <w:rsid w:val="00E0679C"/>
    <w:rsid w:val="00E06F8D"/>
    <w:rsid w:val="00E0759B"/>
    <w:rsid w:val="00E10923"/>
    <w:rsid w:val="00E11496"/>
    <w:rsid w:val="00E11BF9"/>
    <w:rsid w:val="00E12618"/>
    <w:rsid w:val="00E134C3"/>
    <w:rsid w:val="00E14AB0"/>
    <w:rsid w:val="00E15A8C"/>
    <w:rsid w:val="00E15DAE"/>
    <w:rsid w:val="00E15E58"/>
    <w:rsid w:val="00E1660B"/>
    <w:rsid w:val="00E16F58"/>
    <w:rsid w:val="00E17EB4"/>
    <w:rsid w:val="00E200BE"/>
    <w:rsid w:val="00E20F74"/>
    <w:rsid w:val="00E21222"/>
    <w:rsid w:val="00E21DE5"/>
    <w:rsid w:val="00E22177"/>
    <w:rsid w:val="00E229CE"/>
    <w:rsid w:val="00E23210"/>
    <w:rsid w:val="00E236DA"/>
    <w:rsid w:val="00E2403E"/>
    <w:rsid w:val="00E252CB"/>
    <w:rsid w:val="00E25616"/>
    <w:rsid w:val="00E2596E"/>
    <w:rsid w:val="00E25A82"/>
    <w:rsid w:val="00E25C69"/>
    <w:rsid w:val="00E25EEC"/>
    <w:rsid w:val="00E26914"/>
    <w:rsid w:val="00E26EEC"/>
    <w:rsid w:val="00E27E5E"/>
    <w:rsid w:val="00E30419"/>
    <w:rsid w:val="00E308F7"/>
    <w:rsid w:val="00E30B73"/>
    <w:rsid w:val="00E30D2F"/>
    <w:rsid w:val="00E326BA"/>
    <w:rsid w:val="00E32D16"/>
    <w:rsid w:val="00E33133"/>
    <w:rsid w:val="00E334F7"/>
    <w:rsid w:val="00E336FF"/>
    <w:rsid w:val="00E33FCF"/>
    <w:rsid w:val="00E34FAC"/>
    <w:rsid w:val="00E3611D"/>
    <w:rsid w:val="00E364F9"/>
    <w:rsid w:val="00E374A6"/>
    <w:rsid w:val="00E408B8"/>
    <w:rsid w:val="00E42632"/>
    <w:rsid w:val="00E42861"/>
    <w:rsid w:val="00E44524"/>
    <w:rsid w:val="00E44EDE"/>
    <w:rsid w:val="00E452A8"/>
    <w:rsid w:val="00E45475"/>
    <w:rsid w:val="00E45B8A"/>
    <w:rsid w:val="00E4610E"/>
    <w:rsid w:val="00E461F2"/>
    <w:rsid w:val="00E464F4"/>
    <w:rsid w:val="00E465B1"/>
    <w:rsid w:val="00E467C4"/>
    <w:rsid w:val="00E47A0E"/>
    <w:rsid w:val="00E47BC8"/>
    <w:rsid w:val="00E503AF"/>
    <w:rsid w:val="00E50FE6"/>
    <w:rsid w:val="00E51956"/>
    <w:rsid w:val="00E51FAE"/>
    <w:rsid w:val="00E5379A"/>
    <w:rsid w:val="00E53927"/>
    <w:rsid w:val="00E53B3D"/>
    <w:rsid w:val="00E54323"/>
    <w:rsid w:val="00E54D4C"/>
    <w:rsid w:val="00E552A3"/>
    <w:rsid w:val="00E55C9E"/>
    <w:rsid w:val="00E55DC7"/>
    <w:rsid w:val="00E5663E"/>
    <w:rsid w:val="00E57211"/>
    <w:rsid w:val="00E5721E"/>
    <w:rsid w:val="00E60880"/>
    <w:rsid w:val="00E60990"/>
    <w:rsid w:val="00E60C7C"/>
    <w:rsid w:val="00E60FF5"/>
    <w:rsid w:val="00E61B26"/>
    <w:rsid w:val="00E61C95"/>
    <w:rsid w:val="00E62225"/>
    <w:rsid w:val="00E63285"/>
    <w:rsid w:val="00E63524"/>
    <w:rsid w:val="00E646A4"/>
    <w:rsid w:val="00E647C5"/>
    <w:rsid w:val="00E64CB3"/>
    <w:rsid w:val="00E654B8"/>
    <w:rsid w:val="00E65EB2"/>
    <w:rsid w:val="00E6696F"/>
    <w:rsid w:val="00E66FD9"/>
    <w:rsid w:val="00E66FE3"/>
    <w:rsid w:val="00E675D3"/>
    <w:rsid w:val="00E67AC5"/>
    <w:rsid w:val="00E67C0C"/>
    <w:rsid w:val="00E70E61"/>
    <w:rsid w:val="00E70EC4"/>
    <w:rsid w:val="00E7167F"/>
    <w:rsid w:val="00E716BE"/>
    <w:rsid w:val="00E71983"/>
    <w:rsid w:val="00E719F1"/>
    <w:rsid w:val="00E732D3"/>
    <w:rsid w:val="00E739EB"/>
    <w:rsid w:val="00E7421B"/>
    <w:rsid w:val="00E74F9E"/>
    <w:rsid w:val="00E75FC9"/>
    <w:rsid w:val="00E760EE"/>
    <w:rsid w:val="00E76B1E"/>
    <w:rsid w:val="00E7744D"/>
    <w:rsid w:val="00E77655"/>
    <w:rsid w:val="00E80B72"/>
    <w:rsid w:val="00E80F7E"/>
    <w:rsid w:val="00E812E8"/>
    <w:rsid w:val="00E83B24"/>
    <w:rsid w:val="00E83B3C"/>
    <w:rsid w:val="00E84623"/>
    <w:rsid w:val="00E848EA"/>
    <w:rsid w:val="00E84E69"/>
    <w:rsid w:val="00E85F3F"/>
    <w:rsid w:val="00E86642"/>
    <w:rsid w:val="00E87996"/>
    <w:rsid w:val="00E91B6B"/>
    <w:rsid w:val="00E91C34"/>
    <w:rsid w:val="00E91CC9"/>
    <w:rsid w:val="00E924CB"/>
    <w:rsid w:val="00E92641"/>
    <w:rsid w:val="00E92829"/>
    <w:rsid w:val="00E942F0"/>
    <w:rsid w:val="00E95341"/>
    <w:rsid w:val="00E95F31"/>
    <w:rsid w:val="00E965A2"/>
    <w:rsid w:val="00E97805"/>
    <w:rsid w:val="00EA0363"/>
    <w:rsid w:val="00EA0677"/>
    <w:rsid w:val="00EA2F25"/>
    <w:rsid w:val="00EA4B3C"/>
    <w:rsid w:val="00EA5416"/>
    <w:rsid w:val="00EA6038"/>
    <w:rsid w:val="00EA7D13"/>
    <w:rsid w:val="00EB02C1"/>
    <w:rsid w:val="00EB6CA9"/>
    <w:rsid w:val="00EB7ACC"/>
    <w:rsid w:val="00EB7E5A"/>
    <w:rsid w:val="00EC0157"/>
    <w:rsid w:val="00EC0C0F"/>
    <w:rsid w:val="00EC0F0A"/>
    <w:rsid w:val="00EC1209"/>
    <w:rsid w:val="00EC19C3"/>
    <w:rsid w:val="00EC24ED"/>
    <w:rsid w:val="00EC3CFD"/>
    <w:rsid w:val="00EC486A"/>
    <w:rsid w:val="00EC4EB1"/>
    <w:rsid w:val="00EC52DF"/>
    <w:rsid w:val="00EC55B7"/>
    <w:rsid w:val="00EC6942"/>
    <w:rsid w:val="00EC6ADC"/>
    <w:rsid w:val="00EC70FA"/>
    <w:rsid w:val="00EC7C5D"/>
    <w:rsid w:val="00ED103E"/>
    <w:rsid w:val="00ED1FFD"/>
    <w:rsid w:val="00ED29FA"/>
    <w:rsid w:val="00ED3E91"/>
    <w:rsid w:val="00ED5228"/>
    <w:rsid w:val="00ED633D"/>
    <w:rsid w:val="00ED7ECB"/>
    <w:rsid w:val="00EE0759"/>
    <w:rsid w:val="00EE24C5"/>
    <w:rsid w:val="00EE2579"/>
    <w:rsid w:val="00EE30BD"/>
    <w:rsid w:val="00EE400B"/>
    <w:rsid w:val="00EE4EC5"/>
    <w:rsid w:val="00EE51F4"/>
    <w:rsid w:val="00EE6012"/>
    <w:rsid w:val="00EE6B33"/>
    <w:rsid w:val="00EE6F39"/>
    <w:rsid w:val="00EE70E8"/>
    <w:rsid w:val="00EE7246"/>
    <w:rsid w:val="00EE7B22"/>
    <w:rsid w:val="00EF012D"/>
    <w:rsid w:val="00EF10E0"/>
    <w:rsid w:val="00EF1A39"/>
    <w:rsid w:val="00EF1B78"/>
    <w:rsid w:val="00EF272F"/>
    <w:rsid w:val="00EF3485"/>
    <w:rsid w:val="00EF3ACD"/>
    <w:rsid w:val="00EF3ECA"/>
    <w:rsid w:val="00EF412A"/>
    <w:rsid w:val="00EF42B2"/>
    <w:rsid w:val="00EF4720"/>
    <w:rsid w:val="00EF5396"/>
    <w:rsid w:val="00EF5E55"/>
    <w:rsid w:val="00F00CA6"/>
    <w:rsid w:val="00F011FD"/>
    <w:rsid w:val="00F01E63"/>
    <w:rsid w:val="00F032F9"/>
    <w:rsid w:val="00F03902"/>
    <w:rsid w:val="00F04A2A"/>
    <w:rsid w:val="00F04A92"/>
    <w:rsid w:val="00F05448"/>
    <w:rsid w:val="00F05515"/>
    <w:rsid w:val="00F05AC5"/>
    <w:rsid w:val="00F066CF"/>
    <w:rsid w:val="00F0700B"/>
    <w:rsid w:val="00F074D9"/>
    <w:rsid w:val="00F076BF"/>
    <w:rsid w:val="00F10EA4"/>
    <w:rsid w:val="00F111A8"/>
    <w:rsid w:val="00F11676"/>
    <w:rsid w:val="00F12329"/>
    <w:rsid w:val="00F128AA"/>
    <w:rsid w:val="00F158C5"/>
    <w:rsid w:val="00F15B81"/>
    <w:rsid w:val="00F16566"/>
    <w:rsid w:val="00F17408"/>
    <w:rsid w:val="00F17978"/>
    <w:rsid w:val="00F20C9A"/>
    <w:rsid w:val="00F22070"/>
    <w:rsid w:val="00F258D9"/>
    <w:rsid w:val="00F25CCD"/>
    <w:rsid w:val="00F25D56"/>
    <w:rsid w:val="00F27299"/>
    <w:rsid w:val="00F27F60"/>
    <w:rsid w:val="00F30E4D"/>
    <w:rsid w:val="00F31451"/>
    <w:rsid w:val="00F3205B"/>
    <w:rsid w:val="00F34502"/>
    <w:rsid w:val="00F34CBA"/>
    <w:rsid w:val="00F35778"/>
    <w:rsid w:val="00F35AA4"/>
    <w:rsid w:val="00F36CC4"/>
    <w:rsid w:val="00F37149"/>
    <w:rsid w:val="00F3796B"/>
    <w:rsid w:val="00F37E78"/>
    <w:rsid w:val="00F37EC2"/>
    <w:rsid w:val="00F40C39"/>
    <w:rsid w:val="00F40D82"/>
    <w:rsid w:val="00F421D1"/>
    <w:rsid w:val="00F428AA"/>
    <w:rsid w:val="00F42E55"/>
    <w:rsid w:val="00F43CF6"/>
    <w:rsid w:val="00F43E22"/>
    <w:rsid w:val="00F45842"/>
    <w:rsid w:val="00F45BDF"/>
    <w:rsid w:val="00F4672C"/>
    <w:rsid w:val="00F50BB0"/>
    <w:rsid w:val="00F512C9"/>
    <w:rsid w:val="00F51878"/>
    <w:rsid w:val="00F51A0C"/>
    <w:rsid w:val="00F52B99"/>
    <w:rsid w:val="00F52C34"/>
    <w:rsid w:val="00F5301C"/>
    <w:rsid w:val="00F545A6"/>
    <w:rsid w:val="00F54D54"/>
    <w:rsid w:val="00F54E51"/>
    <w:rsid w:val="00F54E90"/>
    <w:rsid w:val="00F55793"/>
    <w:rsid w:val="00F557A8"/>
    <w:rsid w:val="00F56882"/>
    <w:rsid w:val="00F57637"/>
    <w:rsid w:val="00F576E6"/>
    <w:rsid w:val="00F57ABD"/>
    <w:rsid w:val="00F612A3"/>
    <w:rsid w:val="00F6424B"/>
    <w:rsid w:val="00F647C9"/>
    <w:rsid w:val="00F64BDC"/>
    <w:rsid w:val="00F651E9"/>
    <w:rsid w:val="00F65E36"/>
    <w:rsid w:val="00F66349"/>
    <w:rsid w:val="00F675EB"/>
    <w:rsid w:val="00F6768E"/>
    <w:rsid w:val="00F704DB"/>
    <w:rsid w:val="00F70F74"/>
    <w:rsid w:val="00F71824"/>
    <w:rsid w:val="00F73145"/>
    <w:rsid w:val="00F7320B"/>
    <w:rsid w:val="00F74238"/>
    <w:rsid w:val="00F76201"/>
    <w:rsid w:val="00F77061"/>
    <w:rsid w:val="00F77235"/>
    <w:rsid w:val="00F77633"/>
    <w:rsid w:val="00F778BE"/>
    <w:rsid w:val="00F80FF6"/>
    <w:rsid w:val="00F81897"/>
    <w:rsid w:val="00F81AEE"/>
    <w:rsid w:val="00F82EC4"/>
    <w:rsid w:val="00F8337E"/>
    <w:rsid w:val="00F84C3F"/>
    <w:rsid w:val="00F84F94"/>
    <w:rsid w:val="00F85850"/>
    <w:rsid w:val="00F85E57"/>
    <w:rsid w:val="00F87D6F"/>
    <w:rsid w:val="00F9096B"/>
    <w:rsid w:val="00F9096C"/>
    <w:rsid w:val="00F90A26"/>
    <w:rsid w:val="00F90B9B"/>
    <w:rsid w:val="00F90BC8"/>
    <w:rsid w:val="00F90E39"/>
    <w:rsid w:val="00F925B6"/>
    <w:rsid w:val="00F949BD"/>
    <w:rsid w:val="00F97CBC"/>
    <w:rsid w:val="00FA0A2A"/>
    <w:rsid w:val="00FA1C44"/>
    <w:rsid w:val="00FA2055"/>
    <w:rsid w:val="00FA31CE"/>
    <w:rsid w:val="00FA3CD8"/>
    <w:rsid w:val="00FA509C"/>
    <w:rsid w:val="00FA760B"/>
    <w:rsid w:val="00FB02B4"/>
    <w:rsid w:val="00FB0D95"/>
    <w:rsid w:val="00FB10C7"/>
    <w:rsid w:val="00FB1301"/>
    <w:rsid w:val="00FB17A8"/>
    <w:rsid w:val="00FB250F"/>
    <w:rsid w:val="00FB2DFB"/>
    <w:rsid w:val="00FB53AD"/>
    <w:rsid w:val="00FB65AE"/>
    <w:rsid w:val="00FB6F36"/>
    <w:rsid w:val="00FB75C7"/>
    <w:rsid w:val="00FC093C"/>
    <w:rsid w:val="00FC095F"/>
    <w:rsid w:val="00FC128F"/>
    <w:rsid w:val="00FC131A"/>
    <w:rsid w:val="00FC1710"/>
    <w:rsid w:val="00FC257E"/>
    <w:rsid w:val="00FC2BBA"/>
    <w:rsid w:val="00FC3392"/>
    <w:rsid w:val="00FC3DF3"/>
    <w:rsid w:val="00FC3F13"/>
    <w:rsid w:val="00FC4886"/>
    <w:rsid w:val="00FC4B2B"/>
    <w:rsid w:val="00FC4DFC"/>
    <w:rsid w:val="00FC4F53"/>
    <w:rsid w:val="00FC5608"/>
    <w:rsid w:val="00FC66A5"/>
    <w:rsid w:val="00FC7E67"/>
    <w:rsid w:val="00FD004F"/>
    <w:rsid w:val="00FD144D"/>
    <w:rsid w:val="00FD29E4"/>
    <w:rsid w:val="00FD3934"/>
    <w:rsid w:val="00FD40B6"/>
    <w:rsid w:val="00FD58B5"/>
    <w:rsid w:val="00FD6E5A"/>
    <w:rsid w:val="00FD79B1"/>
    <w:rsid w:val="00FE0594"/>
    <w:rsid w:val="00FE090C"/>
    <w:rsid w:val="00FE10EC"/>
    <w:rsid w:val="00FE1999"/>
    <w:rsid w:val="00FE1AB6"/>
    <w:rsid w:val="00FE1BA6"/>
    <w:rsid w:val="00FE1D47"/>
    <w:rsid w:val="00FE33D2"/>
    <w:rsid w:val="00FE3DAA"/>
    <w:rsid w:val="00FE428D"/>
    <w:rsid w:val="00FE4520"/>
    <w:rsid w:val="00FE5DB5"/>
    <w:rsid w:val="00FE69F2"/>
    <w:rsid w:val="00FE6A8F"/>
    <w:rsid w:val="00FE737A"/>
    <w:rsid w:val="00FF038D"/>
    <w:rsid w:val="00FF0C7E"/>
    <w:rsid w:val="00FF1C14"/>
    <w:rsid w:val="00FF3840"/>
    <w:rsid w:val="00FF3BDA"/>
    <w:rsid w:val="00FF4239"/>
    <w:rsid w:val="00FF64E1"/>
    <w:rsid w:val="00FF77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vertical-relative:line" fill="f" fillcolor="white" stroke="f">
      <v:fill color="white" on="f"/>
      <v:stroke on="f"/>
      <o:colormru v:ext="edit" colors="#fd18b9,#fd18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table of figures"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A1D"/>
    <w:pPr>
      <w:spacing w:line="348" w:lineRule="atLeast"/>
      <w:jc w:val="both"/>
    </w:pPr>
    <w:rPr>
      <w:rFonts w:ascii="Trebuchet MS" w:hAnsi="Trebuchet MS"/>
      <w:sz w:val="18"/>
      <w:lang w:val="fr-FR" w:eastAsia="fr-FR"/>
    </w:rPr>
  </w:style>
  <w:style w:type="paragraph" w:styleId="Titre1">
    <w:name w:val="heading 1"/>
    <w:aliases w:val="heading 1,Titre1.,T1,Edf Titre 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Edf Titre 2,2,h2,Level 2,w2,sub-sect,H2,título 2,Tempo Heading 2,CAPITOLO,-&gt;1.1,ERMH2,ERMH21,ERMH22,ERMH23,ERMH24,ERMH25,ERMH26,ERMH27,ERMH28,ERMH29,ERMH210,ERMH211,ERMH212"/>
    <w:basedOn w:val="Normal"/>
    <w:next w:val="Normal"/>
    <w:link w:val="Titre2Car"/>
    <w:qFormat/>
    <w:rsid w:val="00006770"/>
    <w:pPr>
      <w:keepNext/>
      <w:numPr>
        <w:ilvl w:val="1"/>
        <w:numId w:val="1"/>
      </w:numPr>
      <w:spacing w:before="320" w:after="100"/>
      <w:outlineLvl w:val="1"/>
    </w:pPr>
    <w:rPr>
      <w:rFonts w:cs="Arial"/>
      <w:b/>
      <w:bCs/>
      <w:sz w:val="24"/>
    </w:rPr>
  </w:style>
  <w:style w:type="paragraph" w:styleId="Titre3">
    <w:name w:val="heading 3"/>
    <w:aliases w:val="Titre 1.1.1,T3,Edf Titre 3"/>
    <w:basedOn w:val="Normal"/>
    <w:next w:val="Normal"/>
    <w:link w:val="Titre3Car"/>
    <w:qFormat/>
    <w:rsid w:val="00BC4A0E"/>
    <w:pPr>
      <w:keepNext/>
      <w:numPr>
        <w:ilvl w:val="2"/>
        <w:numId w:val="1"/>
      </w:numPr>
      <w:spacing w:before="320" w:after="100"/>
      <w:jc w:val="left"/>
      <w:outlineLvl w:val="2"/>
    </w:pPr>
    <w:rPr>
      <w:rFonts w:cs="Arial"/>
      <w:i/>
      <w:iCs/>
      <w:sz w:val="24"/>
    </w:rPr>
  </w:style>
  <w:style w:type="paragraph" w:styleId="Titre4">
    <w:name w:val="heading 4"/>
    <w:aliases w:val="heading 4,T4,Titre 1.1.1.1,Edf Titre 4,paragraphe[1],4,Tempo Heading 4,4 dash,d,THIRD,Description,Dash,description,Third,03 Dash,-&gt;1.,dash,H4,p,Sottosottoparagrafo,4numbers,h4,[req],AdaTitre1,ergo....,Heading 41,Heading 42,H41"/>
    <w:basedOn w:val="Normal"/>
    <w:next w:val="Normal"/>
    <w:link w:val="Titre4Car"/>
    <w:qFormat/>
    <w:rsid w:val="0089273E"/>
    <w:pPr>
      <w:keepNext/>
      <w:numPr>
        <w:ilvl w:val="3"/>
        <w:numId w:val="1"/>
      </w:numPr>
      <w:spacing w:before="240" w:after="100"/>
      <w:jc w:val="left"/>
      <w:outlineLvl w:val="3"/>
    </w:pPr>
    <w:rPr>
      <w:bCs/>
      <w:sz w:val="23"/>
      <w:szCs w:val="28"/>
      <w:lang w:val="en-US"/>
    </w:rPr>
  </w:style>
  <w:style w:type="paragraph" w:styleId="Titre5">
    <w:name w:val="heading 5"/>
    <w:aliases w:val="T5,Titre 1.1.1.1.1,Edf Titre 5,paragraphe[2],H5,Tempo Heading 5,-&gt;a.,Heading 5 - Mandatory requirements,5 sub-bullet,sb,Ooh,heading 5,Titolo 5 Carattere1,Titolo 5 Carattere Carattere,Heading 5 - Bad,h5,Titre 5-Corps de texte,D Head"/>
    <w:basedOn w:val="Normal"/>
    <w:next w:val="Normal"/>
    <w:link w:val="Titre5Car"/>
    <w:qFormat/>
    <w:rsid w:val="00026241"/>
    <w:pPr>
      <w:numPr>
        <w:ilvl w:val="4"/>
        <w:numId w:val="1"/>
      </w:numPr>
      <w:spacing w:before="240" w:after="100"/>
      <w:jc w:val="left"/>
      <w:outlineLvl w:val="4"/>
    </w:pPr>
    <w:rPr>
      <w:b/>
      <w:bCs/>
      <w:iCs/>
      <w:sz w:val="23"/>
      <w:szCs w:val="26"/>
    </w:rPr>
  </w:style>
  <w:style w:type="paragraph" w:styleId="Titre6">
    <w:name w:val="heading 6"/>
    <w:aliases w:val="T6,Edf Titre 6"/>
    <w:basedOn w:val="Normal"/>
    <w:next w:val="Normal"/>
    <w:link w:val="Titre6Car"/>
    <w:qFormat/>
    <w:rsid w:val="00026241"/>
    <w:pPr>
      <w:numPr>
        <w:ilvl w:val="5"/>
        <w:numId w:val="1"/>
      </w:numPr>
      <w:spacing w:before="240" w:after="100"/>
      <w:jc w:val="left"/>
      <w:outlineLvl w:val="5"/>
    </w:pPr>
    <w:rPr>
      <w:bCs/>
      <w:i/>
      <w:sz w:val="23"/>
      <w:szCs w:val="22"/>
    </w:rPr>
  </w:style>
  <w:style w:type="paragraph" w:styleId="Titre7">
    <w:name w:val="heading 7"/>
    <w:aliases w:val="T7,Edf Titre 7"/>
    <w:basedOn w:val="Normal"/>
    <w:next w:val="Normal"/>
    <w:link w:val="Titre7Car"/>
    <w:qFormat/>
    <w:rsid w:val="00026241"/>
    <w:pPr>
      <w:numPr>
        <w:ilvl w:val="6"/>
        <w:numId w:val="1"/>
      </w:numPr>
      <w:spacing w:before="240" w:after="100"/>
      <w:jc w:val="left"/>
      <w:outlineLvl w:val="6"/>
    </w:pPr>
    <w:rPr>
      <w:b/>
      <w:sz w:val="20"/>
      <w:u w:val="single"/>
    </w:rPr>
  </w:style>
  <w:style w:type="paragraph" w:styleId="Titre8">
    <w:name w:val="heading 8"/>
    <w:aliases w:val="T8,Edf Titre 8,liste[2],liste 2,Appendix Titre 3,heading 8,Appendix Titre 31,liste 21,Heading 81,Appendix Titre 32,liste 22,Heading 82,Appendix Titre 33,liste 23,Heading 83,Appendix Titre 34,liste 24,Heading 84,Appendix Titre 311,8"/>
    <w:basedOn w:val="Normal"/>
    <w:next w:val="Normal"/>
    <w:link w:val="Titre8Car"/>
    <w:qFormat/>
    <w:rsid w:val="00026241"/>
    <w:pPr>
      <w:numPr>
        <w:ilvl w:val="7"/>
        <w:numId w:val="1"/>
      </w:numPr>
      <w:spacing w:before="240" w:after="100"/>
      <w:jc w:val="left"/>
      <w:outlineLvl w:val="7"/>
    </w:pPr>
    <w:rPr>
      <w:b/>
      <w:iCs/>
      <w:sz w:val="20"/>
    </w:rPr>
  </w:style>
  <w:style w:type="paragraph" w:styleId="Titre9">
    <w:name w:val="heading 9"/>
    <w:aliases w:val="T9,Edf Titre 9,liste[3],Titolo 10,Appendix Titre 4,heading 9,Appendice,Appendice 9,Heading 10,heading 10,Appendix Titre 41,Heading 91,Appendix Titre 42,Heading 92,Appendix Titre 43,Heading 93,Appendix Titre 44,Heading 94"/>
    <w:basedOn w:val="Normal"/>
    <w:next w:val="Normal"/>
    <w:link w:val="Titre9Car"/>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Edf Titre 1 Car"/>
    <w:link w:val="Titre1"/>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Edf Titre 2 Car,2 Car,h2 Car,Level 2 Car,w2 Car,sub-sect Car,H2 Car,título 2 Car,Tempo Heading 2 Car,CAPITOLO Car,-&gt;1.1 Car,ERMH2 Car,ERMH21 Car,ERMH22 Car"/>
    <w:link w:val="Titre2"/>
    <w:locked/>
    <w:rsid w:val="00006770"/>
    <w:rPr>
      <w:rFonts w:ascii="Trebuchet MS" w:hAnsi="Trebuchet MS" w:cs="Arial"/>
      <w:b/>
      <w:bCs/>
      <w:lang w:val="fr-FR" w:eastAsia="fr-FR"/>
    </w:rPr>
  </w:style>
  <w:style w:type="character" w:customStyle="1" w:styleId="Titre3Car">
    <w:name w:val="Titre 3 Car"/>
    <w:aliases w:val="Titre 1.1.1 Car,T3 Car,Edf Titre 3 Car"/>
    <w:link w:val="Titre3"/>
    <w:rsid w:val="00BC4A0E"/>
    <w:rPr>
      <w:rFonts w:ascii="Trebuchet MS" w:hAnsi="Trebuchet MS" w:cs="Arial"/>
      <w:i/>
      <w:iCs/>
      <w:lang w:val="fr-FR" w:eastAsia="fr-FR"/>
    </w:rPr>
  </w:style>
  <w:style w:type="paragraph" w:styleId="Explorateurdedocuments">
    <w:name w:val="Document Map"/>
    <w:basedOn w:val="Normal"/>
    <w:link w:val="ExplorateurdedocumentsCar"/>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Arial" w:hAnsi="Arial"/>
      <w:b/>
      <w:sz w:val="22"/>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4A668F"/>
    <w:pPr>
      <w:spacing w:before="120" w:line="360" w:lineRule="auto"/>
      <w:jc w:val="left"/>
    </w:pPr>
    <w:rPr>
      <w:rFonts w:ascii="Times New Roman" w:hAnsi="Times New Roman"/>
      <w:bCs/>
      <w:iCs/>
      <w:sz w:val="20"/>
    </w:rPr>
  </w:style>
  <w:style w:type="paragraph" w:styleId="TM2">
    <w:name w:val="toc 2"/>
    <w:basedOn w:val="Normal"/>
    <w:next w:val="Normal"/>
    <w:autoRedefine/>
    <w:uiPriority w:val="39"/>
    <w:rsid w:val="004A668F"/>
    <w:pPr>
      <w:ind w:left="181"/>
      <w:jc w:val="left"/>
    </w:pPr>
    <w:rPr>
      <w:rFonts w:ascii="Times New Roman" w:hAnsi="Times New Roman"/>
      <w:bCs/>
      <w:szCs w:val="22"/>
    </w:rPr>
  </w:style>
  <w:style w:type="paragraph" w:styleId="TM3">
    <w:name w:val="toc 3"/>
    <w:basedOn w:val="Normal"/>
    <w:next w:val="Normal"/>
    <w:autoRedefine/>
    <w:uiPriority w:val="39"/>
    <w:rsid w:val="00E71983"/>
    <w:pPr>
      <w:tabs>
        <w:tab w:val="right" w:leader="dot" w:pos="9345"/>
      </w:tabs>
      <w:ind w:left="360"/>
      <w:jc w:val="left"/>
    </w:pPr>
    <w:rPr>
      <w:rFonts w:ascii="Times New Roman" w:eastAsia="Batang" w:hAnsi="Times New Roman"/>
      <w:noProof/>
      <w:szCs w:val="20"/>
      <w:lang w:val="en-US"/>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uiPriority w:val="99"/>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E71983"/>
    <w:pPr>
      <w:widowControl w:val="0"/>
      <w:autoSpaceDE w:val="0"/>
      <w:autoSpaceDN w:val="0"/>
      <w:adjustRightInd w:val="0"/>
      <w:spacing w:line="240" w:lineRule="auto"/>
      <w:jc w:val="left"/>
    </w:pPr>
    <w:rPr>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bCs w:val="0"/>
      <w:i/>
      <w:iCs/>
      <w:sz w:val="24"/>
      <w:szCs w:val="20"/>
      <w:lang w:val="en-GB"/>
    </w:rPr>
  </w:style>
  <w:style w:type="paragraph" w:styleId="Textedebulles">
    <w:name w:val="Balloon Text"/>
    <w:basedOn w:val="Normal"/>
    <w:link w:val="TextedebullesCar"/>
    <w:semiHidden/>
    <w:rsid w:val="004C4B57"/>
    <w:rPr>
      <w:rFonts w:ascii="Tahoma" w:hAnsi="Tahoma" w:cs="Tahoma"/>
      <w:sz w:val="16"/>
      <w:szCs w:val="16"/>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Arial" w:hAnsi="Arial"/>
      <w:b/>
      <w:sz w:val="22"/>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801BDF"/>
    <w:pPr>
      <w:tabs>
        <w:tab w:val="center" w:pos="4536"/>
        <w:tab w:val="right" w:pos="9072"/>
      </w:tabs>
    </w:pPr>
  </w:style>
  <w:style w:type="character" w:customStyle="1" w:styleId="En-tteCar">
    <w:name w:val="En-tête Car"/>
    <w:link w:val="En-tte"/>
    <w:rsid w:val="00801BDF"/>
    <w:rPr>
      <w:rFonts w:ascii="Trebuchet MS" w:hAnsi="Trebuchet MS"/>
      <w:sz w:val="18"/>
      <w:szCs w:val="24"/>
      <w:lang w:val="fr-FR" w:eastAsia="fr-FR"/>
    </w:rPr>
  </w:style>
  <w:style w:type="character" w:customStyle="1" w:styleId="Titre4Car">
    <w:name w:val="Titre 4 Car"/>
    <w:aliases w:val="heading 4 Car,T4 Car,Titre 1.1.1.1 Car,Edf Titre 4 Car,paragraphe[1] Car,4 Car,Tempo Heading 4 Car,4 dash Car,d Car,THIRD Car,Description Car,Dash Car,description Car,Third Car,03 Dash Car,-&gt;1. Car,dash Car,H4 Car,p Car,4numbers Car,h4 Car"/>
    <w:link w:val="Titre4"/>
    <w:rsid w:val="0089273E"/>
    <w:rPr>
      <w:rFonts w:ascii="Trebuchet MS" w:hAnsi="Trebuchet MS"/>
      <w:bCs/>
      <w:sz w:val="23"/>
      <w:szCs w:val="28"/>
      <w:lang w:val="en-US" w:eastAsia="fr-FR"/>
    </w:rPr>
  </w:style>
  <w:style w:type="paragraph" w:styleId="Lgende">
    <w:name w:val="caption"/>
    <w:basedOn w:val="Normal"/>
    <w:next w:val="Normal"/>
    <w:unhideWhenUsed/>
    <w:qFormat/>
    <w:rsid w:val="00BE1C25"/>
    <w:pPr>
      <w:jc w:val="center"/>
    </w:pPr>
    <w:rPr>
      <w:b/>
      <w:bCs/>
      <w:sz w:val="20"/>
      <w:szCs w:val="20"/>
    </w:rPr>
  </w:style>
  <w:style w:type="character" w:styleId="Appelnotedebasdep">
    <w:name w:val="footnote reference"/>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paragraph" w:styleId="Rvision">
    <w:name w:val="Revision"/>
    <w:hidden/>
    <w:uiPriority w:val="99"/>
    <w:semiHidden/>
    <w:rsid w:val="009109AE"/>
    <w:rPr>
      <w:rFonts w:ascii="Trebuchet MS" w:hAnsi="Trebuchet MS"/>
      <w:sz w:val="18"/>
      <w:lang w:val="fr-FR" w:eastAsia="fr-FR"/>
    </w:rPr>
  </w:style>
  <w:style w:type="paragraph" w:customStyle="1" w:styleId="ASAMPSA2Reference">
    <w:name w:val="ASAMPSA2 Reference"/>
    <w:basedOn w:val="Normal"/>
    <w:next w:val="Normal"/>
    <w:rsid w:val="00761F43"/>
    <w:pPr>
      <w:tabs>
        <w:tab w:val="num" w:pos="720"/>
      </w:tabs>
      <w:ind w:left="720" w:hanging="720"/>
    </w:pPr>
    <w:rPr>
      <w:lang w:val="en-US"/>
    </w:rPr>
  </w:style>
  <w:style w:type="paragraph" w:customStyle="1" w:styleId="ASAMPSA2Table">
    <w:name w:val="ASAMPSA2 Table"/>
    <w:basedOn w:val="Normal"/>
    <w:next w:val="Normal"/>
    <w:link w:val="ASAMPSA2TableCar"/>
    <w:rsid w:val="00761F43"/>
    <w:pPr>
      <w:widowControl w:val="0"/>
      <w:numPr>
        <w:numId w:val="13"/>
      </w:numPr>
      <w:jc w:val="center"/>
    </w:pPr>
    <w:rPr>
      <w:b/>
      <w:lang w:val="en-US" w:eastAsia="ko-KR"/>
    </w:rPr>
  </w:style>
  <w:style w:type="character" w:customStyle="1" w:styleId="ASAMPSA2TableCar">
    <w:name w:val="ASAMPSA2 Table Car"/>
    <w:link w:val="ASAMPSA2Table"/>
    <w:locked/>
    <w:rsid w:val="00761F43"/>
    <w:rPr>
      <w:rFonts w:ascii="Arial" w:hAnsi="Arial"/>
      <w:b/>
      <w:sz w:val="22"/>
      <w:szCs w:val="24"/>
      <w:lang w:val="en-US" w:eastAsia="ko-KR"/>
    </w:rPr>
  </w:style>
  <w:style w:type="paragraph" w:customStyle="1" w:styleId="ASAMPSA2Figure">
    <w:name w:val="ASAMPSA2 Figure"/>
    <w:basedOn w:val="Normal"/>
    <w:next w:val="Normal"/>
    <w:link w:val="ASAMPSA2FigureCarCar"/>
    <w:rsid w:val="00057C72"/>
    <w:pPr>
      <w:tabs>
        <w:tab w:val="num" w:pos="567"/>
      </w:tabs>
      <w:ind w:left="737" w:hanging="737"/>
      <w:jc w:val="center"/>
    </w:pPr>
    <w:rPr>
      <w:b/>
      <w:lang w:val="en-GB" w:eastAsia="ko-KR"/>
    </w:rPr>
  </w:style>
  <w:style w:type="character" w:customStyle="1" w:styleId="ASAMPSA2FigureCarCar">
    <w:name w:val="ASAMPSA2 Figure Car Car"/>
    <w:link w:val="ASAMPSA2Figure"/>
    <w:locked/>
    <w:rsid w:val="00057C72"/>
    <w:rPr>
      <w:rFonts w:ascii="Trebuchet MS" w:hAnsi="Trebuchet MS"/>
      <w:b/>
      <w:sz w:val="18"/>
      <w:szCs w:val="24"/>
      <w:lang w:val="en-GB" w:eastAsia="ko-KR"/>
    </w:rPr>
  </w:style>
  <w:style w:type="paragraph" w:styleId="Titre">
    <w:name w:val="Title"/>
    <w:basedOn w:val="Normal"/>
    <w:next w:val="Normal"/>
    <w:link w:val="TitreCar"/>
    <w:qFormat/>
    <w:rsid w:val="002B3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2B3B85"/>
    <w:rPr>
      <w:rFonts w:asciiTheme="majorHAnsi" w:eastAsiaTheme="majorEastAsia" w:hAnsiTheme="majorHAnsi" w:cstheme="majorBidi"/>
      <w:color w:val="17365D" w:themeColor="text2" w:themeShade="BF"/>
      <w:spacing w:val="5"/>
      <w:kern w:val="28"/>
      <w:sz w:val="52"/>
      <w:szCs w:val="52"/>
      <w:lang w:val="fr-FR" w:eastAsia="fr-FR"/>
    </w:rPr>
  </w:style>
  <w:style w:type="paragraph" w:customStyle="1" w:styleId="EdfParagraphe">
    <w:name w:val="Edf Paragraphe"/>
    <w:basedOn w:val="Normal"/>
    <w:qFormat/>
    <w:rsid w:val="00030534"/>
    <w:pPr>
      <w:keepLines/>
      <w:spacing w:after="120" w:line="240" w:lineRule="auto"/>
      <w:ind w:left="284"/>
    </w:pPr>
    <w:rPr>
      <w:sz w:val="20"/>
      <w:szCs w:val="22"/>
    </w:rPr>
  </w:style>
  <w:style w:type="paragraph" w:customStyle="1" w:styleId="EndNoteBibliography">
    <w:name w:val="EndNote Bibliography"/>
    <w:basedOn w:val="Normal"/>
    <w:link w:val="EndNoteBibliographyChar"/>
    <w:rsid w:val="00B706AA"/>
    <w:pPr>
      <w:spacing w:after="200" w:line="240" w:lineRule="auto"/>
      <w:jc w:val="left"/>
    </w:pPr>
    <w:rPr>
      <w:rFonts w:ascii="Calibri" w:eastAsiaTheme="minorHAnsi" w:hAnsi="Calibri" w:cstheme="minorBidi"/>
      <w:noProof/>
      <w:szCs w:val="22"/>
      <w:lang w:val="en-US" w:eastAsia="en-US"/>
    </w:rPr>
  </w:style>
  <w:style w:type="character" w:customStyle="1" w:styleId="EndNoteBibliographyChar">
    <w:name w:val="EndNote Bibliography Char"/>
    <w:basedOn w:val="Policepardfaut"/>
    <w:link w:val="EndNoteBibliography"/>
    <w:rsid w:val="00B706AA"/>
    <w:rPr>
      <w:rFonts w:ascii="Calibri" w:eastAsiaTheme="minorHAnsi" w:hAnsi="Calibri" w:cstheme="minorBidi"/>
      <w:noProof/>
      <w:sz w:val="22"/>
      <w:szCs w:val="22"/>
      <w:lang w:val="en-US" w:eastAsia="en-US"/>
    </w:rPr>
  </w:style>
  <w:style w:type="paragraph" w:customStyle="1" w:styleId="NormalText">
    <w:name w:val="NormalText"/>
    <w:basedOn w:val="Normal"/>
    <w:rsid w:val="00872B08"/>
    <w:pPr>
      <w:suppressAutoHyphens/>
      <w:autoSpaceDE w:val="0"/>
      <w:autoSpaceDN w:val="0"/>
      <w:spacing w:line="240" w:lineRule="auto"/>
    </w:pPr>
    <w:rPr>
      <w:rFonts w:ascii="Times New Roman" w:eastAsia="PMingLiU" w:hAnsi="Times New Roman"/>
      <w:szCs w:val="22"/>
      <w:lang w:val="en-US" w:eastAsia="en-US"/>
    </w:rPr>
  </w:style>
  <w:style w:type="paragraph" w:customStyle="1" w:styleId="Normaljustification">
    <w:name w:val="Normal+justification"/>
    <w:basedOn w:val="Normal"/>
    <w:rsid w:val="00872B08"/>
    <w:pPr>
      <w:keepNext/>
      <w:keepLines/>
      <w:jc w:val="center"/>
    </w:pPr>
    <w:rPr>
      <w:rFonts w:ascii="Times New Roman" w:hAnsi="Times New Roman"/>
      <w:sz w:val="24"/>
      <w:lang w:val="en-US" w:eastAsia="en-GB"/>
    </w:rPr>
  </w:style>
  <w:style w:type="paragraph" w:customStyle="1" w:styleId="bodytext">
    <w:name w:val="bodytext"/>
    <w:basedOn w:val="Normal"/>
    <w:rsid w:val="0065539F"/>
    <w:pPr>
      <w:spacing w:before="120" w:after="120" w:line="360" w:lineRule="auto"/>
      <w:jc w:val="left"/>
    </w:pPr>
    <w:rPr>
      <w:lang w:val="sk-SK" w:eastAsia="sk-SK"/>
    </w:rPr>
  </w:style>
  <w:style w:type="character" w:customStyle="1" w:styleId="citationnews">
    <w:name w:val="citation news"/>
    <w:basedOn w:val="Policepardfaut"/>
    <w:rsid w:val="00872B08"/>
    <w:rPr>
      <w:rFonts w:cs="Times New Roman"/>
    </w:rPr>
  </w:style>
  <w:style w:type="character" w:customStyle="1" w:styleId="Titre5Car">
    <w:name w:val="Titre 5 Car"/>
    <w:aliases w:val="T5 Car,Titre 1.1.1.1.1 Car,Edf Titre 5 Car,paragraphe[2] Car,H5 Car,Tempo Heading 5 Car,-&gt;a. Car,Heading 5 - Mandatory requirements Car,5 sub-bullet Car,sb Car,Ooh Car,heading 5 Car,Titolo 5 Carattere1 Car,Titolo 5 Carattere Carattere Car"/>
    <w:basedOn w:val="Policepardfaut"/>
    <w:link w:val="Titre5"/>
    <w:rsid w:val="002D3B69"/>
    <w:rPr>
      <w:rFonts w:ascii="Trebuchet MS" w:hAnsi="Trebuchet MS"/>
      <w:b/>
      <w:bCs/>
      <w:iCs/>
      <w:sz w:val="23"/>
      <w:szCs w:val="26"/>
      <w:lang w:val="fr-FR" w:eastAsia="fr-FR"/>
    </w:rPr>
  </w:style>
  <w:style w:type="character" w:customStyle="1" w:styleId="Titre6Car">
    <w:name w:val="Titre 6 Car"/>
    <w:aliases w:val="T6 Car,Edf Titre 6 Car"/>
    <w:basedOn w:val="Policepardfaut"/>
    <w:link w:val="Titre6"/>
    <w:rsid w:val="002D3B69"/>
    <w:rPr>
      <w:rFonts w:ascii="Trebuchet MS" w:hAnsi="Trebuchet MS"/>
      <w:bCs/>
      <w:i/>
      <w:sz w:val="23"/>
      <w:szCs w:val="22"/>
      <w:lang w:val="fr-FR" w:eastAsia="fr-FR"/>
    </w:rPr>
  </w:style>
  <w:style w:type="character" w:customStyle="1" w:styleId="Titre7Car">
    <w:name w:val="Titre 7 Car"/>
    <w:aliases w:val="T7 Car,Edf Titre 7 Car"/>
    <w:basedOn w:val="Policepardfaut"/>
    <w:link w:val="Titre7"/>
    <w:rsid w:val="002D3B69"/>
    <w:rPr>
      <w:rFonts w:ascii="Trebuchet MS" w:hAnsi="Trebuchet MS"/>
      <w:b/>
      <w:szCs w:val="24"/>
      <w:u w:val="single"/>
      <w:lang w:val="fr-FR" w:eastAsia="fr-FR"/>
    </w:rPr>
  </w:style>
  <w:style w:type="character" w:customStyle="1" w:styleId="Titre8Car">
    <w:name w:val="Titre 8 Car"/>
    <w:aliases w:val="T8 Car,Edf Titre 8 Car,liste[2] Car,liste 2 Car,Appendix Titre 3 Car,heading 8 Car,Appendix Titre 31 Car,liste 21 Car,Heading 81 Car,Appendix Titre 32 Car,liste 22 Car,Heading 82 Car,Appendix Titre 33 Car,liste 23 Car,Heading 83 Car,8 Car"/>
    <w:basedOn w:val="Policepardfaut"/>
    <w:link w:val="Titre8"/>
    <w:rsid w:val="002D3B69"/>
    <w:rPr>
      <w:rFonts w:ascii="Trebuchet MS" w:hAnsi="Trebuchet MS"/>
      <w:b/>
      <w:iCs/>
      <w:szCs w:val="24"/>
      <w:lang w:val="fr-FR" w:eastAsia="fr-FR"/>
    </w:rPr>
  </w:style>
  <w:style w:type="character" w:customStyle="1" w:styleId="Titre9Car">
    <w:name w:val="Titre 9 Car"/>
    <w:aliases w:val="T9 Car,Edf Titre 9 Car,liste[3] Car,Titolo 10 Car,Appendix Titre 4 Car,heading 9 Car,Appendice Car,Appendice 9 Car,Heading 10 Car,heading 10 Car,Appendix Titre 41 Car,Heading 91 Car,Appendix Titre 42 Car,Heading 92 Car,Appendix Titre 43 Car"/>
    <w:basedOn w:val="Policepardfaut"/>
    <w:link w:val="Titre9"/>
    <w:rsid w:val="002D3B69"/>
    <w:rPr>
      <w:rFonts w:ascii="Trebuchet MS" w:hAnsi="Trebuchet MS" w:cs="Arial"/>
      <w:i/>
      <w:szCs w:val="22"/>
      <w:lang w:val="fr-FR" w:eastAsia="fr-FR"/>
    </w:rPr>
  </w:style>
  <w:style w:type="character" w:customStyle="1" w:styleId="ExplorateurdedocumentsCar">
    <w:name w:val="Explorateur de documents Car"/>
    <w:basedOn w:val="Policepardfaut"/>
    <w:link w:val="Explorateurdedocuments"/>
    <w:semiHidden/>
    <w:rsid w:val="002D3B69"/>
    <w:rPr>
      <w:rFonts w:ascii="Tahoma" w:hAnsi="Tahoma" w:cs="Tahoma"/>
      <w:shd w:val="clear" w:color="auto" w:fill="000080"/>
      <w:lang w:val="fr-FR" w:eastAsia="fr-FR"/>
    </w:rPr>
  </w:style>
  <w:style w:type="character" w:customStyle="1" w:styleId="PieddepageCar">
    <w:name w:val="Pied de page Car"/>
    <w:basedOn w:val="Policepardfaut"/>
    <w:link w:val="Pieddepage"/>
    <w:uiPriority w:val="99"/>
    <w:rsid w:val="002D3B69"/>
    <w:rPr>
      <w:rFonts w:ascii="Trebuchet MS" w:hAnsi="Trebuchet MS"/>
      <w:sz w:val="18"/>
      <w:szCs w:val="24"/>
      <w:lang w:val="fr-FR" w:eastAsia="fr-FR"/>
    </w:rPr>
  </w:style>
  <w:style w:type="character" w:customStyle="1" w:styleId="NotedebasdepageCar">
    <w:name w:val="Note de bas de page Car"/>
    <w:basedOn w:val="Policepardfaut"/>
    <w:link w:val="Notedebasdepage"/>
    <w:uiPriority w:val="99"/>
    <w:semiHidden/>
    <w:rsid w:val="00E71983"/>
    <w:rPr>
      <w:rFonts w:ascii="Trebuchet MS" w:hAnsi="Trebuchet MS"/>
      <w:sz w:val="18"/>
      <w:lang w:val="fr-FR" w:eastAsia="fr-FR"/>
    </w:rPr>
  </w:style>
  <w:style w:type="character" w:customStyle="1" w:styleId="TextedebullesCar">
    <w:name w:val="Texte de bulles Car"/>
    <w:basedOn w:val="Policepardfaut"/>
    <w:link w:val="Textedebulles"/>
    <w:semiHidden/>
    <w:rsid w:val="002D3B69"/>
    <w:rPr>
      <w:rFonts w:ascii="Tahoma" w:hAnsi="Tahoma" w:cs="Tahoma"/>
      <w:sz w:val="16"/>
      <w:szCs w:val="16"/>
      <w:lang w:val="fr-FR" w:eastAsia="fr-FR"/>
    </w:rPr>
  </w:style>
  <w:style w:type="paragraph" w:customStyle="1" w:styleId="Style3">
    <w:name w:val="Style3"/>
    <w:basedOn w:val="Normal"/>
    <w:next w:val="Normal"/>
    <w:rsid w:val="002D3B69"/>
    <w:pPr>
      <w:numPr>
        <w:numId w:val="36"/>
      </w:numPr>
      <w:spacing w:before="240" w:after="240" w:line="240" w:lineRule="auto"/>
      <w:jc w:val="left"/>
    </w:pPr>
    <w:rPr>
      <w:rFonts w:ascii="Times New Roman" w:hAnsi="Times New Roman"/>
      <w:b/>
      <w:sz w:val="24"/>
      <w:u w:val="single"/>
      <w:lang w:val="en-GB" w:eastAsia="en-GB"/>
    </w:rPr>
  </w:style>
  <w:style w:type="character" w:customStyle="1" w:styleId="st">
    <w:name w:val="st"/>
    <w:basedOn w:val="Policepardfaut"/>
    <w:rsid w:val="002D3B69"/>
  </w:style>
  <w:style w:type="paragraph" w:customStyle="1" w:styleId="authors">
    <w:name w:val="authors"/>
    <w:basedOn w:val="Normal"/>
    <w:rsid w:val="002D3B69"/>
    <w:pPr>
      <w:spacing w:before="100" w:beforeAutospacing="1" w:after="100" w:afterAutospacing="1" w:line="240" w:lineRule="auto"/>
      <w:jc w:val="left"/>
    </w:pPr>
    <w:rPr>
      <w:rFonts w:ascii="Times New Roman" w:hAnsi="Times New Roman"/>
      <w:sz w:val="24"/>
      <w:lang w:val="sk-SK" w:eastAsia="sk-SK"/>
    </w:rPr>
  </w:style>
  <w:style w:type="character" w:customStyle="1" w:styleId="reference-text">
    <w:name w:val="reference-text"/>
    <w:basedOn w:val="Policepardfaut"/>
    <w:rsid w:val="002D3B69"/>
  </w:style>
  <w:style w:type="character" w:styleId="Lienhypertextesuivivisit">
    <w:name w:val="FollowedHyperlink"/>
    <w:basedOn w:val="Policepardfaut"/>
    <w:rsid w:val="0070145C"/>
    <w:rPr>
      <w:color w:val="800080" w:themeColor="followedHyperlink"/>
      <w:u w:val="single"/>
    </w:rPr>
  </w:style>
  <w:style w:type="paragraph" w:customStyle="1" w:styleId="Els-body-text">
    <w:name w:val="Els-body-text"/>
    <w:rsid w:val="00CC3236"/>
    <w:pPr>
      <w:keepNext/>
      <w:spacing w:line="240" w:lineRule="exact"/>
      <w:ind w:firstLine="238"/>
      <w:jc w:val="both"/>
    </w:pPr>
    <w:rPr>
      <w:lang w:val="en-US" w:eastAsia="en-US"/>
    </w:rPr>
  </w:style>
  <w:style w:type="paragraph" w:styleId="Tabledesillustrations">
    <w:name w:val="table of figures"/>
    <w:basedOn w:val="Normal"/>
    <w:next w:val="Normal"/>
    <w:uiPriority w:val="99"/>
    <w:rsid w:val="003854D4"/>
    <w:pPr>
      <w:ind w:left="360" w:hanging="360"/>
    </w:pPr>
  </w:style>
  <w:style w:type="character" w:customStyle="1" w:styleId="Heading1Char">
    <w:name w:val="Heading 1 Char"/>
    <w:aliases w:val="Titre1. Char,T1 Char,Edf Titre 1 Char,heading 1 Char"/>
    <w:basedOn w:val="Policepardfaut"/>
    <w:locked/>
    <w:rsid w:val="00AF7197"/>
    <w:rPr>
      <w:rFonts w:ascii="Cambria" w:eastAsia="MS Gothic" w:hAnsi="Cambria" w:cs="Times New Roman"/>
      <w:b/>
      <w:bCs/>
      <w:kern w:val="32"/>
      <w:sz w:val="32"/>
      <w:szCs w:val="32"/>
      <w:lang w:val="fr-FR" w:eastAsia="fr-FR"/>
    </w:rPr>
  </w:style>
  <w:style w:type="character" w:customStyle="1" w:styleId="Heading2Char">
    <w:name w:val="Heading 2 Char"/>
    <w:aliases w:val="T2 Char,(paragrafi) Char,Rubrique évènement Char,Titre 1.1 Char,Edf Titre 2 Char,2 Char,h2 Char,Level 2 Char,w2 Char,sub-sect Char,Titre 2 Char,H2 Char,título 2 Char,Tempo Heading 2 Char,CAPITOLO Char,-&gt;1.1 Char,ERMH2 Char,ERMH21 Char"/>
    <w:basedOn w:val="Policepardfaut"/>
    <w:locked/>
    <w:rsid w:val="00AF7197"/>
    <w:rPr>
      <w:rFonts w:ascii="Cambria" w:eastAsia="MS Gothic" w:hAnsi="Cambria" w:cs="Times New Roman"/>
      <w:b/>
      <w:bCs/>
      <w:i/>
      <w:iCs/>
      <w:sz w:val="28"/>
      <w:szCs w:val="28"/>
      <w:lang w:val="fr-FR" w:eastAsia="fr-FR"/>
    </w:rPr>
  </w:style>
  <w:style w:type="character" w:customStyle="1" w:styleId="Heading4Char">
    <w:name w:val="Heading 4 Char"/>
    <w:aliases w:val="T4 Char,Titre 1.1.1.1 Char,Edf Titre 4 Char,paragraphe[1] Char,4 Char,Titre 4 Char,Tempo Heading 4 Char,4 dash Char,d Char,THIRD Char,Description Char,Dash Char,description Char,Third Char,03 Dash Char,-&gt;1. Char,dash Char,H4 Char,p Char"/>
    <w:basedOn w:val="Policepardfaut"/>
    <w:locked/>
    <w:rsid w:val="00AF7197"/>
    <w:rPr>
      <w:rFonts w:ascii="Calibri" w:eastAsia="MS Mincho" w:hAnsi="Calibri" w:cs="Times New Roman"/>
      <w:b/>
      <w:bCs/>
      <w:sz w:val="28"/>
      <w:szCs w:val="28"/>
      <w:lang w:val="fr-FR" w:eastAsia="fr-FR"/>
    </w:rPr>
  </w:style>
  <w:style w:type="character" w:customStyle="1" w:styleId="Heading5Char">
    <w:name w:val="Heading 5 Char"/>
    <w:aliases w:val="T5 Char,Titre 1.1.1.1.1 Char,Edf Titre 5 Char,paragraphe[2] Char,H5 Char,Tempo Heading 5 Char,-&gt;a. Char,Heading 5 - Mandatory requirements Char,5 sub-bullet Char,sb Char,Ooh Char,Titolo 5 Carattere1 Char,Titolo 5 Carattere Carattere Char"/>
    <w:basedOn w:val="Policepardfaut"/>
    <w:locked/>
    <w:rsid w:val="00AF7197"/>
    <w:rPr>
      <w:rFonts w:ascii="Calibri" w:eastAsia="MS Mincho" w:hAnsi="Calibri" w:cs="Times New Roman"/>
      <w:b/>
      <w:bCs/>
      <w:i/>
      <w:iCs/>
      <w:sz w:val="26"/>
      <w:szCs w:val="26"/>
      <w:lang w:val="fr-FR" w:eastAsia="fr-FR"/>
    </w:rPr>
  </w:style>
  <w:style w:type="character" w:customStyle="1" w:styleId="Heading8Char">
    <w:name w:val="Heading 8 Char"/>
    <w:aliases w:val="T8 Char,Edf Titre 8 Char,liste[2] Char,liste 2 Char,Appendix Titre 3 Char,Appendix Titre 31 Char,liste 21 Char,Heading 81 Char,Appendix Titre 32 Char,liste 22 Char,Heading 82 Char,Appendix Titre 33 Char,liste 23 Char,Heading 83 Char"/>
    <w:basedOn w:val="Policepardfaut"/>
    <w:locked/>
    <w:rsid w:val="00AF7197"/>
    <w:rPr>
      <w:rFonts w:ascii="Calibri" w:eastAsia="MS Mincho" w:hAnsi="Calibri" w:cs="Times New Roman"/>
      <w:i/>
      <w:iCs/>
      <w:sz w:val="24"/>
      <w:szCs w:val="24"/>
      <w:lang w:val="fr-FR" w:eastAsia="fr-FR"/>
    </w:rPr>
  </w:style>
  <w:style w:type="character" w:customStyle="1" w:styleId="Heading9Char">
    <w:name w:val="Heading 9 Char"/>
    <w:aliases w:val="T9 Char,Edf Titre 9 Char,liste[3] Char,Titolo 10 Char,Appendix Titre 4 Char,Appendice Char,Appendice 9 Char,Heading 10 Char,heading 10 Char,Appendix Titre 41 Char,Heading 91 Char,Appendix Titre 42 Char,Heading 92 Char,Heading 93 Char"/>
    <w:basedOn w:val="Policepardfaut"/>
    <w:locked/>
    <w:rsid w:val="00AF7197"/>
    <w:rPr>
      <w:rFonts w:ascii="Cambria" w:eastAsia="MS Gothic" w:hAnsi="Cambria" w:cs="Times New Roman"/>
      <w:sz w:val="22"/>
      <w:szCs w:val="22"/>
      <w:lang w:val="fr-FR" w:eastAsia="fr-FR"/>
    </w:rPr>
  </w:style>
  <w:style w:type="character" w:styleId="lev">
    <w:name w:val="Strong"/>
    <w:basedOn w:val="Policepardfaut"/>
    <w:uiPriority w:val="22"/>
    <w:qFormat/>
    <w:rsid w:val="00AF7197"/>
    <w:rPr>
      <w:b/>
      <w:bCs/>
    </w:rPr>
  </w:style>
  <w:style w:type="paragraph" w:styleId="Corpsdetexte">
    <w:name w:val="Body Text"/>
    <w:basedOn w:val="Normal"/>
    <w:link w:val="CorpsdetexteCar"/>
    <w:rsid w:val="00313E82"/>
    <w:pPr>
      <w:spacing w:before="120" w:after="120" w:line="360" w:lineRule="auto"/>
    </w:pPr>
    <w:rPr>
      <w:lang w:val="en-US"/>
    </w:rPr>
  </w:style>
  <w:style w:type="character" w:customStyle="1" w:styleId="CorpsdetexteCar">
    <w:name w:val="Corps de texte Car"/>
    <w:basedOn w:val="Policepardfaut"/>
    <w:link w:val="Corpsdetexte"/>
    <w:rsid w:val="00313E82"/>
    <w:rPr>
      <w:rFonts w:ascii="Arial" w:hAnsi="Arial"/>
      <w:sz w:val="22"/>
      <w:szCs w:val="24"/>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table of figures"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A1D"/>
    <w:pPr>
      <w:spacing w:line="348" w:lineRule="atLeast"/>
      <w:jc w:val="both"/>
    </w:pPr>
    <w:rPr>
      <w:rFonts w:ascii="Trebuchet MS" w:hAnsi="Trebuchet MS"/>
      <w:sz w:val="18"/>
      <w:lang w:val="fr-FR" w:eastAsia="fr-FR"/>
    </w:rPr>
  </w:style>
  <w:style w:type="paragraph" w:styleId="Titre1">
    <w:name w:val="heading 1"/>
    <w:aliases w:val="heading 1,Titre1.,T1,Edf Titre 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Edf Titre 2,2,h2,Level 2,w2,sub-sect,H2,título 2,Tempo Heading 2,CAPITOLO,-&gt;1.1,ERMH2,ERMH21,ERMH22,ERMH23,ERMH24,ERMH25,ERMH26,ERMH27,ERMH28,ERMH29,ERMH210,ERMH211,ERMH212"/>
    <w:basedOn w:val="Normal"/>
    <w:next w:val="Normal"/>
    <w:link w:val="Titre2Car"/>
    <w:qFormat/>
    <w:rsid w:val="00006770"/>
    <w:pPr>
      <w:keepNext/>
      <w:numPr>
        <w:ilvl w:val="1"/>
        <w:numId w:val="1"/>
      </w:numPr>
      <w:spacing w:before="320" w:after="100"/>
      <w:outlineLvl w:val="1"/>
    </w:pPr>
    <w:rPr>
      <w:rFonts w:cs="Arial"/>
      <w:b/>
      <w:bCs/>
      <w:sz w:val="24"/>
    </w:rPr>
  </w:style>
  <w:style w:type="paragraph" w:styleId="Titre3">
    <w:name w:val="heading 3"/>
    <w:aliases w:val="Titre 1.1.1,T3,Edf Titre 3"/>
    <w:basedOn w:val="Normal"/>
    <w:next w:val="Normal"/>
    <w:link w:val="Titre3Car"/>
    <w:qFormat/>
    <w:rsid w:val="00BC4A0E"/>
    <w:pPr>
      <w:keepNext/>
      <w:numPr>
        <w:ilvl w:val="2"/>
        <w:numId w:val="1"/>
      </w:numPr>
      <w:spacing w:before="320" w:after="100"/>
      <w:jc w:val="left"/>
      <w:outlineLvl w:val="2"/>
    </w:pPr>
    <w:rPr>
      <w:rFonts w:cs="Arial"/>
      <w:i/>
      <w:iCs/>
      <w:sz w:val="24"/>
    </w:rPr>
  </w:style>
  <w:style w:type="paragraph" w:styleId="Titre4">
    <w:name w:val="heading 4"/>
    <w:aliases w:val="heading 4,T4,Titre 1.1.1.1,Edf Titre 4,paragraphe[1],4,Tempo Heading 4,4 dash,d,THIRD,Description,Dash,description,Third,03 Dash,-&gt;1.,dash,H4,p,Sottosottoparagrafo,4numbers,h4,[req],AdaTitre1,ergo....,Heading 41,Heading 42,H41"/>
    <w:basedOn w:val="Normal"/>
    <w:next w:val="Normal"/>
    <w:link w:val="Titre4Car"/>
    <w:qFormat/>
    <w:rsid w:val="0089273E"/>
    <w:pPr>
      <w:keepNext/>
      <w:numPr>
        <w:ilvl w:val="3"/>
        <w:numId w:val="1"/>
      </w:numPr>
      <w:spacing w:before="240" w:after="100"/>
      <w:jc w:val="left"/>
      <w:outlineLvl w:val="3"/>
    </w:pPr>
    <w:rPr>
      <w:bCs/>
      <w:sz w:val="23"/>
      <w:szCs w:val="28"/>
      <w:lang w:val="en-US"/>
    </w:rPr>
  </w:style>
  <w:style w:type="paragraph" w:styleId="Titre5">
    <w:name w:val="heading 5"/>
    <w:aliases w:val="T5,Titre 1.1.1.1.1,Edf Titre 5,paragraphe[2],H5,Tempo Heading 5,-&gt;a.,Heading 5 - Mandatory requirements,5 sub-bullet,sb,Ooh,heading 5,Titolo 5 Carattere1,Titolo 5 Carattere Carattere,Heading 5 - Bad,h5,Titre 5-Corps de texte,D Head"/>
    <w:basedOn w:val="Normal"/>
    <w:next w:val="Normal"/>
    <w:link w:val="Titre5Car"/>
    <w:qFormat/>
    <w:rsid w:val="00026241"/>
    <w:pPr>
      <w:numPr>
        <w:ilvl w:val="4"/>
        <w:numId w:val="1"/>
      </w:numPr>
      <w:spacing w:before="240" w:after="100"/>
      <w:jc w:val="left"/>
      <w:outlineLvl w:val="4"/>
    </w:pPr>
    <w:rPr>
      <w:b/>
      <w:bCs/>
      <w:iCs/>
      <w:sz w:val="23"/>
      <w:szCs w:val="26"/>
    </w:rPr>
  </w:style>
  <w:style w:type="paragraph" w:styleId="Titre6">
    <w:name w:val="heading 6"/>
    <w:aliases w:val="T6,Edf Titre 6"/>
    <w:basedOn w:val="Normal"/>
    <w:next w:val="Normal"/>
    <w:link w:val="Titre6Car"/>
    <w:qFormat/>
    <w:rsid w:val="00026241"/>
    <w:pPr>
      <w:numPr>
        <w:ilvl w:val="5"/>
        <w:numId w:val="1"/>
      </w:numPr>
      <w:spacing w:before="240" w:after="100"/>
      <w:jc w:val="left"/>
      <w:outlineLvl w:val="5"/>
    </w:pPr>
    <w:rPr>
      <w:bCs/>
      <w:i/>
      <w:sz w:val="23"/>
      <w:szCs w:val="22"/>
    </w:rPr>
  </w:style>
  <w:style w:type="paragraph" w:styleId="Titre7">
    <w:name w:val="heading 7"/>
    <w:aliases w:val="T7,Edf Titre 7"/>
    <w:basedOn w:val="Normal"/>
    <w:next w:val="Normal"/>
    <w:link w:val="Titre7Car"/>
    <w:qFormat/>
    <w:rsid w:val="00026241"/>
    <w:pPr>
      <w:numPr>
        <w:ilvl w:val="6"/>
        <w:numId w:val="1"/>
      </w:numPr>
      <w:spacing w:before="240" w:after="100"/>
      <w:jc w:val="left"/>
      <w:outlineLvl w:val="6"/>
    </w:pPr>
    <w:rPr>
      <w:b/>
      <w:sz w:val="20"/>
      <w:u w:val="single"/>
    </w:rPr>
  </w:style>
  <w:style w:type="paragraph" w:styleId="Titre8">
    <w:name w:val="heading 8"/>
    <w:aliases w:val="T8,Edf Titre 8,liste[2],liste 2,Appendix Titre 3,heading 8,Appendix Titre 31,liste 21,Heading 81,Appendix Titre 32,liste 22,Heading 82,Appendix Titre 33,liste 23,Heading 83,Appendix Titre 34,liste 24,Heading 84,Appendix Titre 311,8"/>
    <w:basedOn w:val="Normal"/>
    <w:next w:val="Normal"/>
    <w:link w:val="Titre8Car"/>
    <w:qFormat/>
    <w:rsid w:val="00026241"/>
    <w:pPr>
      <w:numPr>
        <w:ilvl w:val="7"/>
        <w:numId w:val="1"/>
      </w:numPr>
      <w:spacing w:before="240" w:after="100"/>
      <w:jc w:val="left"/>
      <w:outlineLvl w:val="7"/>
    </w:pPr>
    <w:rPr>
      <w:b/>
      <w:iCs/>
      <w:sz w:val="20"/>
    </w:rPr>
  </w:style>
  <w:style w:type="paragraph" w:styleId="Titre9">
    <w:name w:val="heading 9"/>
    <w:aliases w:val="T9,Edf Titre 9,liste[3],Titolo 10,Appendix Titre 4,heading 9,Appendice,Appendice 9,Heading 10,heading 10,Appendix Titre 41,Heading 91,Appendix Titre 42,Heading 92,Appendix Titre 43,Heading 93,Appendix Titre 44,Heading 94"/>
    <w:basedOn w:val="Normal"/>
    <w:next w:val="Normal"/>
    <w:link w:val="Titre9Car"/>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Edf Titre 1 Car"/>
    <w:link w:val="Titre1"/>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Edf Titre 2 Car,2 Car,h2 Car,Level 2 Car,w2 Car,sub-sect Car,H2 Car,título 2 Car,Tempo Heading 2 Car,CAPITOLO Car,-&gt;1.1 Car,ERMH2 Car,ERMH21 Car,ERMH22 Car"/>
    <w:link w:val="Titre2"/>
    <w:locked/>
    <w:rsid w:val="00006770"/>
    <w:rPr>
      <w:rFonts w:ascii="Trebuchet MS" w:hAnsi="Trebuchet MS" w:cs="Arial"/>
      <w:b/>
      <w:bCs/>
      <w:lang w:val="fr-FR" w:eastAsia="fr-FR"/>
    </w:rPr>
  </w:style>
  <w:style w:type="character" w:customStyle="1" w:styleId="Titre3Car">
    <w:name w:val="Titre 3 Car"/>
    <w:aliases w:val="Titre 1.1.1 Car,T3 Car,Edf Titre 3 Car"/>
    <w:link w:val="Titre3"/>
    <w:rsid w:val="00BC4A0E"/>
    <w:rPr>
      <w:rFonts w:ascii="Trebuchet MS" w:hAnsi="Trebuchet MS" w:cs="Arial"/>
      <w:i/>
      <w:iCs/>
      <w:lang w:val="fr-FR" w:eastAsia="fr-FR"/>
    </w:rPr>
  </w:style>
  <w:style w:type="paragraph" w:styleId="Explorateurdedocuments">
    <w:name w:val="Document Map"/>
    <w:basedOn w:val="Normal"/>
    <w:link w:val="ExplorateurdedocumentsCar"/>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Arial" w:hAnsi="Arial"/>
      <w:b/>
      <w:sz w:val="22"/>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4A668F"/>
    <w:pPr>
      <w:spacing w:before="120" w:line="360" w:lineRule="auto"/>
      <w:jc w:val="left"/>
    </w:pPr>
    <w:rPr>
      <w:rFonts w:ascii="Times New Roman" w:hAnsi="Times New Roman"/>
      <w:bCs/>
      <w:iCs/>
      <w:sz w:val="20"/>
    </w:rPr>
  </w:style>
  <w:style w:type="paragraph" w:styleId="TM2">
    <w:name w:val="toc 2"/>
    <w:basedOn w:val="Normal"/>
    <w:next w:val="Normal"/>
    <w:autoRedefine/>
    <w:uiPriority w:val="39"/>
    <w:rsid w:val="004A668F"/>
    <w:pPr>
      <w:ind w:left="181"/>
      <w:jc w:val="left"/>
    </w:pPr>
    <w:rPr>
      <w:rFonts w:ascii="Times New Roman" w:hAnsi="Times New Roman"/>
      <w:bCs/>
      <w:szCs w:val="22"/>
    </w:rPr>
  </w:style>
  <w:style w:type="paragraph" w:styleId="TM3">
    <w:name w:val="toc 3"/>
    <w:basedOn w:val="Normal"/>
    <w:next w:val="Normal"/>
    <w:autoRedefine/>
    <w:uiPriority w:val="39"/>
    <w:rsid w:val="00E71983"/>
    <w:pPr>
      <w:tabs>
        <w:tab w:val="right" w:leader="dot" w:pos="9345"/>
      </w:tabs>
      <w:ind w:left="360"/>
      <w:jc w:val="left"/>
    </w:pPr>
    <w:rPr>
      <w:rFonts w:ascii="Times New Roman" w:eastAsia="Batang" w:hAnsi="Times New Roman"/>
      <w:noProof/>
      <w:szCs w:val="20"/>
      <w:lang w:val="en-US"/>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uiPriority w:val="99"/>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E71983"/>
    <w:pPr>
      <w:widowControl w:val="0"/>
      <w:autoSpaceDE w:val="0"/>
      <w:autoSpaceDN w:val="0"/>
      <w:adjustRightInd w:val="0"/>
      <w:spacing w:line="240" w:lineRule="auto"/>
      <w:jc w:val="left"/>
    </w:pPr>
    <w:rPr>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bCs w:val="0"/>
      <w:i/>
      <w:iCs/>
      <w:sz w:val="24"/>
      <w:szCs w:val="20"/>
      <w:lang w:val="en-GB"/>
    </w:rPr>
  </w:style>
  <w:style w:type="paragraph" w:styleId="Textedebulles">
    <w:name w:val="Balloon Text"/>
    <w:basedOn w:val="Normal"/>
    <w:link w:val="TextedebullesCar"/>
    <w:semiHidden/>
    <w:rsid w:val="004C4B57"/>
    <w:rPr>
      <w:rFonts w:ascii="Tahoma" w:hAnsi="Tahoma" w:cs="Tahoma"/>
      <w:sz w:val="16"/>
      <w:szCs w:val="16"/>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Arial" w:hAnsi="Arial"/>
      <w:b/>
      <w:sz w:val="22"/>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801BDF"/>
    <w:pPr>
      <w:tabs>
        <w:tab w:val="center" w:pos="4536"/>
        <w:tab w:val="right" w:pos="9072"/>
      </w:tabs>
    </w:pPr>
  </w:style>
  <w:style w:type="character" w:customStyle="1" w:styleId="En-tteCar">
    <w:name w:val="En-tête Car"/>
    <w:link w:val="En-tte"/>
    <w:rsid w:val="00801BDF"/>
    <w:rPr>
      <w:rFonts w:ascii="Trebuchet MS" w:hAnsi="Trebuchet MS"/>
      <w:sz w:val="18"/>
      <w:szCs w:val="24"/>
      <w:lang w:val="fr-FR" w:eastAsia="fr-FR"/>
    </w:rPr>
  </w:style>
  <w:style w:type="character" w:customStyle="1" w:styleId="Titre4Car">
    <w:name w:val="Titre 4 Car"/>
    <w:aliases w:val="heading 4 Car,T4 Car,Titre 1.1.1.1 Car,Edf Titre 4 Car,paragraphe[1] Car,4 Car,Tempo Heading 4 Car,4 dash Car,d Car,THIRD Car,Description Car,Dash Car,description Car,Third Car,03 Dash Car,-&gt;1. Car,dash Car,H4 Car,p Car,4numbers Car,h4 Car"/>
    <w:link w:val="Titre4"/>
    <w:rsid w:val="0089273E"/>
    <w:rPr>
      <w:rFonts w:ascii="Trebuchet MS" w:hAnsi="Trebuchet MS"/>
      <w:bCs/>
      <w:sz w:val="23"/>
      <w:szCs w:val="28"/>
      <w:lang w:val="en-US" w:eastAsia="fr-FR"/>
    </w:rPr>
  </w:style>
  <w:style w:type="paragraph" w:styleId="Lgende">
    <w:name w:val="caption"/>
    <w:basedOn w:val="Normal"/>
    <w:next w:val="Normal"/>
    <w:unhideWhenUsed/>
    <w:qFormat/>
    <w:rsid w:val="00BE1C25"/>
    <w:pPr>
      <w:jc w:val="center"/>
    </w:pPr>
    <w:rPr>
      <w:b/>
      <w:bCs/>
      <w:sz w:val="20"/>
      <w:szCs w:val="20"/>
    </w:rPr>
  </w:style>
  <w:style w:type="character" w:styleId="Appelnotedebasdep">
    <w:name w:val="footnote reference"/>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paragraph" w:styleId="Rvision">
    <w:name w:val="Revision"/>
    <w:hidden/>
    <w:uiPriority w:val="99"/>
    <w:semiHidden/>
    <w:rsid w:val="009109AE"/>
    <w:rPr>
      <w:rFonts w:ascii="Trebuchet MS" w:hAnsi="Trebuchet MS"/>
      <w:sz w:val="18"/>
      <w:lang w:val="fr-FR" w:eastAsia="fr-FR"/>
    </w:rPr>
  </w:style>
  <w:style w:type="paragraph" w:customStyle="1" w:styleId="ASAMPSA2Reference">
    <w:name w:val="ASAMPSA2 Reference"/>
    <w:basedOn w:val="Normal"/>
    <w:next w:val="Normal"/>
    <w:rsid w:val="00761F43"/>
    <w:pPr>
      <w:tabs>
        <w:tab w:val="num" w:pos="720"/>
      </w:tabs>
      <w:ind w:left="720" w:hanging="720"/>
    </w:pPr>
    <w:rPr>
      <w:lang w:val="en-US"/>
    </w:rPr>
  </w:style>
  <w:style w:type="paragraph" w:customStyle="1" w:styleId="ASAMPSA2Table">
    <w:name w:val="ASAMPSA2 Table"/>
    <w:basedOn w:val="Normal"/>
    <w:next w:val="Normal"/>
    <w:link w:val="ASAMPSA2TableCar"/>
    <w:rsid w:val="00761F43"/>
    <w:pPr>
      <w:widowControl w:val="0"/>
      <w:numPr>
        <w:numId w:val="13"/>
      </w:numPr>
      <w:jc w:val="center"/>
    </w:pPr>
    <w:rPr>
      <w:b/>
      <w:lang w:val="en-US" w:eastAsia="ko-KR"/>
    </w:rPr>
  </w:style>
  <w:style w:type="character" w:customStyle="1" w:styleId="ASAMPSA2TableCar">
    <w:name w:val="ASAMPSA2 Table Car"/>
    <w:link w:val="ASAMPSA2Table"/>
    <w:locked/>
    <w:rsid w:val="00761F43"/>
    <w:rPr>
      <w:rFonts w:ascii="Arial" w:hAnsi="Arial"/>
      <w:b/>
      <w:sz w:val="22"/>
      <w:szCs w:val="24"/>
      <w:lang w:val="en-US" w:eastAsia="ko-KR"/>
    </w:rPr>
  </w:style>
  <w:style w:type="paragraph" w:customStyle="1" w:styleId="ASAMPSA2Figure">
    <w:name w:val="ASAMPSA2 Figure"/>
    <w:basedOn w:val="Normal"/>
    <w:next w:val="Normal"/>
    <w:link w:val="ASAMPSA2FigureCarCar"/>
    <w:rsid w:val="00057C72"/>
    <w:pPr>
      <w:tabs>
        <w:tab w:val="num" w:pos="567"/>
      </w:tabs>
      <w:ind w:left="737" w:hanging="737"/>
      <w:jc w:val="center"/>
    </w:pPr>
    <w:rPr>
      <w:b/>
      <w:lang w:val="en-GB" w:eastAsia="ko-KR"/>
    </w:rPr>
  </w:style>
  <w:style w:type="character" w:customStyle="1" w:styleId="ASAMPSA2FigureCarCar">
    <w:name w:val="ASAMPSA2 Figure Car Car"/>
    <w:link w:val="ASAMPSA2Figure"/>
    <w:locked/>
    <w:rsid w:val="00057C72"/>
    <w:rPr>
      <w:rFonts w:ascii="Trebuchet MS" w:hAnsi="Trebuchet MS"/>
      <w:b/>
      <w:sz w:val="18"/>
      <w:szCs w:val="24"/>
      <w:lang w:val="en-GB" w:eastAsia="ko-KR"/>
    </w:rPr>
  </w:style>
  <w:style w:type="paragraph" w:styleId="Titre">
    <w:name w:val="Title"/>
    <w:basedOn w:val="Normal"/>
    <w:next w:val="Normal"/>
    <w:link w:val="TitreCar"/>
    <w:qFormat/>
    <w:rsid w:val="002B3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2B3B85"/>
    <w:rPr>
      <w:rFonts w:asciiTheme="majorHAnsi" w:eastAsiaTheme="majorEastAsia" w:hAnsiTheme="majorHAnsi" w:cstheme="majorBidi"/>
      <w:color w:val="17365D" w:themeColor="text2" w:themeShade="BF"/>
      <w:spacing w:val="5"/>
      <w:kern w:val="28"/>
      <w:sz w:val="52"/>
      <w:szCs w:val="52"/>
      <w:lang w:val="fr-FR" w:eastAsia="fr-FR"/>
    </w:rPr>
  </w:style>
  <w:style w:type="paragraph" w:customStyle="1" w:styleId="EdfParagraphe">
    <w:name w:val="Edf Paragraphe"/>
    <w:basedOn w:val="Normal"/>
    <w:qFormat/>
    <w:rsid w:val="00030534"/>
    <w:pPr>
      <w:keepLines/>
      <w:spacing w:after="120" w:line="240" w:lineRule="auto"/>
      <w:ind w:left="284"/>
    </w:pPr>
    <w:rPr>
      <w:sz w:val="20"/>
      <w:szCs w:val="22"/>
    </w:rPr>
  </w:style>
  <w:style w:type="paragraph" w:customStyle="1" w:styleId="EndNoteBibliography">
    <w:name w:val="EndNote Bibliography"/>
    <w:basedOn w:val="Normal"/>
    <w:link w:val="EndNoteBibliographyChar"/>
    <w:rsid w:val="00B706AA"/>
    <w:pPr>
      <w:spacing w:after="200" w:line="240" w:lineRule="auto"/>
      <w:jc w:val="left"/>
    </w:pPr>
    <w:rPr>
      <w:rFonts w:ascii="Calibri" w:eastAsiaTheme="minorHAnsi" w:hAnsi="Calibri" w:cstheme="minorBidi"/>
      <w:noProof/>
      <w:szCs w:val="22"/>
      <w:lang w:val="en-US" w:eastAsia="en-US"/>
    </w:rPr>
  </w:style>
  <w:style w:type="character" w:customStyle="1" w:styleId="EndNoteBibliographyChar">
    <w:name w:val="EndNote Bibliography Char"/>
    <w:basedOn w:val="Policepardfaut"/>
    <w:link w:val="EndNoteBibliography"/>
    <w:rsid w:val="00B706AA"/>
    <w:rPr>
      <w:rFonts w:ascii="Calibri" w:eastAsiaTheme="minorHAnsi" w:hAnsi="Calibri" w:cstheme="minorBidi"/>
      <w:noProof/>
      <w:sz w:val="22"/>
      <w:szCs w:val="22"/>
      <w:lang w:val="en-US" w:eastAsia="en-US"/>
    </w:rPr>
  </w:style>
  <w:style w:type="paragraph" w:customStyle="1" w:styleId="NormalText">
    <w:name w:val="NormalText"/>
    <w:basedOn w:val="Normal"/>
    <w:rsid w:val="00872B08"/>
    <w:pPr>
      <w:suppressAutoHyphens/>
      <w:autoSpaceDE w:val="0"/>
      <w:autoSpaceDN w:val="0"/>
      <w:spacing w:line="240" w:lineRule="auto"/>
    </w:pPr>
    <w:rPr>
      <w:rFonts w:ascii="Times New Roman" w:eastAsia="PMingLiU" w:hAnsi="Times New Roman"/>
      <w:szCs w:val="22"/>
      <w:lang w:val="en-US" w:eastAsia="en-US"/>
    </w:rPr>
  </w:style>
  <w:style w:type="paragraph" w:customStyle="1" w:styleId="Normaljustification">
    <w:name w:val="Normal+justification"/>
    <w:basedOn w:val="Normal"/>
    <w:rsid w:val="00872B08"/>
    <w:pPr>
      <w:keepNext/>
      <w:keepLines/>
      <w:jc w:val="center"/>
    </w:pPr>
    <w:rPr>
      <w:rFonts w:ascii="Times New Roman" w:hAnsi="Times New Roman"/>
      <w:sz w:val="24"/>
      <w:lang w:val="en-US" w:eastAsia="en-GB"/>
    </w:rPr>
  </w:style>
  <w:style w:type="paragraph" w:customStyle="1" w:styleId="bodytext">
    <w:name w:val="bodytext"/>
    <w:basedOn w:val="Normal"/>
    <w:rsid w:val="0065539F"/>
    <w:pPr>
      <w:spacing w:before="120" w:after="120" w:line="360" w:lineRule="auto"/>
      <w:jc w:val="left"/>
    </w:pPr>
    <w:rPr>
      <w:lang w:val="sk-SK" w:eastAsia="sk-SK"/>
    </w:rPr>
  </w:style>
  <w:style w:type="character" w:customStyle="1" w:styleId="citationnews">
    <w:name w:val="citation news"/>
    <w:basedOn w:val="Policepardfaut"/>
    <w:rsid w:val="00872B08"/>
    <w:rPr>
      <w:rFonts w:cs="Times New Roman"/>
    </w:rPr>
  </w:style>
  <w:style w:type="character" w:customStyle="1" w:styleId="Titre5Car">
    <w:name w:val="Titre 5 Car"/>
    <w:aliases w:val="T5 Car,Titre 1.1.1.1.1 Car,Edf Titre 5 Car,paragraphe[2] Car,H5 Car,Tempo Heading 5 Car,-&gt;a. Car,Heading 5 - Mandatory requirements Car,5 sub-bullet Car,sb Car,Ooh Car,heading 5 Car,Titolo 5 Carattere1 Car,Titolo 5 Carattere Carattere Car"/>
    <w:basedOn w:val="Policepardfaut"/>
    <w:link w:val="Titre5"/>
    <w:rsid w:val="002D3B69"/>
    <w:rPr>
      <w:rFonts w:ascii="Trebuchet MS" w:hAnsi="Trebuchet MS"/>
      <w:b/>
      <w:bCs/>
      <w:iCs/>
      <w:sz w:val="23"/>
      <w:szCs w:val="26"/>
      <w:lang w:val="fr-FR" w:eastAsia="fr-FR"/>
    </w:rPr>
  </w:style>
  <w:style w:type="character" w:customStyle="1" w:styleId="Titre6Car">
    <w:name w:val="Titre 6 Car"/>
    <w:aliases w:val="T6 Car,Edf Titre 6 Car"/>
    <w:basedOn w:val="Policepardfaut"/>
    <w:link w:val="Titre6"/>
    <w:rsid w:val="002D3B69"/>
    <w:rPr>
      <w:rFonts w:ascii="Trebuchet MS" w:hAnsi="Trebuchet MS"/>
      <w:bCs/>
      <w:i/>
      <w:sz w:val="23"/>
      <w:szCs w:val="22"/>
      <w:lang w:val="fr-FR" w:eastAsia="fr-FR"/>
    </w:rPr>
  </w:style>
  <w:style w:type="character" w:customStyle="1" w:styleId="Titre7Car">
    <w:name w:val="Titre 7 Car"/>
    <w:aliases w:val="T7 Car,Edf Titre 7 Car"/>
    <w:basedOn w:val="Policepardfaut"/>
    <w:link w:val="Titre7"/>
    <w:rsid w:val="002D3B69"/>
    <w:rPr>
      <w:rFonts w:ascii="Trebuchet MS" w:hAnsi="Trebuchet MS"/>
      <w:b/>
      <w:szCs w:val="24"/>
      <w:u w:val="single"/>
      <w:lang w:val="fr-FR" w:eastAsia="fr-FR"/>
    </w:rPr>
  </w:style>
  <w:style w:type="character" w:customStyle="1" w:styleId="Titre8Car">
    <w:name w:val="Titre 8 Car"/>
    <w:aliases w:val="T8 Car,Edf Titre 8 Car,liste[2] Car,liste 2 Car,Appendix Titre 3 Car,heading 8 Car,Appendix Titre 31 Car,liste 21 Car,Heading 81 Car,Appendix Titre 32 Car,liste 22 Car,Heading 82 Car,Appendix Titre 33 Car,liste 23 Car,Heading 83 Car,8 Car"/>
    <w:basedOn w:val="Policepardfaut"/>
    <w:link w:val="Titre8"/>
    <w:rsid w:val="002D3B69"/>
    <w:rPr>
      <w:rFonts w:ascii="Trebuchet MS" w:hAnsi="Trebuchet MS"/>
      <w:b/>
      <w:iCs/>
      <w:szCs w:val="24"/>
      <w:lang w:val="fr-FR" w:eastAsia="fr-FR"/>
    </w:rPr>
  </w:style>
  <w:style w:type="character" w:customStyle="1" w:styleId="Titre9Car">
    <w:name w:val="Titre 9 Car"/>
    <w:aliases w:val="T9 Car,Edf Titre 9 Car,liste[3] Car,Titolo 10 Car,Appendix Titre 4 Car,heading 9 Car,Appendice Car,Appendice 9 Car,Heading 10 Car,heading 10 Car,Appendix Titre 41 Car,Heading 91 Car,Appendix Titre 42 Car,Heading 92 Car,Appendix Titre 43 Car"/>
    <w:basedOn w:val="Policepardfaut"/>
    <w:link w:val="Titre9"/>
    <w:rsid w:val="002D3B69"/>
    <w:rPr>
      <w:rFonts w:ascii="Trebuchet MS" w:hAnsi="Trebuchet MS" w:cs="Arial"/>
      <w:i/>
      <w:szCs w:val="22"/>
      <w:lang w:val="fr-FR" w:eastAsia="fr-FR"/>
    </w:rPr>
  </w:style>
  <w:style w:type="character" w:customStyle="1" w:styleId="ExplorateurdedocumentsCar">
    <w:name w:val="Explorateur de documents Car"/>
    <w:basedOn w:val="Policepardfaut"/>
    <w:link w:val="Explorateurdedocuments"/>
    <w:semiHidden/>
    <w:rsid w:val="002D3B69"/>
    <w:rPr>
      <w:rFonts w:ascii="Tahoma" w:hAnsi="Tahoma" w:cs="Tahoma"/>
      <w:shd w:val="clear" w:color="auto" w:fill="000080"/>
      <w:lang w:val="fr-FR" w:eastAsia="fr-FR"/>
    </w:rPr>
  </w:style>
  <w:style w:type="character" w:customStyle="1" w:styleId="PieddepageCar">
    <w:name w:val="Pied de page Car"/>
    <w:basedOn w:val="Policepardfaut"/>
    <w:link w:val="Pieddepage"/>
    <w:uiPriority w:val="99"/>
    <w:rsid w:val="002D3B69"/>
    <w:rPr>
      <w:rFonts w:ascii="Trebuchet MS" w:hAnsi="Trebuchet MS"/>
      <w:sz w:val="18"/>
      <w:szCs w:val="24"/>
      <w:lang w:val="fr-FR" w:eastAsia="fr-FR"/>
    </w:rPr>
  </w:style>
  <w:style w:type="character" w:customStyle="1" w:styleId="NotedebasdepageCar">
    <w:name w:val="Note de bas de page Car"/>
    <w:basedOn w:val="Policepardfaut"/>
    <w:link w:val="Notedebasdepage"/>
    <w:uiPriority w:val="99"/>
    <w:semiHidden/>
    <w:rsid w:val="00E71983"/>
    <w:rPr>
      <w:rFonts w:ascii="Trebuchet MS" w:hAnsi="Trebuchet MS"/>
      <w:sz w:val="18"/>
      <w:lang w:val="fr-FR" w:eastAsia="fr-FR"/>
    </w:rPr>
  </w:style>
  <w:style w:type="character" w:customStyle="1" w:styleId="TextedebullesCar">
    <w:name w:val="Texte de bulles Car"/>
    <w:basedOn w:val="Policepardfaut"/>
    <w:link w:val="Textedebulles"/>
    <w:semiHidden/>
    <w:rsid w:val="002D3B69"/>
    <w:rPr>
      <w:rFonts w:ascii="Tahoma" w:hAnsi="Tahoma" w:cs="Tahoma"/>
      <w:sz w:val="16"/>
      <w:szCs w:val="16"/>
      <w:lang w:val="fr-FR" w:eastAsia="fr-FR"/>
    </w:rPr>
  </w:style>
  <w:style w:type="paragraph" w:customStyle="1" w:styleId="Style3">
    <w:name w:val="Style3"/>
    <w:basedOn w:val="Normal"/>
    <w:next w:val="Normal"/>
    <w:rsid w:val="002D3B69"/>
    <w:pPr>
      <w:numPr>
        <w:numId w:val="36"/>
      </w:numPr>
      <w:spacing w:before="240" w:after="240" w:line="240" w:lineRule="auto"/>
      <w:jc w:val="left"/>
    </w:pPr>
    <w:rPr>
      <w:rFonts w:ascii="Times New Roman" w:hAnsi="Times New Roman"/>
      <w:b/>
      <w:sz w:val="24"/>
      <w:u w:val="single"/>
      <w:lang w:val="en-GB" w:eastAsia="en-GB"/>
    </w:rPr>
  </w:style>
  <w:style w:type="character" w:customStyle="1" w:styleId="st">
    <w:name w:val="st"/>
    <w:basedOn w:val="Policepardfaut"/>
    <w:rsid w:val="002D3B69"/>
  </w:style>
  <w:style w:type="paragraph" w:customStyle="1" w:styleId="authors">
    <w:name w:val="authors"/>
    <w:basedOn w:val="Normal"/>
    <w:rsid w:val="002D3B69"/>
    <w:pPr>
      <w:spacing w:before="100" w:beforeAutospacing="1" w:after="100" w:afterAutospacing="1" w:line="240" w:lineRule="auto"/>
      <w:jc w:val="left"/>
    </w:pPr>
    <w:rPr>
      <w:rFonts w:ascii="Times New Roman" w:hAnsi="Times New Roman"/>
      <w:sz w:val="24"/>
      <w:lang w:val="sk-SK" w:eastAsia="sk-SK"/>
    </w:rPr>
  </w:style>
  <w:style w:type="character" w:customStyle="1" w:styleId="reference-text">
    <w:name w:val="reference-text"/>
    <w:basedOn w:val="Policepardfaut"/>
    <w:rsid w:val="002D3B69"/>
  </w:style>
  <w:style w:type="character" w:styleId="Lienhypertextesuivivisit">
    <w:name w:val="FollowedHyperlink"/>
    <w:basedOn w:val="Policepardfaut"/>
    <w:rsid w:val="0070145C"/>
    <w:rPr>
      <w:color w:val="800080" w:themeColor="followedHyperlink"/>
      <w:u w:val="single"/>
    </w:rPr>
  </w:style>
  <w:style w:type="paragraph" w:customStyle="1" w:styleId="Els-body-text">
    <w:name w:val="Els-body-text"/>
    <w:rsid w:val="00CC3236"/>
    <w:pPr>
      <w:keepNext/>
      <w:spacing w:line="240" w:lineRule="exact"/>
      <w:ind w:firstLine="238"/>
      <w:jc w:val="both"/>
    </w:pPr>
    <w:rPr>
      <w:lang w:val="en-US" w:eastAsia="en-US"/>
    </w:rPr>
  </w:style>
  <w:style w:type="paragraph" w:styleId="Tabledesillustrations">
    <w:name w:val="table of figures"/>
    <w:basedOn w:val="Normal"/>
    <w:next w:val="Normal"/>
    <w:uiPriority w:val="99"/>
    <w:rsid w:val="003854D4"/>
    <w:pPr>
      <w:ind w:left="360" w:hanging="360"/>
    </w:pPr>
  </w:style>
  <w:style w:type="character" w:customStyle="1" w:styleId="Heading1Char">
    <w:name w:val="Heading 1 Char"/>
    <w:aliases w:val="Titre1. Char,T1 Char,Edf Titre 1 Char,heading 1 Char"/>
    <w:basedOn w:val="Policepardfaut"/>
    <w:locked/>
    <w:rsid w:val="00AF7197"/>
    <w:rPr>
      <w:rFonts w:ascii="Cambria" w:eastAsia="MS Gothic" w:hAnsi="Cambria" w:cs="Times New Roman"/>
      <w:b/>
      <w:bCs/>
      <w:kern w:val="32"/>
      <w:sz w:val="32"/>
      <w:szCs w:val="32"/>
      <w:lang w:val="fr-FR" w:eastAsia="fr-FR"/>
    </w:rPr>
  </w:style>
  <w:style w:type="character" w:customStyle="1" w:styleId="Heading2Char">
    <w:name w:val="Heading 2 Char"/>
    <w:aliases w:val="T2 Char,(paragrafi) Char,Rubrique évènement Char,Titre 1.1 Char,Edf Titre 2 Char,2 Char,h2 Char,Level 2 Char,w2 Char,sub-sect Char,Titre 2 Char,H2 Char,título 2 Char,Tempo Heading 2 Char,CAPITOLO Char,-&gt;1.1 Char,ERMH2 Char,ERMH21 Char"/>
    <w:basedOn w:val="Policepardfaut"/>
    <w:locked/>
    <w:rsid w:val="00AF7197"/>
    <w:rPr>
      <w:rFonts w:ascii="Cambria" w:eastAsia="MS Gothic" w:hAnsi="Cambria" w:cs="Times New Roman"/>
      <w:b/>
      <w:bCs/>
      <w:i/>
      <w:iCs/>
      <w:sz w:val="28"/>
      <w:szCs w:val="28"/>
      <w:lang w:val="fr-FR" w:eastAsia="fr-FR"/>
    </w:rPr>
  </w:style>
  <w:style w:type="character" w:customStyle="1" w:styleId="Heading4Char">
    <w:name w:val="Heading 4 Char"/>
    <w:aliases w:val="T4 Char,Titre 1.1.1.1 Char,Edf Titre 4 Char,paragraphe[1] Char,4 Char,Titre 4 Char,Tempo Heading 4 Char,4 dash Char,d Char,THIRD Char,Description Char,Dash Char,description Char,Third Char,03 Dash Char,-&gt;1. Char,dash Char,H4 Char,p Char"/>
    <w:basedOn w:val="Policepardfaut"/>
    <w:locked/>
    <w:rsid w:val="00AF7197"/>
    <w:rPr>
      <w:rFonts w:ascii="Calibri" w:eastAsia="MS Mincho" w:hAnsi="Calibri" w:cs="Times New Roman"/>
      <w:b/>
      <w:bCs/>
      <w:sz w:val="28"/>
      <w:szCs w:val="28"/>
      <w:lang w:val="fr-FR" w:eastAsia="fr-FR"/>
    </w:rPr>
  </w:style>
  <w:style w:type="character" w:customStyle="1" w:styleId="Heading5Char">
    <w:name w:val="Heading 5 Char"/>
    <w:aliases w:val="T5 Char,Titre 1.1.1.1.1 Char,Edf Titre 5 Char,paragraphe[2] Char,H5 Char,Tempo Heading 5 Char,-&gt;a. Char,Heading 5 - Mandatory requirements Char,5 sub-bullet Char,sb Char,Ooh Char,Titolo 5 Carattere1 Char,Titolo 5 Carattere Carattere Char"/>
    <w:basedOn w:val="Policepardfaut"/>
    <w:locked/>
    <w:rsid w:val="00AF7197"/>
    <w:rPr>
      <w:rFonts w:ascii="Calibri" w:eastAsia="MS Mincho" w:hAnsi="Calibri" w:cs="Times New Roman"/>
      <w:b/>
      <w:bCs/>
      <w:i/>
      <w:iCs/>
      <w:sz w:val="26"/>
      <w:szCs w:val="26"/>
      <w:lang w:val="fr-FR" w:eastAsia="fr-FR"/>
    </w:rPr>
  </w:style>
  <w:style w:type="character" w:customStyle="1" w:styleId="Heading8Char">
    <w:name w:val="Heading 8 Char"/>
    <w:aliases w:val="T8 Char,Edf Titre 8 Char,liste[2] Char,liste 2 Char,Appendix Titre 3 Char,Appendix Titre 31 Char,liste 21 Char,Heading 81 Char,Appendix Titre 32 Char,liste 22 Char,Heading 82 Char,Appendix Titre 33 Char,liste 23 Char,Heading 83 Char"/>
    <w:basedOn w:val="Policepardfaut"/>
    <w:locked/>
    <w:rsid w:val="00AF7197"/>
    <w:rPr>
      <w:rFonts w:ascii="Calibri" w:eastAsia="MS Mincho" w:hAnsi="Calibri" w:cs="Times New Roman"/>
      <w:i/>
      <w:iCs/>
      <w:sz w:val="24"/>
      <w:szCs w:val="24"/>
      <w:lang w:val="fr-FR" w:eastAsia="fr-FR"/>
    </w:rPr>
  </w:style>
  <w:style w:type="character" w:customStyle="1" w:styleId="Heading9Char">
    <w:name w:val="Heading 9 Char"/>
    <w:aliases w:val="T9 Char,Edf Titre 9 Char,liste[3] Char,Titolo 10 Char,Appendix Titre 4 Char,Appendice Char,Appendice 9 Char,Heading 10 Char,heading 10 Char,Appendix Titre 41 Char,Heading 91 Char,Appendix Titre 42 Char,Heading 92 Char,Heading 93 Char"/>
    <w:basedOn w:val="Policepardfaut"/>
    <w:locked/>
    <w:rsid w:val="00AF7197"/>
    <w:rPr>
      <w:rFonts w:ascii="Cambria" w:eastAsia="MS Gothic" w:hAnsi="Cambria" w:cs="Times New Roman"/>
      <w:sz w:val="22"/>
      <w:szCs w:val="22"/>
      <w:lang w:val="fr-FR" w:eastAsia="fr-FR"/>
    </w:rPr>
  </w:style>
  <w:style w:type="character" w:styleId="lev">
    <w:name w:val="Strong"/>
    <w:basedOn w:val="Policepardfaut"/>
    <w:uiPriority w:val="22"/>
    <w:qFormat/>
    <w:rsid w:val="00AF7197"/>
    <w:rPr>
      <w:b/>
      <w:bCs/>
    </w:rPr>
  </w:style>
  <w:style w:type="paragraph" w:styleId="Corpsdetexte">
    <w:name w:val="Body Text"/>
    <w:basedOn w:val="Normal"/>
    <w:link w:val="CorpsdetexteCar"/>
    <w:rsid w:val="00313E82"/>
    <w:pPr>
      <w:spacing w:before="120" w:after="120" w:line="360" w:lineRule="auto"/>
    </w:pPr>
    <w:rPr>
      <w:lang w:val="en-US"/>
    </w:rPr>
  </w:style>
  <w:style w:type="character" w:customStyle="1" w:styleId="CorpsdetexteCar">
    <w:name w:val="Corps de texte Car"/>
    <w:basedOn w:val="Policepardfaut"/>
    <w:link w:val="Corpsdetexte"/>
    <w:rsid w:val="00313E82"/>
    <w:rPr>
      <w:rFonts w:ascii="Arial" w:hAnsi="Arial"/>
      <w:sz w:val="22"/>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2908">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54970">
      <w:bodyDiv w:val="1"/>
      <w:marLeft w:val="0"/>
      <w:marRight w:val="0"/>
      <w:marTop w:val="0"/>
      <w:marBottom w:val="0"/>
      <w:divBdr>
        <w:top w:val="none" w:sz="0" w:space="0" w:color="auto"/>
        <w:left w:val="none" w:sz="0" w:space="0" w:color="auto"/>
        <w:bottom w:val="none" w:sz="0" w:space="0" w:color="auto"/>
        <w:right w:val="none" w:sz="0" w:space="0" w:color="auto"/>
      </w:divBdr>
      <w:divsChild>
        <w:div w:id="331415779">
          <w:marLeft w:val="346"/>
          <w:marRight w:val="0"/>
          <w:marTop w:val="115"/>
          <w:marBottom w:val="0"/>
          <w:divBdr>
            <w:top w:val="none" w:sz="0" w:space="0" w:color="auto"/>
            <w:left w:val="none" w:sz="0" w:space="0" w:color="auto"/>
            <w:bottom w:val="none" w:sz="0" w:space="0" w:color="auto"/>
            <w:right w:val="none" w:sz="0" w:space="0" w:color="auto"/>
          </w:divBdr>
        </w:div>
      </w:divsChild>
    </w:div>
    <w:div w:id="379671067">
      <w:bodyDiv w:val="1"/>
      <w:marLeft w:val="0"/>
      <w:marRight w:val="0"/>
      <w:marTop w:val="0"/>
      <w:marBottom w:val="0"/>
      <w:divBdr>
        <w:top w:val="none" w:sz="0" w:space="0" w:color="auto"/>
        <w:left w:val="none" w:sz="0" w:space="0" w:color="auto"/>
        <w:bottom w:val="none" w:sz="0" w:space="0" w:color="auto"/>
        <w:right w:val="none" w:sz="0" w:space="0" w:color="auto"/>
      </w:divBdr>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590311021">
      <w:bodyDiv w:val="1"/>
      <w:marLeft w:val="0"/>
      <w:marRight w:val="0"/>
      <w:marTop w:val="0"/>
      <w:marBottom w:val="0"/>
      <w:divBdr>
        <w:top w:val="none" w:sz="0" w:space="0" w:color="auto"/>
        <w:left w:val="none" w:sz="0" w:space="0" w:color="auto"/>
        <w:bottom w:val="none" w:sz="0" w:space="0" w:color="auto"/>
        <w:right w:val="none" w:sz="0" w:space="0" w:color="auto"/>
      </w:divBdr>
      <w:divsChild>
        <w:div w:id="924609054">
          <w:marLeft w:val="547"/>
          <w:marRight w:val="0"/>
          <w:marTop w:val="77"/>
          <w:marBottom w:val="0"/>
          <w:divBdr>
            <w:top w:val="none" w:sz="0" w:space="0" w:color="auto"/>
            <w:left w:val="none" w:sz="0" w:space="0" w:color="auto"/>
            <w:bottom w:val="none" w:sz="0" w:space="0" w:color="auto"/>
            <w:right w:val="none" w:sz="0" w:space="0" w:color="auto"/>
          </w:divBdr>
        </w:div>
      </w:divsChild>
    </w:div>
    <w:div w:id="678972056">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28954">
      <w:bodyDiv w:val="1"/>
      <w:marLeft w:val="0"/>
      <w:marRight w:val="0"/>
      <w:marTop w:val="0"/>
      <w:marBottom w:val="0"/>
      <w:divBdr>
        <w:top w:val="none" w:sz="0" w:space="0" w:color="auto"/>
        <w:left w:val="none" w:sz="0" w:space="0" w:color="auto"/>
        <w:bottom w:val="none" w:sz="0" w:space="0" w:color="auto"/>
        <w:right w:val="none" w:sz="0" w:space="0" w:color="auto"/>
      </w:divBdr>
      <w:divsChild>
        <w:div w:id="81730773">
          <w:marLeft w:val="1166"/>
          <w:marRight w:val="0"/>
          <w:marTop w:val="125"/>
          <w:marBottom w:val="0"/>
          <w:divBdr>
            <w:top w:val="none" w:sz="0" w:space="0" w:color="auto"/>
            <w:left w:val="none" w:sz="0" w:space="0" w:color="auto"/>
            <w:bottom w:val="none" w:sz="0" w:space="0" w:color="auto"/>
            <w:right w:val="none" w:sz="0" w:space="0" w:color="auto"/>
          </w:divBdr>
        </w:div>
        <w:div w:id="482821505">
          <w:marLeft w:val="1166"/>
          <w:marRight w:val="0"/>
          <w:marTop w:val="125"/>
          <w:marBottom w:val="0"/>
          <w:divBdr>
            <w:top w:val="none" w:sz="0" w:space="0" w:color="auto"/>
            <w:left w:val="none" w:sz="0" w:space="0" w:color="auto"/>
            <w:bottom w:val="none" w:sz="0" w:space="0" w:color="auto"/>
            <w:right w:val="none" w:sz="0" w:space="0" w:color="auto"/>
          </w:divBdr>
        </w:div>
        <w:div w:id="730081211">
          <w:marLeft w:val="1166"/>
          <w:marRight w:val="0"/>
          <w:marTop w:val="125"/>
          <w:marBottom w:val="0"/>
          <w:divBdr>
            <w:top w:val="none" w:sz="0" w:space="0" w:color="auto"/>
            <w:left w:val="none" w:sz="0" w:space="0" w:color="auto"/>
            <w:bottom w:val="none" w:sz="0" w:space="0" w:color="auto"/>
            <w:right w:val="none" w:sz="0" w:space="0" w:color="auto"/>
          </w:divBdr>
        </w:div>
        <w:div w:id="844515081">
          <w:marLeft w:val="547"/>
          <w:marRight w:val="0"/>
          <w:marTop w:val="144"/>
          <w:marBottom w:val="0"/>
          <w:divBdr>
            <w:top w:val="none" w:sz="0" w:space="0" w:color="auto"/>
            <w:left w:val="none" w:sz="0" w:space="0" w:color="auto"/>
            <w:bottom w:val="none" w:sz="0" w:space="0" w:color="auto"/>
            <w:right w:val="none" w:sz="0" w:space="0" w:color="auto"/>
          </w:divBdr>
        </w:div>
        <w:div w:id="867909282">
          <w:marLeft w:val="1166"/>
          <w:marRight w:val="0"/>
          <w:marTop w:val="125"/>
          <w:marBottom w:val="0"/>
          <w:divBdr>
            <w:top w:val="none" w:sz="0" w:space="0" w:color="auto"/>
            <w:left w:val="none" w:sz="0" w:space="0" w:color="auto"/>
            <w:bottom w:val="none" w:sz="0" w:space="0" w:color="auto"/>
            <w:right w:val="none" w:sz="0" w:space="0" w:color="auto"/>
          </w:divBdr>
        </w:div>
        <w:div w:id="1324311669">
          <w:marLeft w:val="1166"/>
          <w:marRight w:val="0"/>
          <w:marTop w:val="125"/>
          <w:marBottom w:val="0"/>
          <w:divBdr>
            <w:top w:val="none" w:sz="0" w:space="0" w:color="auto"/>
            <w:left w:val="none" w:sz="0" w:space="0" w:color="auto"/>
            <w:bottom w:val="none" w:sz="0" w:space="0" w:color="auto"/>
            <w:right w:val="none" w:sz="0" w:space="0" w:color="auto"/>
          </w:divBdr>
        </w:div>
        <w:div w:id="2117286862">
          <w:marLeft w:val="1166"/>
          <w:marRight w:val="0"/>
          <w:marTop w:val="125"/>
          <w:marBottom w:val="0"/>
          <w:divBdr>
            <w:top w:val="none" w:sz="0" w:space="0" w:color="auto"/>
            <w:left w:val="none" w:sz="0" w:space="0" w:color="auto"/>
            <w:bottom w:val="none" w:sz="0" w:space="0" w:color="auto"/>
            <w:right w:val="none" w:sz="0" w:space="0" w:color="auto"/>
          </w:divBdr>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79772367">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8521">
      <w:bodyDiv w:val="1"/>
      <w:marLeft w:val="0"/>
      <w:marRight w:val="0"/>
      <w:marTop w:val="0"/>
      <w:marBottom w:val="0"/>
      <w:divBdr>
        <w:top w:val="none" w:sz="0" w:space="0" w:color="auto"/>
        <w:left w:val="none" w:sz="0" w:space="0" w:color="auto"/>
        <w:bottom w:val="none" w:sz="0" w:space="0" w:color="auto"/>
        <w:right w:val="none" w:sz="0" w:space="0" w:color="auto"/>
      </w:divBdr>
    </w:div>
    <w:div w:id="1107582980">
      <w:bodyDiv w:val="1"/>
      <w:marLeft w:val="0"/>
      <w:marRight w:val="0"/>
      <w:marTop w:val="0"/>
      <w:marBottom w:val="0"/>
      <w:divBdr>
        <w:top w:val="none" w:sz="0" w:space="0" w:color="auto"/>
        <w:left w:val="none" w:sz="0" w:space="0" w:color="auto"/>
        <w:bottom w:val="none" w:sz="0" w:space="0" w:color="auto"/>
        <w:right w:val="none" w:sz="0" w:space="0" w:color="auto"/>
      </w:divBdr>
      <w:divsChild>
        <w:div w:id="1443954726">
          <w:marLeft w:val="547"/>
          <w:marRight w:val="0"/>
          <w:marTop w:val="96"/>
          <w:marBottom w:val="0"/>
          <w:divBdr>
            <w:top w:val="none" w:sz="0" w:space="0" w:color="auto"/>
            <w:left w:val="none" w:sz="0" w:space="0" w:color="auto"/>
            <w:bottom w:val="none" w:sz="0" w:space="0" w:color="auto"/>
            <w:right w:val="none" w:sz="0" w:space="0" w:color="auto"/>
          </w:divBdr>
        </w:div>
      </w:divsChild>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4700">
      <w:bodyDiv w:val="1"/>
      <w:marLeft w:val="0"/>
      <w:marRight w:val="0"/>
      <w:marTop w:val="0"/>
      <w:marBottom w:val="0"/>
      <w:divBdr>
        <w:top w:val="none" w:sz="0" w:space="0" w:color="auto"/>
        <w:left w:val="none" w:sz="0" w:space="0" w:color="auto"/>
        <w:bottom w:val="none" w:sz="0" w:space="0" w:color="auto"/>
        <w:right w:val="none" w:sz="0" w:space="0" w:color="auto"/>
      </w:divBdr>
    </w:div>
    <w:div w:id="1308511724">
      <w:bodyDiv w:val="1"/>
      <w:marLeft w:val="0"/>
      <w:marRight w:val="0"/>
      <w:marTop w:val="0"/>
      <w:marBottom w:val="0"/>
      <w:divBdr>
        <w:top w:val="none" w:sz="0" w:space="0" w:color="auto"/>
        <w:left w:val="none" w:sz="0" w:space="0" w:color="auto"/>
        <w:bottom w:val="none" w:sz="0" w:space="0" w:color="auto"/>
        <w:right w:val="none" w:sz="0" w:space="0" w:color="auto"/>
      </w:divBdr>
      <w:divsChild>
        <w:div w:id="721052510">
          <w:marLeft w:val="1152"/>
          <w:marRight w:val="0"/>
          <w:marTop w:val="86"/>
          <w:marBottom w:val="0"/>
          <w:divBdr>
            <w:top w:val="none" w:sz="0" w:space="0" w:color="auto"/>
            <w:left w:val="none" w:sz="0" w:space="0" w:color="auto"/>
            <w:bottom w:val="none" w:sz="0" w:space="0" w:color="auto"/>
            <w:right w:val="none" w:sz="0" w:space="0" w:color="auto"/>
          </w:divBdr>
        </w:div>
        <w:div w:id="790634623">
          <w:marLeft w:val="1152"/>
          <w:marRight w:val="0"/>
          <w:marTop w:val="86"/>
          <w:marBottom w:val="0"/>
          <w:divBdr>
            <w:top w:val="none" w:sz="0" w:space="0" w:color="auto"/>
            <w:left w:val="none" w:sz="0" w:space="0" w:color="auto"/>
            <w:bottom w:val="none" w:sz="0" w:space="0" w:color="auto"/>
            <w:right w:val="none" w:sz="0" w:space="0" w:color="auto"/>
          </w:divBdr>
        </w:div>
        <w:div w:id="855774738">
          <w:marLeft w:val="346"/>
          <w:marRight w:val="0"/>
          <w:marTop w:val="115"/>
          <w:marBottom w:val="0"/>
          <w:divBdr>
            <w:top w:val="none" w:sz="0" w:space="0" w:color="auto"/>
            <w:left w:val="none" w:sz="0" w:space="0" w:color="auto"/>
            <w:bottom w:val="none" w:sz="0" w:space="0" w:color="auto"/>
            <w:right w:val="none" w:sz="0" w:space="0" w:color="auto"/>
          </w:divBdr>
        </w:div>
        <w:div w:id="975767524">
          <w:marLeft w:val="1152"/>
          <w:marRight w:val="0"/>
          <w:marTop w:val="86"/>
          <w:marBottom w:val="0"/>
          <w:divBdr>
            <w:top w:val="none" w:sz="0" w:space="0" w:color="auto"/>
            <w:left w:val="none" w:sz="0" w:space="0" w:color="auto"/>
            <w:bottom w:val="none" w:sz="0" w:space="0" w:color="auto"/>
            <w:right w:val="none" w:sz="0" w:space="0" w:color="auto"/>
          </w:divBdr>
        </w:div>
        <w:div w:id="1054308062">
          <w:marLeft w:val="1152"/>
          <w:marRight w:val="0"/>
          <w:marTop w:val="86"/>
          <w:marBottom w:val="0"/>
          <w:divBdr>
            <w:top w:val="none" w:sz="0" w:space="0" w:color="auto"/>
            <w:left w:val="none" w:sz="0" w:space="0" w:color="auto"/>
            <w:bottom w:val="none" w:sz="0" w:space="0" w:color="auto"/>
            <w:right w:val="none" w:sz="0" w:space="0" w:color="auto"/>
          </w:divBdr>
        </w:div>
        <w:div w:id="1234200335">
          <w:marLeft w:val="346"/>
          <w:marRight w:val="0"/>
          <w:marTop w:val="115"/>
          <w:marBottom w:val="0"/>
          <w:divBdr>
            <w:top w:val="none" w:sz="0" w:space="0" w:color="auto"/>
            <w:left w:val="none" w:sz="0" w:space="0" w:color="auto"/>
            <w:bottom w:val="none" w:sz="0" w:space="0" w:color="auto"/>
            <w:right w:val="none" w:sz="0" w:space="0" w:color="auto"/>
          </w:divBdr>
        </w:div>
        <w:div w:id="1253051070">
          <w:marLeft w:val="346"/>
          <w:marRight w:val="0"/>
          <w:marTop w:val="115"/>
          <w:marBottom w:val="0"/>
          <w:divBdr>
            <w:top w:val="none" w:sz="0" w:space="0" w:color="auto"/>
            <w:left w:val="none" w:sz="0" w:space="0" w:color="auto"/>
            <w:bottom w:val="none" w:sz="0" w:space="0" w:color="auto"/>
            <w:right w:val="none" w:sz="0" w:space="0" w:color="auto"/>
          </w:divBdr>
        </w:div>
        <w:div w:id="1565726045">
          <w:marLeft w:val="1152"/>
          <w:marRight w:val="0"/>
          <w:marTop w:val="86"/>
          <w:marBottom w:val="0"/>
          <w:divBdr>
            <w:top w:val="none" w:sz="0" w:space="0" w:color="auto"/>
            <w:left w:val="none" w:sz="0" w:space="0" w:color="auto"/>
            <w:bottom w:val="none" w:sz="0" w:space="0" w:color="auto"/>
            <w:right w:val="none" w:sz="0" w:space="0" w:color="auto"/>
          </w:divBdr>
        </w:div>
      </w:divsChild>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4293">
      <w:bodyDiv w:val="1"/>
      <w:marLeft w:val="0"/>
      <w:marRight w:val="0"/>
      <w:marTop w:val="0"/>
      <w:marBottom w:val="0"/>
      <w:divBdr>
        <w:top w:val="none" w:sz="0" w:space="0" w:color="auto"/>
        <w:left w:val="none" w:sz="0" w:space="0" w:color="auto"/>
        <w:bottom w:val="none" w:sz="0" w:space="0" w:color="auto"/>
        <w:right w:val="none" w:sz="0" w:space="0" w:color="auto"/>
      </w:divBdr>
      <w:divsChild>
        <w:div w:id="126625310">
          <w:marLeft w:val="1152"/>
          <w:marRight w:val="0"/>
          <w:marTop w:val="86"/>
          <w:marBottom w:val="0"/>
          <w:divBdr>
            <w:top w:val="none" w:sz="0" w:space="0" w:color="auto"/>
            <w:left w:val="none" w:sz="0" w:space="0" w:color="auto"/>
            <w:bottom w:val="none" w:sz="0" w:space="0" w:color="auto"/>
            <w:right w:val="none" w:sz="0" w:space="0" w:color="auto"/>
          </w:divBdr>
        </w:div>
        <w:div w:id="314917368">
          <w:marLeft w:val="1152"/>
          <w:marRight w:val="0"/>
          <w:marTop w:val="86"/>
          <w:marBottom w:val="0"/>
          <w:divBdr>
            <w:top w:val="none" w:sz="0" w:space="0" w:color="auto"/>
            <w:left w:val="none" w:sz="0" w:space="0" w:color="auto"/>
            <w:bottom w:val="none" w:sz="0" w:space="0" w:color="auto"/>
            <w:right w:val="none" w:sz="0" w:space="0" w:color="auto"/>
          </w:divBdr>
        </w:div>
        <w:div w:id="552081014">
          <w:marLeft w:val="1152"/>
          <w:marRight w:val="0"/>
          <w:marTop w:val="86"/>
          <w:marBottom w:val="0"/>
          <w:divBdr>
            <w:top w:val="none" w:sz="0" w:space="0" w:color="auto"/>
            <w:left w:val="none" w:sz="0" w:space="0" w:color="auto"/>
            <w:bottom w:val="none" w:sz="0" w:space="0" w:color="auto"/>
            <w:right w:val="none" w:sz="0" w:space="0" w:color="auto"/>
          </w:divBdr>
        </w:div>
        <w:div w:id="621886559">
          <w:marLeft w:val="346"/>
          <w:marRight w:val="0"/>
          <w:marTop w:val="115"/>
          <w:marBottom w:val="0"/>
          <w:divBdr>
            <w:top w:val="none" w:sz="0" w:space="0" w:color="auto"/>
            <w:left w:val="none" w:sz="0" w:space="0" w:color="auto"/>
            <w:bottom w:val="none" w:sz="0" w:space="0" w:color="auto"/>
            <w:right w:val="none" w:sz="0" w:space="0" w:color="auto"/>
          </w:divBdr>
        </w:div>
        <w:div w:id="871383444">
          <w:marLeft w:val="346"/>
          <w:marRight w:val="0"/>
          <w:marTop w:val="115"/>
          <w:marBottom w:val="0"/>
          <w:divBdr>
            <w:top w:val="none" w:sz="0" w:space="0" w:color="auto"/>
            <w:left w:val="none" w:sz="0" w:space="0" w:color="auto"/>
            <w:bottom w:val="none" w:sz="0" w:space="0" w:color="auto"/>
            <w:right w:val="none" w:sz="0" w:space="0" w:color="auto"/>
          </w:divBdr>
        </w:div>
        <w:div w:id="1587956895">
          <w:marLeft w:val="346"/>
          <w:marRight w:val="0"/>
          <w:marTop w:val="115"/>
          <w:marBottom w:val="0"/>
          <w:divBdr>
            <w:top w:val="none" w:sz="0" w:space="0" w:color="auto"/>
            <w:left w:val="none" w:sz="0" w:space="0" w:color="auto"/>
            <w:bottom w:val="none" w:sz="0" w:space="0" w:color="auto"/>
            <w:right w:val="none" w:sz="0" w:space="0" w:color="auto"/>
          </w:divBdr>
        </w:div>
        <w:div w:id="1974797677">
          <w:marLeft w:val="1152"/>
          <w:marRight w:val="0"/>
          <w:marTop w:val="86"/>
          <w:marBottom w:val="0"/>
          <w:divBdr>
            <w:top w:val="none" w:sz="0" w:space="0" w:color="auto"/>
            <w:left w:val="none" w:sz="0" w:space="0" w:color="auto"/>
            <w:bottom w:val="none" w:sz="0" w:space="0" w:color="auto"/>
            <w:right w:val="none" w:sz="0" w:space="0" w:color="auto"/>
          </w:divBdr>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4507">
      <w:bodyDiv w:val="1"/>
      <w:marLeft w:val="0"/>
      <w:marRight w:val="0"/>
      <w:marTop w:val="0"/>
      <w:marBottom w:val="0"/>
      <w:divBdr>
        <w:top w:val="none" w:sz="0" w:space="0" w:color="auto"/>
        <w:left w:val="none" w:sz="0" w:space="0" w:color="auto"/>
        <w:bottom w:val="none" w:sz="0" w:space="0" w:color="auto"/>
        <w:right w:val="none" w:sz="0" w:space="0" w:color="auto"/>
      </w:divBdr>
      <w:divsChild>
        <w:div w:id="467474626">
          <w:marLeft w:val="1166"/>
          <w:marRight w:val="0"/>
          <w:marTop w:val="77"/>
          <w:marBottom w:val="0"/>
          <w:divBdr>
            <w:top w:val="none" w:sz="0" w:space="0" w:color="auto"/>
            <w:left w:val="none" w:sz="0" w:space="0" w:color="auto"/>
            <w:bottom w:val="none" w:sz="0" w:space="0" w:color="auto"/>
            <w:right w:val="none" w:sz="0" w:space="0" w:color="auto"/>
          </w:divBdr>
        </w:div>
      </w:divsChild>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39976">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5135">
      <w:bodyDiv w:val="1"/>
      <w:marLeft w:val="0"/>
      <w:marRight w:val="0"/>
      <w:marTop w:val="0"/>
      <w:marBottom w:val="0"/>
      <w:divBdr>
        <w:top w:val="none" w:sz="0" w:space="0" w:color="auto"/>
        <w:left w:val="none" w:sz="0" w:space="0" w:color="auto"/>
        <w:bottom w:val="none" w:sz="0" w:space="0" w:color="auto"/>
        <w:right w:val="none" w:sz="0" w:space="0" w:color="auto"/>
      </w:divBdr>
      <w:divsChild>
        <w:div w:id="245919278">
          <w:marLeft w:val="547"/>
          <w:marRight w:val="0"/>
          <w:marTop w:val="96"/>
          <w:marBottom w:val="0"/>
          <w:divBdr>
            <w:top w:val="none" w:sz="0" w:space="0" w:color="auto"/>
            <w:left w:val="none" w:sz="0" w:space="0" w:color="auto"/>
            <w:bottom w:val="none" w:sz="0" w:space="0" w:color="auto"/>
            <w:right w:val="none" w:sz="0" w:space="0" w:color="auto"/>
          </w:divBdr>
        </w:div>
        <w:div w:id="818378602">
          <w:marLeft w:val="547"/>
          <w:marRight w:val="0"/>
          <w:marTop w:val="96"/>
          <w:marBottom w:val="0"/>
          <w:divBdr>
            <w:top w:val="none" w:sz="0" w:space="0" w:color="auto"/>
            <w:left w:val="none" w:sz="0" w:space="0" w:color="auto"/>
            <w:bottom w:val="none" w:sz="0" w:space="0" w:color="auto"/>
            <w:right w:val="none" w:sz="0" w:space="0" w:color="auto"/>
          </w:divBdr>
        </w:div>
        <w:div w:id="1377659608">
          <w:marLeft w:val="547"/>
          <w:marRight w:val="0"/>
          <w:marTop w:val="96"/>
          <w:marBottom w:val="0"/>
          <w:divBdr>
            <w:top w:val="none" w:sz="0" w:space="0" w:color="auto"/>
            <w:left w:val="none" w:sz="0" w:space="0" w:color="auto"/>
            <w:bottom w:val="none" w:sz="0" w:space="0" w:color="auto"/>
            <w:right w:val="none" w:sz="0" w:space="0" w:color="auto"/>
          </w:divBdr>
        </w:div>
        <w:div w:id="1499540894">
          <w:marLeft w:val="547"/>
          <w:marRight w:val="0"/>
          <w:marTop w:val="96"/>
          <w:marBottom w:val="0"/>
          <w:divBdr>
            <w:top w:val="none" w:sz="0" w:space="0" w:color="auto"/>
            <w:left w:val="none" w:sz="0" w:space="0" w:color="auto"/>
            <w:bottom w:val="none" w:sz="0" w:space="0" w:color="auto"/>
            <w:right w:val="none" w:sz="0" w:space="0" w:color="auto"/>
          </w:divBdr>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9871">
      <w:bodyDiv w:val="1"/>
      <w:marLeft w:val="0"/>
      <w:marRight w:val="0"/>
      <w:marTop w:val="0"/>
      <w:marBottom w:val="0"/>
      <w:divBdr>
        <w:top w:val="none" w:sz="0" w:space="0" w:color="auto"/>
        <w:left w:val="none" w:sz="0" w:space="0" w:color="auto"/>
        <w:bottom w:val="none" w:sz="0" w:space="0" w:color="auto"/>
        <w:right w:val="none" w:sz="0" w:space="0" w:color="auto"/>
      </w:divBdr>
      <w:divsChild>
        <w:div w:id="517234159">
          <w:marLeft w:val="547"/>
          <w:marRight w:val="0"/>
          <w:marTop w:val="96"/>
          <w:marBottom w:val="0"/>
          <w:divBdr>
            <w:top w:val="none" w:sz="0" w:space="0" w:color="auto"/>
            <w:left w:val="none" w:sz="0" w:space="0" w:color="auto"/>
            <w:bottom w:val="none" w:sz="0" w:space="0" w:color="auto"/>
            <w:right w:val="none" w:sz="0" w:space="0" w:color="auto"/>
          </w:divBdr>
        </w:div>
        <w:div w:id="213701641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image" Target="media/image10.png"/><Relationship Id="rId39" Type="http://schemas.openxmlformats.org/officeDocument/2006/relationships/hyperlink" Target="http://rem.jrc.ec.europa.eu/RemWeb/pastprojects/Atlas.aspx" TargetMode="Externa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4.wmf"/><Relationship Id="rId42" Type="http://schemas.openxmlformats.org/officeDocument/2006/relationships/hyperlink" Target="http://www.kankyo-hoshano.go.jp/04/04-1.html"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9.png"/><Relationship Id="rId33" Type="http://schemas.openxmlformats.org/officeDocument/2006/relationships/hyperlink" Target="http://www.oecd-nea.org/brief/brief-08.html" TargetMode="External"/><Relationship Id="rId38" Type="http://schemas.openxmlformats.org/officeDocument/2006/relationships/hyperlink" Target="http://www.iaea.org/Publications/Booklets/Chernobyl/chernobyl.pdf"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wmf"/><Relationship Id="rId29" Type="http://schemas.openxmlformats.org/officeDocument/2006/relationships/image" Target="media/image13.emf"/><Relationship Id="rId41" Type="http://schemas.openxmlformats.org/officeDocument/2006/relationships/hyperlink" Target="http://m.tvnoviny.sk/index.php?article_id=5862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hyperlink" Target="http://www.npsag.org/publications/" TargetMode="External"/><Relationship Id="rId37" Type="http://schemas.openxmlformats.org/officeDocument/2006/relationships/hyperlink" Target="http://maptd.com/wp-content/uploads/2011/03/global-earthquake-activity-vs-nuclear-power-plant-locations.jpg" TargetMode="External"/><Relationship Id="rId40" Type="http://schemas.openxmlformats.org/officeDocument/2006/relationships/hyperlink" Target="http://www.ctbto.org/press-centre/highlights/2011/fukushima-related-measurements-by-the-ctbto/fukushima-related-measurements-by-the-ctbto-page-1/"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www.opg.com/generating-power/nuclear/stations/pickering-nuclear/Documents/PNGSA_PRA_SummaryReport.pd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hyperlink" Target="http://www.opg.com/generating-power/nuclear/stations/pickering-nuclear/Documents/NK30-REP-03611-00021.pdf" TargetMode="External"/><Relationship Id="rId35" Type="http://schemas.openxmlformats.org/officeDocument/2006/relationships/header" Target="header9.xml"/><Relationship Id="rId43" Type="http://schemas.openxmlformats.org/officeDocument/2006/relationships/hyperlink" Target="http://www.iaea.org/newscenter/news/2012/decommissioning/fukushimaimpact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17E97-5EFF-46B7-854A-E6482F14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140</Pages>
  <Words>52174</Words>
  <Characters>318322</Characters>
  <Application>Microsoft Office Word</Application>
  <DocSecurity>0</DocSecurity>
  <Lines>2652</Lines>
  <Paragraphs>739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RAR</vt:lpstr>
      <vt:lpstr>RAR</vt:lpstr>
      <vt:lpstr>RAR</vt:lpstr>
    </vt:vector>
  </TitlesOfParts>
  <Company>IRSN</Company>
  <LinksUpToDate>false</LinksUpToDate>
  <CharactersWithSpaces>369757</CharactersWithSpaces>
  <SharedDoc>false</SharedDoc>
  <HLinks>
    <vt:vector size="1098" baseType="variant">
      <vt:variant>
        <vt:i4>655395</vt:i4>
      </vt:variant>
      <vt:variant>
        <vt:i4>2346</vt:i4>
      </vt:variant>
      <vt:variant>
        <vt:i4>0</vt:i4>
      </vt:variant>
      <vt:variant>
        <vt:i4>5</vt:i4>
      </vt:variant>
      <vt:variant>
        <vt:lpwstr>http://www.iaea.org/newscenter/news/2012/decommissioning/fukushimaimpact2</vt:lpwstr>
      </vt:variant>
      <vt:variant>
        <vt:lpwstr/>
      </vt:variant>
      <vt:variant>
        <vt:i4>524294</vt:i4>
      </vt:variant>
      <vt:variant>
        <vt:i4>2343</vt:i4>
      </vt:variant>
      <vt:variant>
        <vt:i4>0</vt:i4>
      </vt:variant>
      <vt:variant>
        <vt:i4>5</vt:i4>
      </vt:variant>
      <vt:variant>
        <vt:lpwstr>http://www.kankyo-hoshano.go.jp/04/04-1.html</vt:lpwstr>
      </vt:variant>
      <vt:variant>
        <vt:lpwstr/>
      </vt:variant>
      <vt:variant>
        <vt:i4>589951</vt:i4>
      </vt:variant>
      <vt:variant>
        <vt:i4>2340</vt:i4>
      </vt:variant>
      <vt:variant>
        <vt:i4>0</vt:i4>
      </vt:variant>
      <vt:variant>
        <vt:i4>5</vt:i4>
      </vt:variant>
      <vt:variant>
        <vt:lpwstr>http://m.tvnoviny.sk/index.php?article_id=586200</vt:lpwstr>
      </vt:variant>
      <vt:variant>
        <vt:lpwstr/>
      </vt:variant>
      <vt:variant>
        <vt:i4>1245232</vt:i4>
      </vt:variant>
      <vt:variant>
        <vt:i4>2337</vt:i4>
      </vt:variant>
      <vt:variant>
        <vt:i4>0</vt:i4>
      </vt:variant>
      <vt:variant>
        <vt:i4>5</vt:i4>
      </vt:variant>
      <vt:variant>
        <vt:lpwstr>http://www.ctbto.org/press-centre/highlights/2011/fukushima-related-measurements-by-the-ctbto/fukushima-related-measurements-by-the-ctbto-page-1/</vt:lpwstr>
      </vt:variant>
      <vt:variant>
        <vt:lpwstr/>
      </vt:variant>
      <vt:variant>
        <vt:i4>2424934</vt:i4>
      </vt:variant>
      <vt:variant>
        <vt:i4>2334</vt:i4>
      </vt:variant>
      <vt:variant>
        <vt:i4>0</vt:i4>
      </vt:variant>
      <vt:variant>
        <vt:i4>5</vt:i4>
      </vt:variant>
      <vt:variant>
        <vt:lpwstr>http://rem.jrc.ec.europa.eu/RemWeb/pastprojects/Atlas.aspx</vt:lpwstr>
      </vt:variant>
      <vt:variant>
        <vt:lpwstr/>
      </vt:variant>
      <vt:variant>
        <vt:i4>1638510</vt:i4>
      </vt:variant>
      <vt:variant>
        <vt:i4>2331</vt:i4>
      </vt:variant>
      <vt:variant>
        <vt:i4>0</vt:i4>
      </vt:variant>
      <vt:variant>
        <vt:i4>5</vt:i4>
      </vt:variant>
      <vt:variant>
        <vt:lpwstr>http://www.iaea.org/Publications/Booklets/Chernobyl/chernobyl.pdf</vt:lpwstr>
      </vt:variant>
      <vt:variant>
        <vt:lpwstr/>
      </vt:variant>
      <vt:variant>
        <vt:i4>7536647</vt:i4>
      </vt:variant>
      <vt:variant>
        <vt:i4>2328</vt:i4>
      </vt:variant>
      <vt:variant>
        <vt:i4>0</vt:i4>
      </vt:variant>
      <vt:variant>
        <vt:i4>5</vt:i4>
      </vt:variant>
      <vt:variant>
        <vt:lpwstr>http://maptd.com/wp-content/uploads/2011/03/global-earthquake-activity-vs-nuclear-power-plant-locations.jpg</vt:lpwstr>
      </vt:variant>
      <vt:variant>
        <vt:lpwstr/>
      </vt:variant>
      <vt:variant>
        <vt:i4>2293840</vt:i4>
      </vt:variant>
      <vt:variant>
        <vt:i4>2256</vt:i4>
      </vt:variant>
      <vt:variant>
        <vt:i4>0</vt:i4>
      </vt:variant>
      <vt:variant>
        <vt:i4>5</vt:i4>
      </vt:variant>
      <vt:variant>
        <vt:lpwstr>http://www.oecd-nea.org/brief/brief-08.html</vt:lpwstr>
      </vt:variant>
      <vt:variant>
        <vt:lpwstr/>
      </vt:variant>
      <vt:variant>
        <vt:i4>7012384</vt:i4>
      </vt:variant>
      <vt:variant>
        <vt:i4>2253</vt:i4>
      </vt:variant>
      <vt:variant>
        <vt:i4>0</vt:i4>
      </vt:variant>
      <vt:variant>
        <vt:i4>5</vt:i4>
      </vt:variant>
      <vt:variant>
        <vt:lpwstr>http://www.npsag.org/publications/</vt:lpwstr>
      </vt:variant>
      <vt:variant>
        <vt:lpwstr/>
      </vt:variant>
      <vt:variant>
        <vt:i4>1245195</vt:i4>
      </vt:variant>
      <vt:variant>
        <vt:i4>2250</vt:i4>
      </vt:variant>
      <vt:variant>
        <vt:i4>0</vt:i4>
      </vt:variant>
      <vt:variant>
        <vt:i4>5</vt:i4>
      </vt:variant>
      <vt:variant>
        <vt:lpwstr>http://www.opg.com/generating-power/nuclear/stations/pickering-nuclear/Documents/PNGSA_PRA_SummaryReport.pdf</vt:lpwstr>
      </vt:variant>
      <vt:variant>
        <vt:lpwstr/>
      </vt:variant>
      <vt:variant>
        <vt:i4>4522109</vt:i4>
      </vt:variant>
      <vt:variant>
        <vt:i4>2247</vt:i4>
      </vt:variant>
      <vt:variant>
        <vt:i4>0</vt:i4>
      </vt:variant>
      <vt:variant>
        <vt:i4>5</vt:i4>
      </vt:variant>
      <vt:variant>
        <vt:lpwstr>http://www.opg.com/generating-power/nuclear/stations/pickering-nuclear/Documents/NK30-REP-03611-00021.pdf</vt:lpwstr>
      </vt:variant>
      <vt:variant>
        <vt:lpwstr/>
      </vt:variant>
      <vt:variant>
        <vt:i4>3014772</vt:i4>
      </vt:variant>
      <vt:variant>
        <vt:i4>2178</vt:i4>
      </vt:variant>
      <vt:variant>
        <vt:i4>0</vt:i4>
      </vt:variant>
      <vt:variant>
        <vt:i4>5</vt:i4>
      </vt:variant>
      <vt:variant>
        <vt:lpwstr>http://www.sciencedirect.com/science/article/pii/S0029549313002136</vt:lpwstr>
      </vt:variant>
      <vt:variant>
        <vt:lpwstr/>
      </vt:variant>
      <vt:variant>
        <vt:i4>2293840</vt:i4>
      </vt:variant>
      <vt:variant>
        <vt:i4>2007</vt:i4>
      </vt:variant>
      <vt:variant>
        <vt:i4>0</vt:i4>
      </vt:variant>
      <vt:variant>
        <vt:i4>5</vt:i4>
      </vt:variant>
      <vt:variant>
        <vt:lpwstr>http://www.oecd-nea.org/brief/brief-08.html</vt:lpwstr>
      </vt:variant>
      <vt:variant>
        <vt:lpwstr/>
      </vt:variant>
      <vt:variant>
        <vt:i4>1572870</vt:i4>
      </vt:variant>
      <vt:variant>
        <vt:i4>1022</vt:i4>
      </vt:variant>
      <vt:variant>
        <vt:i4>0</vt:i4>
      </vt:variant>
      <vt:variant>
        <vt:i4>5</vt:i4>
      </vt:variant>
      <vt:variant>
        <vt:lpwstr/>
      </vt:variant>
      <vt:variant>
        <vt:lpwstr>_Toc467739573</vt:lpwstr>
      </vt:variant>
      <vt:variant>
        <vt:i4>1572871</vt:i4>
      </vt:variant>
      <vt:variant>
        <vt:i4>1016</vt:i4>
      </vt:variant>
      <vt:variant>
        <vt:i4>0</vt:i4>
      </vt:variant>
      <vt:variant>
        <vt:i4>5</vt:i4>
      </vt:variant>
      <vt:variant>
        <vt:lpwstr/>
      </vt:variant>
      <vt:variant>
        <vt:lpwstr>_Toc467739572</vt:lpwstr>
      </vt:variant>
      <vt:variant>
        <vt:i4>1572868</vt:i4>
      </vt:variant>
      <vt:variant>
        <vt:i4>1010</vt:i4>
      </vt:variant>
      <vt:variant>
        <vt:i4>0</vt:i4>
      </vt:variant>
      <vt:variant>
        <vt:i4>5</vt:i4>
      </vt:variant>
      <vt:variant>
        <vt:lpwstr/>
      </vt:variant>
      <vt:variant>
        <vt:lpwstr>_Toc467739571</vt:lpwstr>
      </vt:variant>
      <vt:variant>
        <vt:i4>1572869</vt:i4>
      </vt:variant>
      <vt:variant>
        <vt:i4>1004</vt:i4>
      </vt:variant>
      <vt:variant>
        <vt:i4>0</vt:i4>
      </vt:variant>
      <vt:variant>
        <vt:i4>5</vt:i4>
      </vt:variant>
      <vt:variant>
        <vt:lpwstr/>
      </vt:variant>
      <vt:variant>
        <vt:lpwstr>_Toc467739570</vt:lpwstr>
      </vt:variant>
      <vt:variant>
        <vt:i4>1638412</vt:i4>
      </vt:variant>
      <vt:variant>
        <vt:i4>998</vt:i4>
      </vt:variant>
      <vt:variant>
        <vt:i4>0</vt:i4>
      </vt:variant>
      <vt:variant>
        <vt:i4>5</vt:i4>
      </vt:variant>
      <vt:variant>
        <vt:lpwstr/>
      </vt:variant>
      <vt:variant>
        <vt:lpwstr>_Toc467739569</vt:lpwstr>
      </vt:variant>
      <vt:variant>
        <vt:i4>1638413</vt:i4>
      </vt:variant>
      <vt:variant>
        <vt:i4>992</vt:i4>
      </vt:variant>
      <vt:variant>
        <vt:i4>0</vt:i4>
      </vt:variant>
      <vt:variant>
        <vt:i4>5</vt:i4>
      </vt:variant>
      <vt:variant>
        <vt:lpwstr/>
      </vt:variant>
      <vt:variant>
        <vt:lpwstr>_Toc467739568</vt:lpwstr>
      </vt:variant>
      <vt:variant>
        <vt:i4>1638402</vt:i4>
      </vt:variant>
      <vt:variant>
        <vt:i4>986</vt:i4>
      </vt:variant>
      <vt:variant>
        <vt:i4>0</vt:i4>
      </vt:variant>
      <vt:variant>
        <vt:i4>5</vt:i4>
      </vt:variant>
      <vt:variant>
        <vt:lpwstr/>
      </vt:variant>
      <vt:variant>
        <vt:lpwstr>_Toc467739567</vt:lpwstr>
      </vt:variant>
      <vt:variant>
        <vt:i4>1638403</vt:i4>
      </vt:variant>
      <vt:variant>
        <vt:i4>980</vt:i4>
      </vt:variant>
      <vt:variant>
        <vt:i4>0</vt:i4>
      </vt:variant>
      <vt:variant>
        <vt:i4>5</vt:i4>
      </vt:variant>
      <vt:variant>
        <vt:lpwstr/>
      </vt:variant>
      <vt:variant>
        <vt:lpwstr>_Toc467739566</vt:lpwstr>
      </vt:variant>
      <vt:variant>
        <vt:i4>1638400</vt:i4>
      </vt:variant>
      <vt:variant>
        <vt:i4>974</vt:i4>
      </vt:variant>
      <vt:variant>
        <vt:i4>0</vt:i4>
      </vt:variant>
      <vt:variant>
        <vt:i4>5</vt:i4>
      </vt:variant>
      <vt:variant>
        <vt:lpwstr/>
      </vt:variant>
      <vt:variant>
        <vt:lpwstr>_Toc467739565</vt:lpwstr>
      </vt:variant>
      <vt:variant>
        <vt:i4>1638401</vt:i4>
      </vt:variant>
      <vt:variant>
        <vt:i4>968</vt:i4>
      </vt:variant>
      <vt:variant>
        <vt:i4>0</vt:i4>
      </vt:variant>
      <vt:variant>
        <vt:i4>5</vt:i4>
      </vt:variant>
      <vt:variant>
        <vt:lpwstr/>
      </vt:variant>
      <vt:variant>
        <vt:lpwstr>_Toc467739564</vt:lpwstr>
      </vt:variant>
      <vt:variant>
        <vt:i4>1638406</vt:i4>
      </vt:variant>
      <vt:variant>
        <vt:i4>962</vt:i4>
      </vt:variant>
      <vt:variant>
        <vt:i4>0</vt:i4>
      </vt:variant>
      <vt:variant>
        <vt:i4>5</vt:i4>
      </vt:variant>
      <vt:variant>
        <vt:lpwstr/>
      </vt:variant>
      <vt:variant>
        <vt:lpwstr>_Toc467739563</vt:lpwstr>
      </vt:variant>
      <vt:variant>
        <vt:i4>1638407</vt:i4>
      </vt:variant>
      <vt:variant>
        <vt:i4>956</vt:i4>
      </vt:variant>
      <vt:variant>
        <vt:i4>0</vt:i4>
      </vt:variant>
      <vt:variant>
        <vt:i4>5</vt:i4>
      </vt:variant>
      <vt:variant>
        <vt:lpwstr/>
      </vt:variant>
      <vt:variant>
        <vt:lpwstr>_Toc467739562</vt:lpwstr>
      </vt:variant>
      <vt:variant>
        <vt:i4>1638404</vt:i4>
      </vt:variant>
      <vt:variant>
        <vt:i4>950</vt:i4>
      </vt:variant>
      <vt:variant>
        <vt:i4>0</vt:i4>
      </vt:variant>
      <vt:variant>
        <vt:i4>5</vt:i4>
      </vt:variant>
      <vt:variant>
        <vt:lpwstr/>
      </vt:variant>
      <vt:variant>
        <vt:lpwstr>_Toc467739561</vt:lpwstr>
      </vt:variant>
      <vt:variant>
        <vt:i4>1638405</vt:i4>
      </vt:variant>
      <vt:variant>
        <vt:i4>944</vt:i4>
      </vt:variant>
      <vt:variant>
        <vt:i4>0</vt:i4>
      </vt:variant>
      <vt:variant>
        <vt:i4>5</vt:i4>
      </vt:variant>
      <vt:variant>
        <vt:lpwstr/>
      </vt:variant>
      <vt:variant>
        <vt:lpwstr>_Toc467739560</vt:lpwstr>
      </vt:variant>
      <vt:variant>
        <vt:i4>1703948</vt:i4>
      </vt:variant>
      <vt:variant>
        <vt:i4>938</vt:i4>
      </vt:variant>
      <vt:variant>
        <vt:i4>0</vt:i4>
      </vt:variant>
      <vt:variant>
        <vt:i4>5</vt:i4>
      </vt:variant>
      <vt:variant>
        <vt:lpwstr/>
      </vt:variant>
      <vt:variant>
        <vt:lpwstr>_Toc467739559</vt:lpwstr>
      </vt:variant>
      <vt:variant>
        <vt:i4>1703949</vt:i4>
      </vt:variant>
      <vt:variant>
        <vt:i4>932</vt:i4>
      </vt:variant>
      <vt:variant>
        <vt:i4>0</vt:i4>
      </vt:variant>
      <vt:variant>
        <vt:i4>5</vt:i4>
      </vt:variant>
      <vt:variant>
        <vt:lpwstr/>
      </vt:variant>
      <vt:variant>
        <vt:lpwstr>_Toc467739558</vt:lpwstr>
      </vt:variant>
      <vt:variant>
        <vt:i4>1703938</vt:i4>
      </vt:variant>
      <vt:variant>
        <vt:i4>926</vt:i4>
      </vt:variant>
      <vt:variant>
        <vt:i4>0</vt:i4>
      </vt:variant>
      <vt:variant>
        <vt:i4>5</vt:i4>
      </vt:variant>
      <vt:variant>
        <vt:lpwstr/>
      </vt:variant>
      <vt:variant>
        <vt:lpwstr>_Toc467739557</vt:lpwstr>
      </vt:variant>
      <vt:variant>
        <vt:i4>1703939</vt:i4>
      </vt:variant>
      <vt:variant>
        <vt:i4>920</vt:i4>
      </vt:variant>
      <vt:variant>
        <vt:i4>0</vt:i4>
      </vt:variant>
      <vt:variant>
        <vt:i4>5</vt:i4>
      </vt:variant>
      <vt:variant>
        <vt:lpwstr/>
      </vt:variant>
      <vt:variant>
        <vt:lpwstr>_Toc467739556</vt:lpwstr>
      </vt:variant>
      <vt:variant>
        <vt:i4>1703936</vt:i4>
      </vt:variant>
      <vt:variant>
        <vt:i4>914</vt:i4>
      </vt:variant>
      <vt:variant>
        <vt:i4>0</vt:i4>
      </vt:variant>
      <vt:variant>
        <vt:i4>5</vt:i4>
      </vt:variant>
      <vt:variant>
        <vt:lpwstr/>
      </vt:variant>
      <vt:variant>
        <vt:lpwstr>_Toc467739555</vt:lpwstr>
      </vt:variant>
      <vt:variant>
        <vt:i4>1703937</vt:i4>
      </vt:variant>
      <vt:variant>
        <vt:i4>908</vt:i4>
      </vt:variant>
      <vt:variant>
        <vt:i4>0</vt:i4>
      </vt:variant>
      <vt:variant>
        <vt:i4>5</vt:i4>
      </vt:variant>
      <vt:variant>
        <vt:lpwstr/>
      </vt:variant>
      <vt:variant>
        <vt:lpwstr>_Toc467739554</vt:lpwstr>
      </vt:variant>
      <vt:variant>
        <vt:i4>1703942</vt:i4>
      </vt:variant>
      <vt:variant>
        <vt:i4>902</vt:i4>
      </vt:variant>
      <vt:variant>
        <vt:i4>0</vt:i4>
      </vt:variant>
      <vt:variant>
        <vt:i4>5</vt:i4>
      </vt:variant>
      <vt:variant>
        <vt:lpwstr/>
      </vt:variant>
      <vt:variant>
        <vt:lpwstr>_Toc467739553</vt:lpwstr>
      </vt:variant>
      <vt:variant>
        <vt:i4>1703943</vt:i4>
      </vt:variant>
      <vt:variant>
        <vt:i4>896</vt:i4>
      </vt:variant>
      <vt:variant>
        <vt:i4>0</vt:i4>
      </vt:variant>
      <vt:variant>
        <vt:i4>5</vt:i4>
      </vt:variant>
      <vt:variant>
        <vt:lpwstr/>
      </vt:variant>
      <vt:variant>
        <vt:lpwstr>_Toc467739552</vt:lpwstr>
      </vt:variant>
      <vt:variant>
        <vt:i4>1769484</vt:i4>
      </vt:variant>
      <vt:variant>
        <vt:i4>890</vt:i4>
      </vt:variant>
      <vt:variant>
        <vt:i4>0</vt:i4>
      </vt:variant>
      <vt:variant>
        <vt:i4>5</vt:i4>
      </vt:variant>
      <vt:variant>
        <vt:lpwstr/>
      </vt:variant>
      <vt:variant>
        <vt:lpwstr>_Toc467739549</vt:lpwstr>
      </vt:variant>
      <vt:variant>
        <vt:i4>1769485</vt:i4>
      </vt:variant>
      <vt:variant>
        <vt:i4>884</vt:i4>
      </vt:variant>
      <vt:variant>
        <vt:i4>0</vt:i4>
      </vt:variant>
      <vt:variant>
        <vt:i4>5</vt:i4>
      </vt:variant>
      <vt:variant>
        <vt:lpwstr/>
      </vt:variant>
      <vt:variant>
        <vt:lpwstr>_Toc467739548</vt:lpwstr>
      </vt:variant>
      <vt:variant>
        <vt:i4>1769475</vt:i4>
      </vt:variant>
      <vt:variant>
        <vt:i4>878</vt:i4>
      </vt:variant>
      <vt:variant>
        <vt:i4>0</vt:i4>
      </vt:variant>
      <vt:variant>
        <vt:i4>5</vt:i4>
      </vt:variant>
      <vt:variant>
        <vt:lpwstr/>
      </vt:variant>
      <vt:variant>
        <vt:lpwstr>_Toc467739546</vt:lpwstr>
      </vt:variant>
      <vt:variant>
        <vt:i4>1769472</vt:i4>
      </vt:variant>
      <vt:variant>
        <vt:i4>872</vt:i4>
      </vt:variant>
      <vt:variant>
        <vt:i4>0</vt:i4>
      </vt:variant>
      <vt:variant>
        <vt:i4>5</vt:i4>
      </vt:variant>
      <vt:variant>
        <vt:lpwstr/>
      </vt:variant>
      <vt:variant>
        <vt:lpwstr>_Toc467739545</vt:lpwstr>
      </vt:variant>
      <vt:variant>
        <vt:i4>1769473</vt:i4>
      </vt:variant>
      <vt:variant>
        <vt:i4>866</vt:i4>
      </vt:variant>
      <vt:variant>
        <vt:i4>0</vt:i4>
      </vt:variant>
      <vt:variant>
        <vt:i4>5</vt:i4>
      </vt:variant>
      <vt:variant>
        <vt:lpwstr/>
      </vt:variant>
      <vt:variant>
        <vt:lpwstr>_Toc467739544</vt:lpwstr>
      </vt:variant>
      <vt:variant>
        <vt:i4>1769478</vt:i4>
      </vt:variant>
      <vt:variant>
        <vt:i4>860</vt:i4>
      </vt:variant>
      <vt:variant>
        <vt:i4>0</vt:i4>
      </vt:variant>
      <vt:variant>
        <vt:i4>5</vt:i4>
      </vt:variant>
      <vt:variant>
        <vt:lpwstr/>
      </vt:variant>
      <vt:variant>
        <vt:lpwstr>_Toc467739543</vt:lpwstr>
      </vt:variant>
      <vt:variant>
        <vt:i4>1769479</vt:i4>
      </vt:variant>
      <vt:variant>
        <vt:i4>854</vt:i4>
      </vt:variant>
      <vt:variant>
        <vt:i4>0</vt:i4>
      </vt:variant>
      <vt:variant>
        <vt:i4>5</vt:i4>
      </vt:variant>
      <vt:variant>
        <vt:lpwstr/>
      </vt:variant>
      <vt:variant>
        <vt:lpwstr>_Toc467739542</vt:lpwstr>
      </vt:variant>
      <vt:variant>
        <vt:i4>1769476</vt:i4>
      </vt:variant>
      <vt:variant>
        <vt:i4>848</vt:i4>
      </vt:variant>
      <vt:variant>
        <vt:i4>0</vt:i4>
      </vt:variant>
      <vt:variant>
        <vt:i4>5</vt:i4>
      </vt:variant>
      <vt:variant>
        <vt:lpwstr/>
      </vt:variant>
      <vt:variant>
        <vt:lpwstr>_Toc467739541</vt:lpwstr>
      </vt:variant>
      <vt:variant>
        <vt:i4>1769477</vt:i4>
      </vt:variant>
      <vt:variant>
        <vt:i4>842</vt:i4>
      </vt:variant>
      <vt:variant>
        <vt:i4>0</vt:i4>
      </vt:variant>
      <vt:variant>
        <vt:i4>5</vt:i4>
      </vt:variant>
      <vt:variant>
        <vt:lpwstr/>
      </vt:variant>
      <vt:variant>
        <vt:lpwstr>_Toc467739540</vt:lpwstr>
      </vt:variant>
      <vt:variant>
        <vt:i4>1835020</vt:i4>
      </vt:variant>
      <vt:variant>
        <vt:i4>836</vt:i4>
      </vt:variant>
      <vt:variant>
        <vt:i4>0</vt:i4>
      </vt:variant>
      <vt:variant>
        <vt:i4>5</vt:i4>
      </vt:variant>
      <vt:variant>
        <vt:lpwstr/>
      </vt:variant>
      <vt:variant>
        <vt:lpwstr>_Toc467739539</vt:lpwstr>
      </vt:variant>
      <vt:variant>
        <vt:i4>1835021</vt:i4>
      </vt:variant>
      <vt:variant>
        <vt:i4>830</vt:i4>
      </vt:variant>
      <vt:variant>
        <vt:i4>0</vt:i4>
      </vt:variant>
      <vt:variant>
        <vt:i4>5</vt:i4>
      </vt:variant>
      <vt:variant>
        <vt:lpwstr/>
      </vt:variant>
      <vt:variant>
        <vt:lpwstr>_Toc467739538</vt:lpwstr>
      </vt:variant>
      <vt:variant>
        <vt:i4>1835010</vt:i4>
      </vt:variant>
      <vt:variant>
        <vt:i4>824</vt:i4>
      </vt:variant>
      <vt:variant>
        <vt:i4>0</vt:i4>
      </vt:variant>
      <vt:variant>
        <vt:i4>5</vt:i4>
      </vt:variant>
      <vt:variant>
        <vt:lpwstr/>
      </vt:variant>
      <vt:variant>
        <vt:lpwstr>_Toc467739537</vt:lpwstr>
      </vt:variant>
      <vt:variant>
        <vt:i4>1835011</vt:i4>
      </vt:variant>
      <vt:variant>
        <vt:i4>818</vt:i4>
      </vt:variant>
      <vt:variant>
        <vt:i4>0</vt:i4>
      </vt:variant>
      <vt:variant>
        <vt:i4>5</vt:i4>
      </vt:variant>
      <vt:variant>
        <vt:lpwstr/>
      </vt:variant>
      <vt:variant>
        <vt:lpwstr>_Toc467739536</vt:lpwstr>
      </vt:variant>
      <vt:variant>
        <vt:i4>1835008</vt:i4>
      </vt:variant>
      <vt:variant>
        <vt:i4>812</vt:i4>
      </vt:variant>
      <vt:variant>
        <vt:i4>0</vt:i4>
      </vt:variant>
      <vt:variant>
        <vt:i4>5</vt:i4>
      </vt:variant>
      <vt:variant>
        <vt:lpwstr/>
      </vt:variant>
      <vt:variant>
        <vt:lpwstr>_Toc467739535</vt:lpwstr>
      </vt:variant>
      <vt:variant>
        <vt:i4>1835009</vt:i4>
      </vt:variant>
      <vt:variant>
        <vt:i4>806</vt:i4>
      </vt:variant>
      <vt:variant>
        <vt:i4>0</vt:i4>
      </vt:variant>
      <vt:variant>
        <vt:i4>5</vt:i4>
      </vt:variant>
      <vt:variant>
        <vt:lpwstr/>
      </vt:variant>
      <vt:variant>
        <vt:lpwstr>_Toc467739534</vt:lpwstr>
      </vt:variant>
      <vt:variant>
        <vt:i4>2031629</vt:i4>
      </vt:variant>
      <vt:variant>
        <vt:i4>800</vt:i4>
      </vt:variant>
      <vt:variant>
        <vt:i4>0</vt:i4>
      </vt:variant>
      <vt:variant>
        <vt:i4>5</vt:i4>
      </vt:variant>
      <vt:variant>
        <vt:lpwstr/>
      </vt:variant>
      <vt:variant>
        <vt:lpwstr>_Toc467739508</vt:lpwstr>
      </vt:variant>
      <vt:variant>
        <vt:i4>2031618</vt:i4>
      </vt:variant>
      <vt:variant>
        <vt:i4>794</vt:i4>
      </vt:variant>
      <vt:variant>
        <vt:i4>0</vt:i4>
      </vt:variant>
      <vt:variant>
        <vt:i4>5</vt:i4>
      </vt:variant>
      <vt:variant>
        <vt:lpwstr/>
      </vt:variant>
      <vt:variant>
        <vt:lpwstr>_Toc467739507</vt:lpwstr>
      </vt:variant>
      <vt:variant>
        <vt:i4>2031619</vt:i4>
      </vt:variant>
      <vt:variant>
        <vt:i4>788</vt:i4>
      </vt:variant>
      <vt:variant>
        <vt:i4>0</vt:i4>
      </vt:variant>
      <vt:variant>
        <vt:i4>5</vt:i4>
      </vt:variant>
      <vt:variant>
        <vt:lpwstr/>
      </vt:variant>
      <vt:variant>
        <vt:lpwstr>_Toc467739506</vt:lpwstr>
      </vt:variant>
      <vt:variant>
        <vt:i4>2031616</vt:i4>
      </vt:variant>
      <vt:variant>
        <vt:i4>782</vt:i4>
      </vt:variant>
      <vt:variant>
        <vt:i4>0</vt:i4>
      </vt:variant>
      <vt:variant>
        <vt:i4>5</vt:i4>
      </vt:variant>
      <vt:variant>
        <vt:lpwstr/>
      </vt:variant>
      <vt:variant>
        <vt:lpwstr>_Toc467739505</vt:lpwstr>
      </vt:variant>
      <vt:variant>
        <vt:i4>2031617</vt:i4>
      </vt:variant>
      <vt:variant>
        <vt:i4>776</vt:i4>
      </vt:variant>
      <vt:variant>
        <vt:i4>0</vt:i4>
      </vt:variant>
      <vt:variant>
        <vt:i4>5</vt:i4>
      </vt:variant>
      <vt:variant>
        <vt:lpwstr/>
      </vt:variant>
      <vt:variant>
        <vt:lpwstr>_Toc467739504</vt:lpwstr>
      </vt:variant>
      <vt:variant>
        <vt:i4>2031622</vt:i4>
      </vt:variant>
      <vt:variant>
        <vt:i4>770</vt:i4>
      </vt:variant>
      <vt:variant>
        <vt:i4>0</vt:i4>
      </vt:variant>
      <vt:variant>
        <vt:i4>5</vt:i4>
      </vt:variant>
      <vt:variant>
        <vt:lpwstr/>
      </vt:variant>
      <vt:variant>
        <vt:lpwstr>_Toc467739503</vt:lpwstr>
      </vt:variant>
      <vt:variant>
        <vt:i4>2031623</vt:i4>
      </vt:variant>
      <vt:variant>
        <vt:i4>764</vt:i4>
      </vt:variant>
      <vt:variant>
        <vt:i4>0</vt:i4>
      </vt:variant>
      <vt:variant>
        <vt:i4>5</vt:i4>
      </vt:variant>
      <vt:variant>
        <vt:lpwstr/>
      </vt:variant>
      <vt:variant>
        <vt:lpwstr>_Toc467739502</vt:lpwstr>
      </vt:variant>
      <vt:variant>
        <vt:i4>2031620</vt:i4>
      </vt:variant>
      <vt:variant>
        <vt:i4>758</vt:i4>
      </vt:variant>
      <vt:variant>
        <vt:i4>0</vt:i4>
      </vt:variant>
      <vt:variant>
        <vt:i4>5</vt:i4>
      </vt:variant>
      <vt:variant>
        <vt:lpwstr/>
      </vt:variant>
      <vt:variant>
        <vt:lpwstr>_Toc467739501</vt:lpwstr>
      </vt:variant>
      <vt:variant>
        <vt:i4>2031621</vt:i4>
      </vt:variant>
      <vt:variant>
        <vt:i4>752</vt:i4>
      </vt:variant>
      <vt:variant>
        <vt:i4>0</vt:i4>
      </vt:variant>
      <vt:variant>
        <vt:i4>5</vt:i4>
      </vt:variant>
      <vt:variant>
        <vt:lpwstr/>
      </vt:variant>
      <vt:variant>
        <vt:lpwstr>_Toc467739500</vt:lpwstr>
      </vt:variant>
      <vt:variant>
        <vt:i4>1441805</vt:i4>
      </vt:variant>
      <vt:variant>
        <vt:i4>746</vt:i4>
      </vt:variant>
      <vt:variant>
        <vt:i4>0</vt:i4>
      </vt:variant>
      <vt:variant>
        <vt:i4>5</vt:i4>
      </vt:variant>
      <vt:variant>
        <vt:lpwstr/>
      </vt:variant>
      <vt:variant>
        <vt:lpwstr>_Toc467739499</vt:lpwstr>
      </vt:variant>
      <vt:variant>
        <vt:i4>1441804</vt:i4>
      </vt:variant>
      <vt:variant>
        <vt:i4>740</vt:i4>
      </vt:variant>
      <vt:variant>
        <vt:i4>0</vt:i4>
      </vt:variant>
      <vt:variant>
        <vt:i4>5</vt:i4>
      </vt:variant>
      <vt:variant>
        <vt:lpwstr/>
      </vt:variant>
      <vt:variant>
        <vt:lpwstr>_Toc467739498</vt:lpwstr>
      </vt:variant>
      <vt:variant>
        <vt:i4>1441795</vt:i4>
      </vt:variant>
      <vt:variant>
        <vt:i4>734</vt:i4>
      </vt:variant>
      <vt:variant>
        <vt:i4>0</vt:i4>
      </vt:variant>
      <vt:variant>
        <vt:i4>5</vt:i4>
      </vt:variant>
      <vt:variant>
        <vt:lpwstr/>
      </vt:variant>
      <vt:variant>
        <vt:lpwstr>_Toc467739497</vt:lpwstr>
      </vt:variant>
      <vt:variant>
        <vt:i4>1441794</vt:i4>
      </vt:variant>
      <vt:variant>
        <vt:i4>728</vt:i4>
      </vt:variant>
      <vt:variant>
        <vt:i4>0</vt:i4>
      </vt:variant>
      <vt:variant>
        <vt:i4>5</vt:i4>
      </vt:variant>
      <vt:variant>
        <vt:lpwstr/>
      </vt:variant>
      <vt:variant>
        <vt:lpwstr>_Toc467739496</vt:lpwstr>
      </vt:variant>
      <vt:variant>
        <vt:i4>1441793</vt:i4>
      </vt:variant>
      <vt:variant>
        <vt:i4>722</vt:i4>
      </vt:variant>
      <vt:variant>
        <vt:i4>0</vt:i4>
      </vt:variant>
      <vt:variant>
        <vt:i4>5</vt:i4>
      </vt:variant>
      <vt:variant>
        <vt:lpwstr/>
      </vt:variant>
      <vt:variant>
        <vt:lpwstr>_Toc467739495</vt:lpwstr>
      </vt:variant>
      <vt:variant>
        <vt:i4>1441792</vt:i4>
      </vt:variant>
      <vt:variant>
        <vt:i4>716</vt:i4>
      </vt:variant>
      <vt:variant>
        <vt:i4>0</vt:i4>
      </vt:variant>
      <vt:variant>
        <vt:i4>5</vt:i4>
      </vt:variant>
      <vt:variant>
        <vt:lpwstr/>
      </vt:variant>
      <vt:variant>
        <vt:lpwstr>_Toc467739494</vt:lpwstr>
      </vt:variant>
      <vt:variant>
        <vt:i4>1441799</vt:i4>
      </vt:variant>
      <vt:variant>
        <vt:i4>710</vt:i4>
      </vt:variant>
      <vt:variant>
        <vt:i4>0</vt:i4>
      </vt:variant>
      <vt:variant>
        <vt:i4>5</vt:i4>
      </vt:variant>
      <vt:variant>
        <vt:lpwstr/>
      </vt:variant>
      <vt:variant>
        <vt:lpwstr>_Toc467739493</vt:lpwstr>
      </vt:variant>
      <vt:variant>
        <vt:i4>1441798</vt:i4>
      </vt:variant>
      <vt:variant>
        <vt:i4>704</vt:i4>
      </vt:variant>
      <vt:variant>
        <vt:i4>0</vt:i4>
      </vt:variant>
      <vt:variant>
        <vt:i4>5</vt:i4>
      </vt:variant>
      <vt:variant>
        <vt:lpwstr/>
      </vt:variant>
      <vt:variant>
        <vt:lpwstr>_Toc467739492</vt:lpwstr>
      </vt:variant>
      <vt:variant>
        <vt:i4>1441797</vt:i4>
      </vt:variant>
      <vt:variant>
        <vt:i4>698</vt:i4>
      </vt:variant>
      <vt:variant>
        <vt:i4>0</vt:i4>
      </vt:variant>
      <vt:variant>
        <vt:i4>5</vt:i4>
      </vt:variant>
      <vt:variant>
        <vt:lpwstr/>
      </vt:variant>
      <vt:variant>
        <vt:lpwstr>_Toc467739491</vt:lpwstr>
      </vt:variant>
      <vt:variant>
        <vt:i4>1441796</vt:i4>
      </vt:variant>
      <vt:variant>
        <vt:i4>692</vt:i4>
      </vt:variant>
      <vt:variant>
        <vt:i4>0</vt:i4>
      </vt:variant>
      <vt:variant>
        <vt:i4>5</vt:i4>
      </vt:variant>
      <vt:variant>
        <vt:lpwstr/>
      </vt:variant>
      <vt:variant>
        <vt:lpwstr>_Toc467739490</vt:lpwstr>
      </vt:variant>
      <vt:variant>
        <vt:i4>1507341</vt:i4>
      </vt:variant>
      <vt:variant>
        <vt:i4>686</vt:i4>
      </vt:variant>
      <vt:variant>
        <vt:i4>0</vt:i4>
      </vt:variant>
      <vt:variant>
        <vt:i4>5</vt:i4>
      </vt:variant>
      <vt:variant>
        <vt:lpwstr/>
      </vt:variant>
      <vt:variant>
        <vt:lpwstr>_Toc467739489</vt:lpwstr>
      </vt:variant>
      <vt:variant>
        <vt:i4>1507340</vt:i4>
      </vt:variant>
      <vt:variant>
        <vt:i4>680</vt:i4>
      </vt:variant>
      <vt:variant>
        <vt:i4>0</vt:i4>
      </vt:variant>
      <vt:variant>
        <vt:i4>5</vt:i4>
      </vt:variant>
      <vt:variant>
        <vt:lpwstr/>
      </vt:variant>
      <vt:variant>
        <vt:lpwstr>_Toc467739488</vt:lpwstr>
      </vt:variant>
      <vt:variant>
        <vt:i4>1507331</vt:i4>
      </vt:variant>
      <vt:variant>
        <vt:i4>674</vt:i4>
      </vt:variant>
      <vt:variant>
        <vt:i4>0</vt:i4>
      </vt:variant>
      <vt:variant>
        <vt:i4>5</vt:i4>
      </vt:variant>
      <vt:variant>
        <vt:lpwstr/>
      </vt:variant>
      <vt:variant>
        <vt:lpwstr>_Toc467739487</vt:lpwstr>
      </vt:variant>
      <vt:variant>
        <vt:i4>1507330</vt:i4>
      </vt:variant>
      <vt:variant>
        <vt:i4>668</vt:i4>
      </vt:variant>
      <vt:variant>
        <vt:i4>0</vt:i4>
      </vt:variant>
      <vt:variant>
        <vt:i4>5</vt:i4>
      </vt:variant>
      <vt:variant>
        <vt:lpwstr/>
      </vt:variant>
      <vt:variant>
        <vt:lpwstr>_Toc467739486</vt:lpwstr>
      </vt:variant>
      <vt:variant>
        <vt:i4>1507329</vt:i4>
      </vt:variant>
      <vt:variant>
        <vt:i4>662</vt:i4>
      </vt:variant>
      <vt:variant>
        <vt:i4>0</vt:i4>
      </vt:variant>
      <vt:variant>
        <vt:i4>5</vt:i4>
      </vt:variant>
      <vt:variant>
        <vt:lpwstr/>
      </vt:variant>
      <vt:variant>
        <vt:lpwstr>_Toc467739485</vt:lpwstr>
      </vt:variant>
      <vt:variant>
        <vt:i4>1507328</vt:i4>
      </vt:variant>
      <vt:variant>
        <vt:i4>656</vt:i4>
      </vt:variant>
      <vt:variant>
        <vt:i4>0</vt:i4>
      </vt:variant>
      <vt:variant>
        <vt:i4>5</vt:i4>
      </vt:variant>
      <vt:variant>
        <vt:lpwstr/>
      </vt:variant>
      <vt:variant>
        <vt:lpwstr>_Toc467739484</vt:lpwstr>
      </vt:variant>
      <vt:variant>
        <vt:i4>1507335</vt:i4>
      </vt:variant>
      <vt:variant>
        <vt:i4>650</vt:i4>
      </vt:variant>
      <vt:variant>
        <vt:i4>0</vt:i4>
      </vt:variant>
      <vt:variant>
        <vt:i4>5</vt:i4>
      </vt:variant>
      <vt:variant>
        <vt:lpwstr/>
      </vt:variant>
      <vt:variant>
        <vt:lpwstr>_Toc467739483</vt:lpwstr>
      </vt:variant>
      <vt:variant>
        <vt:i4>1507334</vt:i4>
      </vt:variant>
      <vt:variant>
        <vt:i4>644</vt:i4>
      </vt:variant>
      <vt:variant>
        <vt:i4>0</vt:i4>
      </vt:variant>
      <vt:variant>
        <vt:i4>5</vt:i4>
      </vt:variant>
      <vt:variant>
        <vt:lpwstr/>
      </vt:variant>
      <vt:variant>
        <vt:lpwstr>_Toc467739482</vt:lpwstr>
      </vt:variant>
      <vt:variant>
        <vt:i4>1507333</vt:i4>
      </vt:variant>
      <vt:variant>
        <vt:i4>638</vt:i4>
      </vt:variant>
      <vt:variant>
        <vt:i4>0</vt:i4>
      </vt:variant>
      <vt:variant>
        <vt:i4>5</vt:i4>
      </vt:variant>
      <vt:variant>
        <vt:lpwstr/>
      </vt:variant>
      <vt:variant>
        <vt:lpwstr>_Toc467739481</vt:lpwstr>
      </vt:variant>
      <vt:variant>
        <vt:i4>1507332</vt:i4>
      </vt:variant>
      <vt:variant>
        <vt:i4>632</vt:i4>
      </vt:variant>
      <vt:variant>
        <vt:i4>0</vt:i4>
      </vt:variant>
      <vt:variant>
        <vt:i4>5</vt:i4>
      </vt:variant>
      <vt:variant>
        <vt:lpwstr/>
      </vt:variant>
      <vt:variant>
        <vt:lpwstr>_Toc467739480</vt:lpwstr>
      </vt:variant>
      <vt:variant>
        <vt:i4>1572877</vt:i4>
      </vt:variant>
      <vt:variant>
        <vt:i4>626</vt:i4>
      </vt:variant>
      <vt:variant>
        <vt:i4>0</vt:i4>
      </vt:variant>
      <vt:variant>
        <vt:i4>5</vt:i4>
      </vt:variant>
      <vt:variant>
        <vt:lpwstr/>
      </vt:variant>
      <vt:variant>
        <vt:lpwstr>_Toc467739479</vt:lpwstr>
      </vt:variant>
      <vt:variant>
        <vt:i4>1572876</vt:i4>
      </vt:variant>
      <vt:variant>
        <vt:i4>620</vt:i4>
      </vt:variant>
      <vt:variant>
        <vt:i4>0</vt:i4>
      </vt:variant>
      <vt:variant>
        <vt:i4>5</vt:i4>
      </vt:variant>
      <vt:variant>
        <vt:lpwstr/>
      </vt:variant>
      <vt:variant>
        <vt:lpwstr>_Toc467739478</vt:lpwstr>
      </vt:variant>
      <vt:variant>
        <vt:i4>1572867</vt:i4>
      </vt:variant>
      <vt:variant>
        <vt:i4>614</vt:i4>
      </vt:variant>
      <vt:variant>
        <vt:i4>0</vt:i4>
      </vt:variant>
      <vt:variant>
        <vt:i4>5</vt:i4>
      </vt:variant>
      <vt:variant>
        <vt:lpwstr/>
      </vt:variant>
      <vt:variant>
        <vt:lpwstr>_Toc467739477</vt:lpwstr>
      </vt:variant>
      <vt:variant>
        <vt:i4>1572866</vt:i4>
      </vt:variant>
      <vt:variant>
        <vt:i4>608</vt:i4>
      </vt:variant>
      <vt:variant>
        <vt:i4>0</vt:i4>
      </vt:variant>
      <vt:variant>
        <vt:i4>5</vt:i4>
      </vt:variant>
      <vt:variant>
        <vt:lpwstr/>
      </vt:variant>
      <vt:variant>
        <vt:lpwstr>_Toc467739476</vt:lpwstr>
      </vt:variant>
      <vt:variant>
        <vt:i4>1572865</vt:i4>
      </vt:variant>
      <vt:variant>
        <vt:i4>602</vt:i4>
      </vt:variant>
      <vt:variant>
        <vt:i4>0</vt:i4>
      </vt:variant>
      <vt:variant>
        <vt:i4>5</vt:i4>
      </vt:variant>
      <vt:variant>
        <vt:lpwstr/>
      </vt:variant>
      <vt:variant>
        <vt:lpwstr>_Toc467739475</vt:lpwstr>
      </vt:variant>
      <vt:variant>
        <vt:i4>1572864</vt:i4>
      </vt:variant>
      <vt:variant>
        <vt:i4>596</vt:i4>
      </vt:variant>
      <vt:variant>
        <vt:i4>0</vt:i4>
      </vt:variant>
      <vt:variant>
        <vt:i4>5</vt:i4>
      </vt:variant>
      <vt:variant>
        <vt:lpwstr/>
      </vt:variant>
      <vt:variant>
        <vt:lpwstr>_Toc467739474</vt:lpwstr>
      </vt:variant>
      <vt:variant>
        <vt:i4>1572871</vt:i4>
      </vt:variant>
      <vt:variant>
        <vt:i4>590</vt:i4>
      </vt:variant>
      <vt:variant>
        <vt:i4>0</vt:i4>
      </vt:variant>
      <vt:variant>
        <vt:i4>5</vt:i4>
      </vt:variant>
      <vt:variant>
        <vt:lpwstr/>
      </vt:variant>
      <vt:variant>
        <vt:lpwstr>_Toc467739473</vt:lpwstr>
      </vt:variant>
      <vt:variant>
        <vt:i4>1572870</vt:i4>
      </vt:variant>
      <vt:variant>
        <vt:i4>584</vt:i4>
      </vt:variant>
      <vt:variant>
        <vt:i4>0</vt:i4>
      </vt:variant>
      <vt:variant>
        <vt:i4>5</vt:i4>
      </vt:variant>
      <vt:variant>
        <vt:lpwstr/>
      </vt:variant>
      <vt:variant>
        <vt:lpwstr>_Toc467739472</vt:lpwstr>
      </vt:variant>
      <vt:variant>
        <vt:i4>1572869</vt:i4>
      </vt:variant>
      <vt:variant>
        <vt:i4>578</vt:i4>
      </vt:variant>
      <vt:variant>
        <vt:i4>0</vt:i4>
      </vt:variant>
      <vt:variant>
        <vt:i4>5</vt:i4>
      </vt:variant>
      <vt:variant>
        <vt:lpwstr/>
      </vt:variant>
      <vt:variant>
        <vt:lpwstr>_Toc467739471</vt:lpwstr>
      </vt:variant>
      <vt:variant>
        <vt:i4>1572868</vt:i4>
      </vt:variant>
      <vt:variant>
        <vt:i4>572</vt:i4>
      </vt:variant>
      <vt:variant>
        <vt:i4>0</vt:i4>
      </vt:variant>
      <vt:variant>
        <vt:i4>5</vt:i4>
      </vt:variant>
      <vt:variant>
        <vt:lpwstr/>
      </vt:variant>
      <vt:variant>
        <vt:lpwstr>_Toc467739470</vt:lpwstr>
      </vt:variant>
      <vt:variant>
        <vt:i4>1638413</vt:i4>
      </vt:variant>
      <vt:variant>
        <vt:i4>566</vt:i4>
      </vt:variant>
      <vt:variant>
        <vt:i4>0</vt:i4>
      </vt:variant>
      <vt:variant>
        <vt:i4>5</vt:i4>
      </vt:variant>
      <vt:variant>
        <vt:lpwstr/>
      </vt:variant>
      <vt:variant>
        <vt:lpwstr>_Toc467739469</vt:lpwstr>
      </vt:variant>
      <vt:variant>
        <vt:i4>1638412</vt:i4>
      </vt:variant>
      <vt:variant>
        <vt:i4>560</vt:i4>
      </vt:variant>
      <vt:variant>
        <vt:i4>0</vt:i4>
      </vt:variant>
      <vt:variant>
        <vt:i4>5</vt:i4>
      </vt:variant>
      <vt:variant>
        <vt:lpwstr/>
      </vt:variant>
      <vt:variant>
        <vt:lpwstr>_Toc467739468</vt:lpwstr>
      </vt:variant>
      <vt:variant>
        <vt:i4>1638403</vt:i4>
      </vt:variant>
      <vt:variant>
        <vt:i4>554</vt:i4>
      </vt:variant>
      <vt:variant>
        <vt:i4>0</vt:i4>
      </vt:variant>
      <vt:variant>
        <vt:i4>5</vt:i4>
      </vt:variant>
      <vt:variant>
        <vt:lpwstr/>
      </vt:variant>
      <vt:variant>
        <vt:lpwstr>_Toc467739467</vt:lpwstr>
      </vt:variant>
      <vt:variant>
        <vt:i4>1638402</vt:i4>
      </vt:variant>
      <vt:variant>
        <vt:i4>548</vt:i4>
      </vt:variant>
      <vt:variant>
        <vt:i4>0</vt:i4>
      </vt:variant>
      <vt:variant>
        <vt:i4>5</vt:i4>
      </vt:variant>
      <vt:variant>
        <vt:lpwstr/>
      </vt:variant>
      <vt:variant>
        <vt:lpwstr>_Toc467739466</vt:lpwstr>
      </vt:variant>
      <vt:variant>
        <vt:i4>1638401</vt:i4>
      </vt:variant>
      <vt:variant>
        <vt:i4>542</vt:i4>
      </vt:variant>
      <vt:variant>
        <vt:i4>0</vt:i4>
      </vt:variant>
      <vt:variant>
        <vt:i4>5</vt:i4>
      </vt:variant>
      <vt:variant>
        <vt:lpwstr/>
      </vt:variant>
      <vt:variant>
        <vt:lpwstr>_Toc467739465</vt:lpwstr>
      </vt:variant>
      <vt:variant>
        <vt:i4>1638400</vt:i4>
      </vt:variant>
      <vt:variant>
        <vt:i4>536</vt:i4>
      </vt:variant>
      <vt:variant>
        <vt:i4>0</vt:i4>
      </vt:variant>
      <vt:variant>
        <vt:i4>5</vt:i4>
      </vt:variant>
      <vt:variant>
        <vt:lpwstr/>
      </vt:variant>
      <vt:variant>
        <vt:lpwstr>_Toc467739464</vt:lpwstr>
      </vt:variant>
      <vt:variant>
        <vt:i4>1638407</vt:i4>
      </vt:variant>
      <vt:variant>
        <vt:i4>530</vt:i4>
      </vt:variant>
      <vt:variant>
        <vt:i4>0</vt:i4>
      </vt:variant>
      <vt:variant>
        <vt:i4>5</vt:i4>
      </vt:variant>
      <vt:variant>
        <vt:lpwstr/>
      </vt:variant>
      <vt:variant>
        <vt:lpwstr>_Toc467739463</vt:lpwstr>
      </vt:variant>
      <vt:variant>
        <vt:i4>1638406</vt:i4>
      </vt:variant>
      <vt:variant>
        <vt:i4>524</vt:i4>
      </vt:variant>
      <vt:variant>
        <vt:i4>0</vt:i4>
      </vt:variant>
      <vt:variant>
        <vt:i4>5</vt:i4>
      </vt:variant>
      <vt:variant>
        <vt:lpwstr/>
      </vt:variant>
      <vt:variant>
        <vt:lpwstr>_Toc467739462</vt:lpwstr>
      </vt:variant>
      <vt:variant>
        <vt:i4>1638405</vt:i4>
      </vt:variant>
      <vt:variant>
        <vt:i4>518</vt:i4>
      </vt:variant>
      <vt:variant>
        <vt:i4>0</vt:i4>
      </vt:variant>
      <vt:variant>
        <vt:i4>5</vt:i4>
      </vt:variant>
      <vt:variant>
        <vt:lpwstr/>
      </vt:variant>
      <vt:variant>
        <vt:lpwstr>_Toc467739461</vt:lpwstr>
      </vt:variant>
      <vt:variant>
        <vt:i4>1638404</vt:i4>
      </vt:variant>
      <vt:variant>
        <vt:i4>512</vt:i4>
      </vt:variant>
      <vt:variant>
        <vt:i4>0</vt:i4>
      </vt:variant>
      <vt:variant>
        <vt:i4>5</vt:i4>
      </vt:variant>
      <vt:variant>
        <vt:lpwstr/>
      </vt:variant>
      <vt:variant>
        <vt:lpwstr>_Toc467739460</vt:lpwstr>
      </vt:variant>
      <vt:variant>
        <vt:i4>1703949</vt:i4>
      </vt:variant>
      <vt:variant>
        <vt:i4>506</vt:i4>
      </vt:variant>
      <vt:variant>
        <vt:i4>0</vt:i4>
      </vt:variant>
      <vt:variant>
        <vt:i4>5</vt:i4>
      </vt:variant>
      <vt:variant>
        <vt:lpwstr/>
      </vt:variant>
      <vt:variant>
        <vt:lpwstr>_Toc467739459</vt:lpwstr>
      </vt:variant>
      <vt:variant>
        <vt:i4>1703948</vt:i4>
      </vt:variant>
      <vt:variant>
        <vt:i4>500</vt:i4>
      </vt:variant>
      <vt:variant>
        <vt:i4>0</vt:i4>
      </vt:variant>
      <vt:variant>
        <vt:i4>5</vt:i4>
      </vt:variant>
      <vt:variant>
        <vt:lpwstr/>
      </vt:variant>
      <vt:variant>
        <vt:lpwstr>_Toc467739458</vt:lpwstr>
      </vt:variant>
      <vt:variant>
        <vt:i4>1703939</vt:i4>
      </vt:variant>
      <vt:variant>
        <vt:i4>494</vt:i4>
      </vt:variant>
      <vt:variant>
        <vt:i4>0</vt:i4>
      </vt:variant>
      <vt:variant>
        <vt:i4>5</vt:i4>
      </vt:variant>
      <vt:variant>
        <vt:lpwstr/>
      </vt:variant>
      <vt:variant>
        <vt:lpwstr>_Toc467739457</vt:lpwstr>
      </vt:variant>
      <vt:variant>
        <vt:i4>1703938</vt:i4>
      </vt:variant>
      <vt:variant>
        <vt:i4>488</vt:i4>
      </vt:variant>
      <vt:variant>
        <vt:i4>0</vt:i4>
      </vt:variant>
      <vt:variant>
        <vt:i4>5</vt:i4>
      </vt:variant>
      <vt:variant>
        <vt:lpwstr/>
      </vt:variant>
      <vt:variant>
        <vt:lpwstr>_Toc467739456</vt:lpwstr>
      </vt:variant>
      <vt:variant>
        <vt:i4>1703937</vt:i4>
      </vt:variant>
      <vt:variant>
        <vt:i4>482</vt:i4>
      </vt:variant>
      <vt:variant>
        <vt:i4>0</vt:i4>
      </vt:variant>
      <vt:variant>
        <vt:i4>5</vt:i4>
      </vt:variant>
      <vt:variant>
        <vt:lpwstr/>
      </vt:variant>
      <vt:variant>
        <vt:lpwstr>_Toc467739455</vt:lpwstr>
      </vt:variant>
      <vt:variant>
        <vt:i4>1703936</vt:i4>
      </vt:variant>
      <vt:variant>
        <vt:i4>476</vt:i4>
      </vt:variant>
      <vt:variant>
        <vt:i4>0</vt:i4>
      </vt:variant>
      <vt:variant>
        <vt:i4>5</vt:i4>
      </vt:variant>
      <vt:variant>
        <vt:lpwstr/>
      </vt:variant>
      <vt:variant>
        <vt:lpwstr>_Toc467739454</vt:lpwstr>
      </vt:variant>
      <vt:variant>
        <vt:i4>1703943</vt:i4>
      </vt:variant>
      <vt:variant>
        <vt:i4>470</vt:i4>
      </vt:variant>
      <vt:variant>
        <vt:i4>0</vt:i4>
      </vt:variant>
      <vt:variant>
        <vt:i4>5</vt:i4>
      </vt:variant>
      <vt:variant>
        <vt:lpwstr/>
      </vt:variant>
      <vt:variant>
        <vt:lpwstr>_Toc467739453</vt:lpwstr>
      </vt:variant>
      <vt:variant>
        <vt:i4>1703942</vt:i4>
      </vt:variant>
      <vt:variant>
        <vt:i4>464</vt:i4>
      </vt:variant>
      <vt:variant>
        <vt:i4>0</vt:i4>
      </vt:variant>
      <vt:variant>
        <vt:i4>5</vt:i4>
      </vt:variant>
      <vt:variant>
        <vt:lpwstr/>
      </vt:variant>
      <vt:variant>
        <vt:lpwstr>_Toc467739452</vt:lpwstr>
      </vt:variant>
      <vt:variant>
        <vt:i4>1703941</vt:i4>
      </vt:variant>
      <vt:variant>
        <vt:i4>458</vt:i4>
      </vt:variant>
      <vt:variant>
        <vt:i4>0</vt:i4>
      </vt:variant>
      <vt:variant>
        <vt:i4>5</vt:i4>
      </vt:variant>
      <vt:variant>
        <vt:lpwstr/>
      </vt:variant>
      <vt:variant>
        <vt:lpwstr>_Toc467739451</vt:lpwstr>
      </vt:variant>
      <vt:variant>
        <vt:i4>1703940</vt:i4>
      </vt:variant>
      <vt:variant>
        <vt:i4>452</vt:i4>
      </vt:variant>
      <vt:variant>
        <vt:i4>0</vt:i4>
      </vt:variant>
      <vt:variant>
        <vt:i4>5</vt:i4>
      </vt:variant>
      <vt:variant>
        <vt:lpwstr/>
      </vt:variant>
      <vt:variant>
        <vt:lpwstr>_Toc467739450</vt:lpwstr>
      </vt:variant>
      <vt:variant>
        <vt:i4>1769485</vt:i4>
      </vt:variant>
      <vt:variant>
        <vt:i4>446</vt:i4>
      </vt:variant>
      <vt:variant>
        <vt:i4>0</vt:i4>
      </vt:variant>
      <vt:variant>
        <vt:i4>5</vt:i4>
      </vt:variant>
      <vt:variant>
        <vt:lpwstr/>
      </vt:variant>
      <vt:variant>
        <vt:lpwstr>_Toc467739449</vt:lpwstr>
      </vt:variant>
      <vt:variant>
        <vt:i4>1769484</vt:i4>
      </vt:variant>
      <vt:variant>
        <vt:i4>440</vt:i4>
      </vt:variant>
      <vt:variant>
        <vt:i4>0</vt:i4>
      </vt:variant>
      <vt:variant>
        <vt:i4>5</vt:i4>
      </vt:variant>
      <vt:variant>
        <vt:lpwstr/>
      </vt:variant>
      <vt:variant>
        <vt:lpwstr>_Toc467739448</vt:lpwstr>
      </vt:variant>
      <vt:variant>
        <vt:i4>1769475</vt:i4>
      </vt:variant>
      <vt:variant>
        <vt:i4>434</vt:i4>
      </vt:variant>
      <vt:variant>
        <vt:i4>0</vt:i4>
      </vt:variant>
      <vt:variant>
        <vt:i4>5</vt:i4>
      </vt:variant>
      <vt:variant>
        <vt:lpwstr/>
      </vt:variant>
      <vt:variant>
        <vt:lpwstr>_Toc467739447</vt:lpwstr>
      </vt:variant>
      <vt:variant>
        <vt:i4>1769474</vt:i4>
      </vt:variant>
      <vt:variant>
        <vt:i4>428</vt:i4>
      </vt:variant>
      <vt:variant>
        <vt:i4>0</vt:i4>
      </vt:variant>
      <vt:variant>
        <vt:i4>5</vt:i4>
      </vt:variant>
      <vt:variant>
        <vt:lpwstr/>
      </vt:variant>
      <vt:variant>
        <vt:lpwstr>_Toc467739446</vt:lpwstr>
      </vt:variant>
      <vt:variant>
        <vt:i4>1769473</vt:i4>
      </vt:variant>
      <vt:variant>
        <vt:i4>422</vt:i4>
      </vt:variant>
      <vt:variant>
        <vt:i4>0</vt:i4>
      </vt:variant>
      <vt:variant>
        <vt:i4>5</vt:i4>
      </vt:variant>
      <vt:variant>
        <vt:lpwstr/>
      </vt:variant>
      <vt:variant>
        <vt:lpwstr>_Toc467739445</vt:lpwstr>
      </vt:variant>
      <vt:variant>
        <vt:i4>1769472</vt:i4>
      </vt:variant>
      <vt:variant>
        <vt:i4>416</vt:i4>
      </vt:variant>
      <vt:variant>
        <vt:i4>0</vt:i4>
      </vt:variant>
      <vt:variant>
        <vt:i4>5</vt:i4>
      </vt:variant>
      <vt:variant>
        <vt:lpwstr/>
      </vt:variant>
      <vt:variant>
        <vt:lpwstr>_Toc467739444</vt:lpwstr>
      </vt:variant>
      <vt:variant>
        <vt:i4>1769479</vt:i4>
      </vt:variant>
      <vt:variant>
        <vt:i4>410</vt:i4>
      </vt:variant>
      <vt:variant>
        <vt:i4>0</vt:i4>
      </vt:variant>
      <vt:variant>
        <vt:i4>5</vt:i4>
      </vt:variant>
      <vt:variant>
        <vt:lpwstr/>
      </vt:variant>
      <vt:variant>
        <vt:lpwstr>_Toc467739443</vt:lpwstr>
      </vt:variant>
      <vt:variant>
        <vt:i4>1769478</vt:i4>
      </vt:variant>
      <vt:variant>
        <vt:i4>404</vt:i4>
      </vt:variant>
      <vt:variant>
        <vt:i4>0</vt:i4>
      </vt:variant>
      <vt:variant>
        <vt:i4>5</vt:i4>
      </vt:variant>
      <vt:variant>
        <vt:lpwstr/>
      </vt:variant>
      <vt:variant>
        <vt:lpwstr>_Toc467739442</vt:lpwstr>
      </vt:variant>
      <vt:variant>
        <vt:i4>1769477</vt:i4>
      </vt:variant>
      <vt:variant>
        <vt:i4>398</vt:i4>
      </vt:variant>
      <vt:variant>
        <vt:i4>0</vt:i4>
      </vt:variant>
      <vt:variant>
        <vt:i4>5</vt:i4>
      </vt:variant>
      <vt:variant>
        <vt:lpwstr/>
      </vt:variant>
      <vt:variant>
        <vt:lpwstr>_Toc467739441</vt:lpwstr>
      </vt:variant>
      <vt:variant>
        <vt:i4>1769476</vt:i4>
      </vt:variant>
      <vt:variant>
        <vt:i4>392</vt:i4>
      </vt:variant>
      <vt:variant>
        <vt:i4>0</vt:i4>
      </vt:variant>
      <vt:variant>
        <vt:i4>5</vt:i4>
      </vt:variant>
      <vt:variant>
        <vt:lpwstr/>
      </vt:variant>
      <vt:variant>
        <vt:lpwstr>_Toc467739440</vt:lpwstr>
      </vt:variant>
      <vt:variant>
        <vt:i4>1835021</vt:i4>
      </vt:variant>
      <vt:variant>
        <vt:i4>386</vt:i4>
      </vt:variant>
      <vt:variant>
        <vt:i4>0</vt:i4>
      </vt:variant>
      <vt:variant>
        <vt:i4>5</vt:i4>
      </vt:variant>
      <vt:variant>
        <vt:lpwstr/>
      </vt:variant>
      <vt:variant>
        <vt:lpwstr>_Toc467739439</vt:lpwstr>
      </vt:variant>
      <vt:variant>
        <vt:i4>1835020</vt:i4>
      </vt:variant>
      <vt:variant>
        <vt:i4>380</vt:i4>
      </vt:variant>
      <vt:variant>
        <vt:i4>0</vt:i4>
      </vt:variant>
      <vt:variant>
        <vt:i4>5</vt:i4>
      </vt:variant>
      <vt:variant>
        <vt:lpwstr/>
      </vt:variant>
      <vt:variant>
        <vt:lpwstr>_Toc467739438</vt:lpwstr>
      </vt:variant>
      <vt:variant>
        <vt:i4>1835011</vt:i4>
      </vt:variant>
      <vt:variant>
        <vt:i4>374</vt:i4>
      </vt:variant>
      <vt:variant>
        <vt:i4>0</vt:i4>
      </vt:variant>
      <vt:variant>
        <vt:i4>5</vt:i4>
      </vt:variant>
      <vt:variant>
        <vt:lpwstr/>
      </vt:variant>
      <vt:variant>
        <vt:lpwstr>_Toc467739437</vt:lpwstr>
      </vt:variant>
      <vt:variant>
        <vt:i4>1835010</vt:i4>
      </vt:variant>
      <vt:variant>
        <vt:i4>368</vt:i4>
      </vt:variant>
      <vt:variant>
        <vt:i4>0</vt:i4>
      </vt:variant>
      <vt:variant>
        <vt:i4>5</vt:i4>
      </vt:variant>
      <vt:variant>
        <vt:lpwstr/>
      </vt:variant>
      <vt:variant>
        <vt:lpwstr>_Toc467739436</vt:lpwstr>
      </vt:variant>
      <vt:variant>
        <vt:i4>1835009</vt:i4>
      </vt:variant>
      <vt:variant>
        <vt:i4>362</vt:i4>
      </vt:variant>
      <vt:variant>
        <vt:i4>0</vt:i4>
      </vt:variant>
      <vt:variant>
        <vt:i4>5</vt:i4>
      </vt:variant>
      <vt:variant>
        <vt:lpwstr/>
      </vt:variant>
      <vt:variant>
        <vt:lpwstr>_Toc467739435</vt:lpwstr>
      </vt:variant>
      <vt:variant>
        <vt:i4>1835008</vt:i4>
      </vt:variant>
      <vt:variant>
        <vt:i4>356</vt:i4>
      </vt:variant>
      <vt:variant>
        <vt:i4>0</vt:i4>
      </vt:variant>
      <vt:variant>
        <vt:i4>5</vt:i4>
      </vt:variant>
      <vt:variant>
        <vt:lpwstr/>
      </vt:variant>
      <vt:variant>
        <vt:lpwstr>_Toc467739434</vt:lpwstr>
      </vt:variant>
      <vt:variant>
        <vt:i4>1835015</vt:i4>
      </vt:variant>
      <vt:variant>
        <vt:i4>350</vt:i4>
      </vt:variant>
      <vt:variant>
        <vt:i4>0</vt:i4>
      </vt:variant>
      <vt:variant>
        <vt:i4>5</vt:i4>
      </vt:variant>
      <vt:variant>
        <vt:lpwstr/>
      </vt:variant>
      <vt:variant>
        <vt:lpwstr>_Toc467739433</vt:lpwstr>
      </vt:variant>
      <vt:variant>
        <vt:i4>1835014</vt:i4>
      </vt:variant>
      <vt:variant>
        <vt:i4>344</vt:i4>
      </vt:variant>
      <vt:variant>
        <vt:i4>0</vt:i4>
      </vt:variant>
      <vt:variant>
        <vt:i4>5</vt:i4>
      </vt:variant>
      <vt:variant>
        <vt:lpwstr/>
      </vt:variant>
      <vt:variant>
        <vt:lpwstr>_Toc467739432</vt:lpwstr>
      </vt:variant>
      <vt:variant>
        <vt:i4>1835013</vt:i4>
      </vt:variant>
      <vt:variant>
        <vt:i4>338</vt:i4>
      </vt:variant>
      <vt:variant>
        <vt:i4>0</vt:i4>
      </vt:variant>
      <vt:variant>
        <vt:i4>5</vt:i4>
      </vt:variant>
      <vt:variant>
        <vt:lpwstr/>
      </vt:variant>
      <vt:variant>
        <vt:lpwstr>_Toc467739431</vt:lpwstr>
      </vt:variant>
      <vt:variant>
        <vt:i4>1835012</vt:i4>
      </vt:variant>
      <vt:variant>
        <vt:i4>332</vt:i4>
      </vt:variant>
      <vt:variant>
        <vt:i4>0</vt:i4>
      </vt:variant>
      <vt:variant>
        <vt:i4>5</vt:i4>
      </vt:variant>
      <vt:variant>
        <vt:lpwstr/>
      </vt:variant>
      <vt:variant>
        <vt:lpwstr>_Toc467739430</vt:lpwstr>
      </vt:variant>
      <vt:variant>
        <vt:i4>1900557</vt:i4>
      </vt:variant>
      <vt:variant>
        <vt:i4>326</vt:i4>
      </vt:variant>
      <vt:variant>
        <vt:i4>0</vt:i4>
      </vt:variant>
      <vt:variant>
        <vt:i4>5</vt:i4>
      </vt:variant>
      <vt:variant>
        <vt:lpwstr/>
      </vt:variant>
      <vt:variant>
        <vt:lpwstr>_Toc467739429</vt:lpwstr>
      </vt:variant>
      <vt:variant>
        <vt:i4>1900556</vt:i4>
      </vt:variant>
      <vt:variant>
        <vt:i4>320</vt:i4>
      </vt:variant>
      <vt:variant>
        <vt:i4>0</vt:i4>
      </vt:variant>
      <vt:variant>
        <vt:i4>5</vt:i4>
      </vt:variant>
      <vt:variant>
        <vt:lpwstr/>
      </vt:variant>
      <vt:variant>
        <vt:lpwstr>_Toc467739428</vt:lpwstr>
      </vt:variant>
      <vt:variant>
        <vt:i4>1900547</vt:i4>
      </vt:variant>
      <vt:variant>
        <vt:i4>314</vt:i4>
      </vt:variant>
      <vt:variant>
        <vt:i4>0</vt:i4>
      </vt:variant>
      <vt:variant>
        <vt:i4>5</vt:i4>
      </vt:variant>
      <vt:variant>
        <vt:lpwstr/>
      </vt:variant>
      <vt:variant>
        <vt:lpwstr>_Toc467739427</vt:lpwstr>
      </vt:variant>
      <vt:variant>
        <vt:i4>1900546</vt:i4>
      </vt:variant>
      <vt:variant>
        <vt:i4>308</vt:i4>
      </vt:variant>
      <vt:variant>
        <vt:i4>0</vt:i4>
      </vt:variant>
      <vt:variant>
        <vt:i4>5</vt:i4>
      </vt:variant>
      <vt:variant>
        <vt:lpwstr/>
      </vt:variant>
      <vt:variant>
        <vt:lpwstr>_Toc467739426</vt:lpwstr>
      </vt:variant>
      <vt:variant>
        <vt:i4>1900545</vt:i4>
      </vt:variant>
      <vt:variant>
        <vt:i4>302</vt:i4>
      </vt:variant>
      <vt:variant>
        <vt:i4>0</vt:i4>
      </vt:variant>
      <vt:variant>
        <vt:i4>5</vt:i4>
      </vt:variant>
      <vt:variant>
        <vt:lpwstr/>
      </vt:variant>
      <vt:variant>
        <vt:lpwstr>_Toc467739425</vt:lpwstr>
      </vt:variant>
      <vt:variant>
        <vt:i4>1900544</vt:i4>
      </vt:variant>
      <vt:variant>
        <vt:i4>296</vt:i4>
      </vt:variant>
      <vt:variant>
        <vt:i4>0</vt:i4>
      </vt:variant>
      <vt:variant>
        <vt:i4>5</vt:i4>
      </vt:variant>
      <vt:variant>
        <vt:lpwstr/>
      </vt:variant>
      <vt:variant>
        <vt:lpwstr>_Toc467739424</vt:lpwstr>
      </vt:variant>
      <vt:variant>
        <vt:i4>1900551</vt:i4>
      </vt:variant>
      <vt:variant>
        <vt:i4>290</vt:i4>
      </vt:variant>
      <vt:variant>
        <vt:i4>0</vt:i4>
      </vt:variant>
      <vt:variant>
        <vt:i4>5</vt:i4>
      </vt:variant>
      <vt:variant>
        <vt:lpwstr/>
      </vt:variant>
      <vt:variant>
        <vt:lpwstr>_Toc467739423</vt:lpwstr>
      </vt:variant>
      <vt:variant>
        <vt:i4>1900550</vt:i4>
      </vt:variant>
      <vt:variant>
        <vt:i4>284</vt:i4>
      </vt:variant>
      <vt:variant>
        <vt:i4>0</vt:i4>
      </vt:variant>
      <vt:variant>
        <vt:i4>5</vt:i4>
      </vt:variant>
      <vt:variant>
        <vt:lpwstr/>
      </vt:variant>
      <vt:variant>
        <vt:lpwstr>_Toc467739422</vt:lpwstr>
      </vt:variant>
      <vt:variant>
        <vt:i4>1900549</vt:i4>
      </vt:variant>
      <vt:variant>
        <vt:i4>278</vt:i4>
      </vt:variant>
      <vt:variant>
        <vt:i4>0</vt:i4>
      </vt:variant>
      <vt:variant>
        <vt:i4>5</vt:i4>
      </vt:variant>
      <vt:variant>
        <vt:lpwstr/>
      </vt:variant>
      <vt:variant>
        <vt:lpwstr>_Toc467739421</vt:lpwstr>
      </vt:variant>
      <vt:variant>
        <vt:i4>1900548</vt:i4>
      </vt:variant>
      <vt:variant>
        <vt:i4>272</vt:i4>
      </vt:variant>
      <vt:variant>
        <vt:i4>0</vt:i4>
      </vt:variant>
      <vt:variant>
        <vt:i4>5</vt:i4>
      </vt:variant>
      <vt:variant>
        <vt:lpwstr/>
      </vt:variant>
      <vt:variant>
        <vt:lpwstr>_Toc467739420</vt:lpwstr>
      </vt:variant>
      <vt:variant>
        <vt:i4>1966093</vt:i4>
      </vt:variant>
      <vt:variant>
        <vt:i4>266</vt:i4>
      </vt:variant>
      <vt:variant>
        <vt:i4>0</vt:i4>
      </vt:variant>
      <vt:variant>
        <vt:i4>5</vt:i4>
      </vt:variant>
      <vt:variant>
        <vt:lpwstr/>
      </vt:variant>
      <vt:variant>
        <vt:lpwstr>_Toc467739419</vt:lpwstr>
      </vt:variant>
      <vt:variant>
        <vt:i4>1966092</vt:i4>
      </vt:variant>
      <vt:variant>
        <vt:i4>260</vt:i4>
      </vt:variant>
      <vt:variant>
        <vt:i4>0</vt:i4>
      </vt:variant>
      <vt:variant>
        <vt:i4>5</vt:i4>
      </vt:variant>
      <vt:variant>
        <vt:lpwstr/>
      </vt:variant>
      <vt:variant>
        <vt:lpwstr>_Toc467739418</vt:lpwstr>
      </vt:variant>
      <vt:variant>
        <vt:i4>1966083</vt:i4>
      </vt:variant>
      <vt:variant>
        <vt:i4>254</vt:i4>
      </vt:variant>
      <vt:variant>
        <vt:i4>0</vt:i4>
      </vt:variant>
      <vt:variant>
        <vt:i4>5</vt:i4>
      </vt:variant>
      <vt:variant>
        <vt:lpwstr/>
      </vt:variant>
      <vt:variant>
        <vt:lpwstr>_Toc467739417</vt:lpwstr>
      </vt:variant>
      <vt:variant>
        <vt:i4>1966082</vt:i4>
      </vt:variant>
      <vt:variant>
        <vt:i4>248</vt:i4>
      </vt:variant>
      <vt:variant>
        <vt:i4>0</vt:i4>
      </vt:variant>
      <vt:variant>
        <vt:i4>5</vt:i4>
      </vt:variant>
      <vt:variant>
        <vt:lpwstr/>
      </vt:variant>
      <vt:variant>
        <vt:lpwstr>_Toc467739416</vt:lpwstr>
      </vt:variant>
      <vt:variant>
        <vt:i4>1966081</vt:i4>
      </vt:variant>
      <vt:variant>
        <vt:i4>242</vt:i4>
      </vt:variant>
      <vt:variant>
        <vt:i4>0</vt:i4>
      </vt:variant>
      <vt:variant>
        <vt:i4>5</vt:i4>
      </vt:variant>
      <vt:variant>
        <vt:lpwstr/>
      </vt:variant>
      <vt:variant>
        <vt:lpwstr>_Toc467739415</vt:lpwstr>
      </vt:variant>
      <vt:variant>
        <vt:i4>1966080</vt:i4>
      </vt:variant>
      <vt:variant>
        <vt:i4>236</vt:i4>
      </vt:variant>
      <vt:variant>
        <vt:i4>0</vt:i4>
      </vt:variant>
      <vt:variant>
        <vt:i4>5</vt:i4>
      </vt:variant>
      <vt:variant>
        <vt:lpwstr/>
      </vt:variant>
      <vt:variant>
        <vt:lpwstr>_Toc467739414</vt:lpwstr>
      </vt:variant>
      <vt:variant>
        <vt:i4>1966087</vt:i4>
      </vt:variant>
      <vt:variant>
        <vt:i4>230</vt:i4>
      </vt:variant>
      <vt:variant>
        <vt:i4>0</vt:i4>
      </vt:variant>
      <vt:variant>
        <vt:i4>5</vt:i4>
      </vt:variant>
      <vt:variant>
        <vt:lpwstr/>
      </vt:variant>
      <vt:variant>
        <vt:lpwstr>_Toc467739413</vt:lpwstr>
      </vt:variant>
      <vt:variant>
        <vt:i4>1966086</vt:i4>
      </vt:variant>
      <vt:variant>
        <vt:i4>224</vt:i4>
      </vt:variant>
      <vt:variant>
        <vt:i4>0</vt:i4>
      </vt:variant>
      <vt:variant>
        <vt:i4>5</vt:i4>
      </vt:variant>
      <vt:variant>
        <vt:lpwstr/>
      </vt:variant>
      <vt:variant>
        <vt:lpwstr>_Toc467739412</vt:lpwstr>
      </vt:variant>
      <vt:variant>
        <vt:i4>1966085</vt:i4>
      </vt:variant>
      <vt:variant>
        <vt:i4>218</vt:i4>
      </vt:variant>
      <vt:variant>
        <vt:i4>0</vt:i4>
      </vt:variant>
      <vt:variant>
        <vt:i4>5</vt:i4>
      </vt:variant>
      <vt:variant>
        <vt:lpwstr/>
      </vt:variant>
      <vt:variant>
        <vt:lpwstr>_Toc467739411</vt:lpwstr>
      </vt:variant>
      <vt:variant>
        <vt:i4>1966084</vt:i4>
      </vt:variant>
      <vt:variant>
        <vt:i4>212</vt:i4>
      </vt:variant>
      <vt:variant>
        <vt:i4>0</vt:i4>
      </vt:variant>
      <vt:variant>
        <vt:i4>5</vt:i4>
      </vt:variant>
      <vt:variant>
        <vt:lpwstr/>
      </vt:variant>
      <vt:variant>
        <vt:lpwstr>_Toc467739410</vt:lpwstr>
      </vt:variant>
      <vt:variant>
        <vt:i4>2031629</vt:i4>
      </vt:variant>
      <vt:variant>
        <vt:i4>206</vt:i4>
      </vt:variant>
      <vt:variant>
        <vt:i4>0</vt:i4>
      </vt:variant>
      <vt:variant>
        <vt:i4>5</vt:i4>
      </vt:variant>
      <vt:variant>
        <vt:lpwstr/>
      </vt:variant>
      <vt:variant>
        <vt:lpwstr>_Toc467739409</vt:lpwstr>
      </vt:variant>
      <vt:variant>
        <vt:i4>2031628</vt:i4>
      </vt:variant>
      <vt:variant>
        <vt:i4>200</vt:i4>
      </vt:variant>
      <vt:variant>
        <vt:i4>0</vt:i4>
      </vt:variant>
      <vt:variant>
        <vt:i4>5</vt:i4>
      </vt:variant>
      <vt:variant>
        <vt:lpwstr/>
      </vt:variant>
      <vt:variant>
        <vt:lpwstr>_Toc467739408</vt:lpwstr>
      </vt:variant>
      <vt:variant>
        <vt:i4>2031619</vt:i4>
      </vt:variant>
      <vt:variant>
        <vt:i4>194</vt:i4>
      </vt:variant>
      <vt:variant>
        <vt:i4>0</vt:i4>
      </vt:variant>
      <vt:variant>
        <vt:i4>5</vt:i4>
      </vt:variant>
      <vt:variant>
        <vt:lpwstr/>
      </vt:variant>
      <vt:variant>
        <vt:lpwstr>_Toc467739407</vt:lpwstr>
      </vt:variant>
      <vt:variant>
        <vt:i4>2031618</vt:i4>
      </vt:variant>
      <vt:variant>
        <vt:i4>188</vt:i4>
      </vt:variant>
      <vt:variant>
        <vt:i4>0</vt:i4>
      </vt:variant>
      <vt:variant>
        <vt:i4>5</vt:i4>
      </vt:variant>
      <vt:variant>
        <vt:lpwstr/>
      </vt:variant>
      <vt:variant>
        <vt:lpwstr>_Toc467739406</vt:lpwstr>
      </vt:variant>
      <vt:variant>
        <vt:i4>2031617</vt:i4>
      </vt:variant>
      <vt:variant>
        <vt:i4>182</vt:i4>
      </vt:variant>
      <vt:variant>
        <vt:i4>0</vt:i4>
      </vt:variant>
      <vt:variant>
        <vt:i4>5</vt:i4>
      </vt:variant>
      <vt:variant>
        <vt:lpwstr/>
      </vt:variant>
      <vt:variant>
        <vt:lpwstr>_Toc467739405</vt:lpwstr>
      </vt:variant>
      <vt:variant>
        <vt:i4>2031616</vt:i4>
      </vt:variant>
      <vt:variant>
        <vt:i4>176</vt:i4>
      </vt:variant>
      <vt:variant>
        <vt:i4>0</vt:i4>
      </vt:variant>
      <vt:variant>
        <vt:i4>5</vt:i4>
      </vt:variant>
      <vt:variant>
        <vt:lpwstr/>
      </vt:variant>
      <vt:variant>
        <vt:lpwstr>_Toc467739404</vt:lpwstr>
      </vt:variant>
      <vt:variant>
        <vt:i4>2031623</vt:i4>
      </vt:variant>
      <vt:variant>
        <vt:i4>170</vt:i4>
      </vt:variant>
      <vt:variant>
        <vt:i4>0</vt:i4>
      </vt:variant>
      <vt:variant>
        <vt:i4>5</vt:i4>
      </vt:variant>
      <vt:variant>
        <vt:lpwstr/>
      </vt:variant>
      <vt:variant>
        <vt:lpwstr>_Toc467739403</vt:lpwstr>
      </vt:variant>
      <vt:variant>
        <vt:i4>2031622</vt:i4>
      </vt:variant>
      <vt:variant>
        <vt:i4>164</vt:i4>
      </vt:variant>
      <vt:variant>
        <vt:i4>0</vt:i4>
      </vt:variant>
      <vt:variant>
        <vt:i4>5</vt:i4>
      </vt:variant>
      <vt:variant>
        <vt:lpwstr/>
      </vt:variant>
      <vt:variant>
        <vt:lpwstr>_Toc467739402</vt:lpwstr>
      </vt:variant>
      <vt:variant>
        <vt:i4>2031621</vt:i4>
      </vt:variant>
      <vt:variant>
        <vt:i4>158</vt:i4>
      </vt:variant>
      <vt:variant>
        <vt:i4>0</vt:i4>
      </vt:variant>
      <vt:variant>
        <vt:i4>5</vt:i4>
      </vt:variant>
      <vt:variant>
        <vt:lpwstr/>
      </vt:variant>
      <vt:variant>
        <vt:lpwstr>_Toc467739401</vt:lpwstr>
      </vt:variant>
      <vt:variant>
        <vt:i4>2031620</vt:i4>
      </vt:variant>
      <vt:variant>
        <vt:i4>152</vt:i4>
      </vt:variant>
      <vt:variant>
        <vt:i4>0</vt:i4>
      </vt:variant>
      <vt:variant>
        <vt:i4>5</vt:i4>
      </vt:variant>
      <vt:variant>
        <vt:lpwstr/>
      </vt:variant>
      <vt:variant>
        <vt:lpwstr>_Toc467739400</vt:lpwstr>
      </vt:variant>
      <vt:variant>
        <vt:i4>1441802</vt:i4>
      </vt:variant>
      <vt:variant>
        <vt:i4>146</vt:i4>
      </vt:variant>
      <vt:variant>
        <vt:i4>0</vt:i4>
      </vt:variant>
      <vt:variant>
        <vt:i4>5</vt:i4>
      </vt:variant>
      <vt:variant>
        <vt:lpwstr/>
      </vt:variant>
      <vt:variant>
        <vt:lpwstr>_Toc467739399</vt:lpwstr>
      </vt:variant>
      <vt:variant>
        <vt:i4>1441803</vt:i4>
      </vt:variant>
      <vt:variant>
        <vt:i4>140</vt:i4>
      </vt:variant>
      <vt:variant>
        <vt:i4>0</vt:i4>
      </vt:variant>
      <vt:variant>
        <vt:i4>5</vt:i4>
      </vt:variant>
      <vt:variant>
        <vt:lpwstr/>
      </vt:variant>
      <vt:variant>
        <vt:lpwstr>_Toc467739398</vt:lpwstr>
      </vt:variant>
      <vt:variant>
        <vt:i4>1441796</vt:i4>
      </vt:variant>
      <vt:variant>
        <vt:i4>134</vt:i4>
      </vt:variant>
      <vt:variant>
        <vt:i4>0</vt:i4>
      </vt:variant>
      <vt:variant>
        <vt:i4>5</vt:i4>
      </vt:variant>
      <vt:variant>
        <vt:lpwstr/>
      </vt:variant>
      <vt:variant>
        <vt:lpwstr>_Toc467739397</vt:lpwstr>
      </vt:variant>
      <vt:variant>
        <vt:i4>1441797</vt:i4>
      </vt:variant>
      <vt:variant>
        <vt:i4>128</vt:i4>
      </vt:variant>
      <vt:variant>
        <vt:i4>0</vt:i4>
      </vt:variant>
      <vt:variant>
        <vt:i4>5</vt:i4>
      </vt:variant>
      <vt:variant>
        <vt:lpwstr/>
      </vt:variant>
      <vt:variant>
        <vt:lpwstr>_Toc467739396</vt:lpwstr>
      </vt:variant>
      <vt:variant>
        <vt:i4>1441798</vt:i4>
      </vt:variant>
      <vt:variant>
        <vt:i4>122</vt:i4>
      </vt:variant>
      <vt:variant>
        <vt:i4>0</vt:i4>
      </vt:variant>
      <vt:variant>
        <vt:i4>5</vt:i4>
      </vt:variant>
      <vt:variant>
        <vt:lpwstr/>
      </vt:variant>
      <vt:variant>
        <vt:lpwstr>_Toc467739395</vt:lpwstr>
      </vt:variant>
      <vt:variant>
        <vt:i4>1441799</vt:i4>
      </vt:variant>
      <vt:variant>
        <vt:i4>116</vt:i4>
      </vt:variant>
      <vt:variant>
        <vt:i4>0</vt:i4>
      </vt:variant>
      <vt:variant>
        <vt:i4>5</vt:i4>
      </vt:variant>
      <vt:variant>
        <vt:lpwstr/>
      </vt:variant>
      <vt:variant>
        <vt:lpwstr>_Toc467739394</vt:lpwstr>
      </vt:variant>
      <vt:variant>
        <vt:i4>1441792</vt:i4>
      </vt:variant>
      <vt:variant>
        <vt:i4>110</vt:i4>
      </vt:variant>
      <vt:variant>
        <vt:i4>0</vt:i4>
      </vt:variant>
      <vt:variant>
        <vt:i4>5</vt:i4>
      </vt:variant>
      <vt:variant>
        <vt:lpwstr/>
      </vt:variant>
      <vt:variant>
        <vt:lpwstr>_Toc467739393</vt:lpwstr>
      </vt:variant>
      <vt:variant>
        <vt:i4>1441793</vt:i4>
      </vt:variant>
      <vt:variant>
        <vt:i4>104</vt:i4>
      </vt:variant>
      <vt:variant>
        <vt:i4>0</vt:i4>
      </vt:variant>
      <vt:variant>
        <vt:i4>5</vt:i4>
      </vt:variant>
      <vt:variant>
        <vt:lpwstr/>
      </vt:variant>
      <vt:variant>
        <vt:lpwstr>_Toc467739392</vt:lpwstr>
      </vt:variant>
      <vt:variant>
        <vt:i4>1441794</vt:i4>
      </vt:variant>
      <vt:variant>
        <vt:i4>98</vt:i4>
      </vt:variant>
      <vt:variant>
        <vt:i4>0</vt:i4>
      </vt:variant>
      <vt:variant>
        <vt:i4>5</vt:i4>
      </vt:variant>
      <vt:variant>
        <vt:lpwstr/>
      </vt:variant>
      <vt:variant>
        <vt:lpwstr>_Toc467739391</vt:lpwstr>
      </vt:variant>
      <vt:variant>
        <vt:i4>1441795</vt:i4>
      </vt:variant>
      <vt:variant>
        <vt:i4>92</vt:i4>
      </vt:variant>
      <vt:variant>
        <vt:i4>0</vt:i4>
      </vt:variant>
      <vt:variant>
        <vt:i4>5</vt:i4>
      </vt:variant>
      <vt:variant>
        <vt:lpwstr/>
      </vt:variant>
      <vt:variant>
        <vt:lpwstr>_Toc467739390</vt:lpwstr>
      </vt:variant>
      <vt:variant>
        <vt:i4>1507338</vt:i4>
      </vt:variant>
      <vt:variant>
        <vt:i4>86</vt:i4>
      </vt:variant>
      <vt:variant>
        <vt:i4>0</vt:i4>
      </vt:variant>
      <vt:variant>
        <vt:i4>5</vt:i4>
      </vt:variant>
      <vt:variant>
        <vt:lpwstr/>
      </vt:variant>
      <vt:variant>
        <vt:lpwstr>_Toc467739389</vt:lpwstr>
      </vt:variant>
      <vt:variant>
        <vt:i4>1507339</vt:i4>
      </vt:variant>
      <vt:variant>
        <vt:i4>80</vt:i4>
      </vt:variant>
      <vt:variant>
        <vt:i4>0</vt:i4>
      </vt:variant>
      <vt:variant>
        <vt:i4>5</vt:i4>
      </vt:variant>
      <vt:variant>
        <vt:lpwstr/>
      </vt:variant>
      <vt:variant>
        <vt:lpwstr>_Toc467739388</vt:lpwstr>
      </vt:variant>
      <vt:variant>
        <vt:i4>1507332</vt:i4>
      </vt:variant>
      <vt:variant>
        <vt:i4>74</vt:i4>
      </vt:variant>
      <vt:variant>
        <vt:i4>0</vt:i4>
      </vt:variant>
      <vt:variant>
        <vt:i4>5</vt:i4>
      </vt:variant>
      <vt:variant>
        <vt:lpwstr/>
      </vt:variant>
      <vt:variant>
        <vt:lpwstr>_Toc467739387</vt:lpwstr>
      </vt:variant>
      <vt:variant>
        <vt:i4>1507333</vt:i4>
      </vt:variant>
      <vt:variant>
        <vt:i4>68</vt:i4>
      </vt:variant>
      <vt:variant>
        <vt:i4>0</vt:i4>
      </vt:variant>
      <vt:variant>
        <vt:i4>5</vt:i4>
      </vt:variant>
      <vt:variant>
        <vt:lpwstr/>
      </vt:variant>
      <vt:variant>
        <vt:lpwstr>_Toc467739386</vt:lpwstr>
      </vt:variant>
      <vt:variant>
        <vt:i4>1507334</vt:i4>
      </vt:variant>
      <vt:variant>
        <vt:i4>62</vt:i4>
      </vt:variant>
      <vt:variant>
        <vt:i4>0</vt:i4>
      </vt:variant>
      <vt:variant>
        <vt:i4>5</vt:i4>
      </vt:variant>
      <vt:variant>
        <vt:lpwstr/>
      </vt:variant>
      <vt:variant>
        <vt:lpwstr>_Toc467739385</vt:lpwstr>
      </vt:variant>
      <vt:variant>
        <vt:i4>1507335</vt:i4>
      </vt:variant>
      <vt:variant>
        <vt:i4>56</vt:i4>
      </vt:variant>
      <vt:variant>
        <vt:i4>0</vt:i4>
      </vt:variant>
      <vt:variant>
        <vt:i4>5</vt:i4>
      </vt:variant>
      <vt:variant>
        <vt:lpwstr/>
      </vt:variant>
      <vt:variant>
        <vt:lpwstr>_Toc467739384</vt:lpwstr>
      </vt:variant>
      <vt:variant>
        <vt:i4>1507328</vt:i4>
      </vt:variant>
      <vt:variant>
        <vt:i4>50</vt:i4>
      </vt:variant>
      <vt:variant>
        <vt:i4>0</vt:i4>
      </vt:variant>
      <vt:variant>
        <vt:i4>5</vt:i4>
      </vt:variant>
      <vt:variant>
        <vt:lpwstr/>
      </vt:variant>
      <vt:variant>
        <vt:lpwstr>_Toc467739383</vt:lpwstr>
      </vt:variant>
      <vt:variant>
        <vt:i4>1507329</vt:i4>
      </vt:variant>
      <vt:variant>
        <vt:i4>44</vt:i4>
      </vt:variant>
      <vt:variant>
        <vt:i4>0</vt:i4>
      </vt:variant>
      <vt:variant>
        <vt:i4>5</vt:i4>
      </vt:variant>
      <vt:variant>
        <vt:lpwstr/>
      </vt:variant>
      <vt:variant>
        <vt:lpwstr>_Toc467739382</vt:lpwstr>
      </vt:variant>
      <vt:variant>
        <vt:i4>1507330</vt:i4>
      </vt:variant>
      <vt:variant>
        <vt:i4>38</vt:i4>
      </vt:variant>
      <vt:variant>
        <vt:i4>0</vt:i4>
      </vt:variant>
      <vt:variant>
        <vt:i4>5</vt:i4>
      </vt:variant>
      <vt:variant>
        <vt:lpwstr/>
      </vt:variant>
      <vt:variant>
        <vt:lpwstr>_Toc467739381</vt:lpwstr>
      </vt:variant>
      <vt:variant>
        <vt:i4>1507331</vt:i4>
      </vt:variant>
      <vt:variant>
        <vt:i4>32</vt:i4>
      </vt:variant>
      <vt:variant>
        <vt:i4>0</vt:i4>
      </vt:variant>
      <vt:variant>
        <vt:i4>5</vt:i4>
      </vt:variant>
      <vt:variant>
        <vt:lpwstr/>
      </vt:variant>
      <vt:variant>
        <vt:lpwstr>_Toc467739380</vt:lpwstr>
      </vt:variant>
      <vt:variant>
        <vt:i4>1572874</vt:i4>
      </vt:variant>
      <vt:variant>
        <vt:i4>26</vt:i4>
      </vt:variant>
      <vt:variant>
        <vt:i4>0</vt:i4>
      </vt:variant>
      <vt:variant>
        <vt:i4>5</vt:i4>
      </vt:variant>
      <vt:variant>
        <vt:lpwstr/>
      </vt:variant>
      <vt:variant>
        <vt:lpwstr>_Toc467739379</vt:lpwstr>
      </vt:variant>
      <vt:variant>
        <vt:i4>1572875</vt:i4>
      </vt:variant>
      <vt:variant>
        <vt:i4>20</vt:i4>
      </vt:variant>
      <vt:variant>
        <vt:i4>0</vt:i4>
      </vt:variant>
      <vt:variant>
        <vt:i4>5</vt:i4>
      </vt:variant>
      <vt:variant>
        <vt:lpwstr/>
      </vt:variant>
      <vt:variant>
        <vt:lpwstr>_Toc467739378</vt:lpwstr>
      </vt:variant>
      <vt:variant>
        <vt:i4>1572868</vt:i4>
      </vt:variant>
      <vt:variant>
        <vt:i4>14</vt:i4>
      </vt:variant>
      <vt:variant>
        <vt:i4>0</vt:i4>
      </vt:variant>
      <vt:variant>
        <vt:i4>5</vt:i4>
      </vt:variant>
      <vt:variant>
        <vt:lpwstr/>
      </vt:variant>
      <vt:variant>
        <vt:lpwstr>_Toc467739377</vt:lpwstr>
      </vt:variant>
      <vt:variant>
        <vt:i4>1572869</vt:i4>
      </vt:variant>
      <vt:variant>
        <vt:i4>8</vt:i4>
      </vt:variant>
      <vt:variant>
        <vt:i4>0</vt:i4>
      </vt:variant>
      <vt:variant>
        <vt:i4>5</vt:i4>
      </vt:variant>
      <vt:variant>
        <vt:lpwstr/>
      </vt:variant>
      <vt:variant>
        <vt:lpwstr>_Toc467739376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3</cp:revision>
  <cp:lastPrinted>2016-11-23T21:11:00Z</cp:lastPrinted>
  <dcterms:created xsi:type="dcterms:W3CDTF">2017-02-09T18:00:00Z</dcterms:created>
  <dcterms:modified xsi:type="dcterms:W3CDTF">2017-02-09T18:00:00Z</dcterms:modified>
</cp:coreProperties>
</file>